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/>
      <w:bookmarkStart w:id="0" w:name="_GoBack"/>
      <w:r/>
      <w:bookmarkEnd w:id="0"/>
      <w:r>
        <w:rPr>
          <w:rFonts w:cstheme="minorHAnsi"/>
          <w:sz w:val="24"/>
          <w:szCs w:val="24"/>
        </w:rPr>
        <w:t xml:space="preserve">Приложение №1 </w:t>
      </w:r>
      <w:r>
        <w:rPr>
          <w:rFonts w:cstheme="minorHAnsi"/>
          <w:sz w:val="24"/>
          <w:szCs w:val="24"/>
        </w:rPr>
      </w:r>
    </w:p>
    <w:p>
      <w:pPr>
        <w:jc w:val="right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 </w:t>
      </w:r>
      <w:r>
        <w:rPr>
          <w:rFonts w:cstheme="minorHAnsi"/>
          <w:sz w:val="24"/>
          <w:szCs w:val="24"/>
        </w:rPr>
        <w:t xml:space="preserve">Заказу №</w:t>
      </w:r>
      <w:r>
        <w:rPr>
          <w:rFonts w:cstheme="minorHAnsi"/>
          <w:sz w:val="24"/>
          <w:szCs w:val="24"/>
        </w:rPr>
        <w:t xml:space="preserve">   </w:t>
      </w:r>
      <w:r>
        <w:t xml:space="preserve">//</w:t>
      </w:r>
      <w:r>
        <w:rPr>
          <w:rFonts w:cstheme="minorHAnsi"/>
          <w:sz w:val="24"/>
          <w:szCs w:val="24"/>
        </w:rPr>
        <w:t xml:space="preserve">_________</w:t>
      </w:r>
      <w:r>
        <w:rPr>
          <w:rFonts w:cstheme="minorHAnsi"/>
          <w:sz w:val="24"/>
          <w:szCs w:val="24"/>
        </w:rPr>
        <w:t xml:space="preserve"> от «____» ________ 202</w:t>
      </w:r>
      <w:r>
        <w:rPr>
          <w:rFonts w:cstheme="minorHAnsi"/>
          <w:sz w:val="24"/>
          <w:szCs w:val="24"/>
        </w:rPr>
        <w:t xml:space="preserve">_</w:t>
      </w:r>
      <w:r>
        <w:rPr>
          <w:rFonts w:cstheme="minorHAnsi"/>
          <w:sz w:val="24"/>
          <w:szCs w:val="24"/>
        </w:rPr>
        <w:t xml:space="preserve">г.</w:t>
      </w:r>
      <w:r>
        <w:rPr>
          <w:rFonts w:cstheme="minorHAnsi"/>
          <w:sz w:val="24"/>
          <w:szCs w:val="24"/>
        </w:rPr>
      </w:r>
    </w:p>
    <w:p>
      <w:pPr>
        <w:pStyle w:val="740"/>
        <w:jc w:val="right"/>
        <w:spacing w:before="0" w:after="0"/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</w:pP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к Д</w:t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оговору № </w:t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{Номер-Договора}</w:t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</w:r>
    </w:p>
    <w:p>
      <w:pPr>
        <w:pStyle w:val="740"/>
        <w:jc w:val="right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от </w:t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{Дата-Договора}</w:t>
      </w:r>
      <w:r>
        <w:rPr>
          <w:rFonts w:asciiTheme="minorHAnsi" w:hAnsiTheme="minorHAnsi" w:eastAsiaTheme="minorHAnsi" w:cstheme="minorHAnsi"/>
          <w:b w:val="0"/>
          <w:bCs w:val="0"/>
          <w:sz w:val="24"/>
          <w:szCs w:val="24"/>
          <w:lang w:eastAsia="en-US"/>
        </w:rPr>
        <w:t xml:space="preserve">.</w:t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pStyle w:val="740"/>
        <w:jc w:val="center"/>
        <w:spacing w:before="0" w:after="0"/>
        <w:rPr>
          <w:rFonts w:asciiTheme="minorHAnsi" w:hAnsiTheme="minorHAnsi" w:cstheme="minorHAnsi"/>
          <w:bCs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Техническое задание</w:t>
      </w:r>
      <w:r>
        <w:rPr>
          <w:rFonts w:asciiTheme="minorHAnsi" w:hAnsiTheme="minorHAnsi" w:cstheme="minorHAnsi"/>
          <w:bCs w:val="0"/>
          <w:sz w:val="24"/>
          <w:szCs w:val="24"/>
        </w:rPr>
      </w:r>
    </w:p>
    <w:p>
      <w:pPr>
        <w:jc w:val="center"/>
        <w:spacing w:after="0"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н</w:t>
      </w:r>
      <w:r>
        <w:rPr>
          <w:sz w:val="24"/>
          <w:szCs w:val="24"/>
          <w:lang w:eastAsia="ru-RU"/>
        </w:rPr>
        <w:t xml:space="preserve">а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выполнение работ по теме:</w:t>
      </w:r>
      <w:r>
        <w:rPr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КОНЦЕПТ ОБУСТРОЙСТВА/</w:t>
      </w:r>
      <w:r>
        <w:rPr>
          <w:b/>
          <w:sz w:val="24"/>
          <w:szCs w:val="24"/>
          <w:lang w:eastAsia="ru-RU"/>
        </w:rPr>
        <w:t xml:space="preserve">Комплексный </w:t>
      </w:r>
      <w:r>
        <w:rPr>
          <w:b/>
          <w:sz w:val="24"/>
          <w:szCs w:val="24"/>
          <w:lang w:eastAsia="ru-RU"/>
        </w:rPr>
        <w:t xml:space="preserve">продукт инжиниринга</w:t>
      </w:r>
      <w:r>
        <w:rPr>
          <w:b/>
          <w:sz w:val="24"/>
          <w:szCs w:val="24"/>
          <w:lang w:eastAsia="ru-RU"/>
        </w:rPr>
        <w:t xml:space="preserve"> по </w:t>
      </w:r>
      <w:r>
        <w:rPr>
          <w:b/>
          <w:sz w:val="24"/>
          <w:szCs w:val="24"/>
          <w:lang w:eastAsia="ru-RU"/>
        </w:rPr>
        <w:t xml:space="preserve">{</w:t>
      </w:r>
      <w:r>
        <w:rPr>
          <w:b/>
          <w:sz w:val="24"/>
          <w:szCs w:val="24"/>
          <w:lang w:eastAsia="ru-RU"/>
        </w:rPr>
        <w:t xml:space="preserve">Наименование</w:t>
      </w:r>
      <w:r>
        <w:rPr>
          <w:b/>
          <w:sz w:val="24"/>
          <w:szCs w:val="24"/>
          <w:lang w:eastAsia="ru-RU"/>
        </w:rPr>
        <w:t xml:space="preserve">-Месторождения</w:t>
      </w:r>
      <w:r>
        <w:rPr>
          <w:b/>
          <w:sz w:val="24"/>
          <w:szCs w:val="24"/>
          <w:lang w:eastAsia="ru-RU"/>
        </w:rPr>
        <w:t xml:space="preserve">}</w:t>
      </w:r>
      <w:r>
        <w:rPr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b/>
          <w:sz w:val="24"/>
          <w:szCs w:val="24"/>
          <w:lang w:eastAsia="ru-RU"/>
        </w:rPr>
        <w:t xml:space="preserve">Продукт: </w:t>
      </w:r>
      <w:r>
        <w:rPr>
          <w:b/>
          <w:sz w:val="24"/>
          <w:szCs w:val="24"/>
          <w:lang w:eastAsia="ru-RU"/>
        </w:rPr>
        <w:t xml:space="preserve">КОНЦЕПТ ОБУСТРОЙСТВА</w:t>
      </w:r>
      <w:r>
        <w:rPr>
          <w:rFonts w:cstheme="minorHAnsi"/>
          <w:b/>
          <w:bCs/>
          <w:sz w:val="24"/>
          <w:szCs w:val="24"/>
        </w:rPr>
      </w:r>
    </w:p>
    <w:p>
      <w:pPr>
        <w:pStyle w:val="740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40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Заказчик: 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  <w:t xml:space="preserve">{Полное-Наименование-ДО-Заказчика}</w:t>
      </w:r>
      <w:r>
        <w:rPr>
          <w:b w:val="0"/>
          <w:sz w:val="24"/>
          <w:szCs w:val="24"/>
        </w:rPr>
      </w:r>
      <w:r>
        <w:rPr>
          <w:sz w:val="24"/>
          <w:szCs w:val="24"/>
        </w:rPr>
      </w:r>
    </w:p>
    <w:p>
      <w:pPr>
        <w:pStyle w:val="921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1" w:name="_Toc274219824"/>
      <w:r/>
      <w:bookmarkStart w:id="2" w:name="_Toc275361027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Цели и задачи </w:t>
      </w:r>
      <w:bookmarkEnd w:id="1"/>
      <w:r/>
      <w:bookmarkEnd w:id="2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Цели - р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азработать «</w:t>
      </w:r>
      <w:bookmarkStart w:id="3" w:name="_Hlk152658789"/>
      <w:r>
        <w:rPr>
          <w:rFonts w:ascii="Arial" w:hAnsi="Arial" w:eastAsia="Times New Roman" w:cs="Arial"/>
          <w:sz w:val="24"/>
          <w:szCs w:val="24"/>
          <w:lang w:eastAsia="ru-RU"/>
        </w:rPr>
        <w:t xml:space="preserve">Комплексный продукт инжиниринга по </w:t>
      </w:r>
      <w:bookmarkEnd w:id="3"/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{Наименование-Месторождения}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».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Задачи: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9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ктуализация концепции обустройства 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{Наименование-Месторождения}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9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ктуализация стоимости реализации проекта 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{Наименование-Месторождения}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9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Проработка сценариев эвакуации продукции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{Наименование-Месторождения}</w:t>
      </w: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Периметр работ: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Границы работы от устья скважин до точки сдачи углеводородов.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Перечень направлений в периметре работ: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Концептуальный инжиниринг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Стоимостной инжиниринг</w:t>
      </w:r>
      <w:r>
        <w:rPr>
          <w:rFonts w:ascii="Arial" w:hAnsi="Arial" w:cs="Arial"/>
          <w:sz w:val="24"/>
          <w:szCs w:val="24"/>
        </w:rPr>
        <w:t xml:space="preserve"> (САРЕХ и ОРЕХ)</w:t>
      </w:r>
      <w:r>
        <w:rPr>
          <w:rFonts w:ascii="Arial" w:hAnsi="Arial" w:cs="Arial"/>
          <w:sz w:val="24"/>
          <w:szCs w:val="24"/>
        </w:rPr>
      </w:r>
    </w:p>
    <w:p>
      <w:pPr>
        <w:jc w:val="both"/>
        <w:spacing w:after="0" w:line="240" w:lineRule="auto"/>
        <w:tabs>
          <w:tab w:val="left" w:pos="308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Перечень систем, рассматриваемых в рамках работы: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систем</w:t>
      </w:r>
      <w:r>
        <w:rPr>
          <w:rFonts w:ascii="Arial" w:hAnsi="Arial" w:cs="Arial"/>
          <w:sz w:val="24"/>
          <w:szCs w:val="24"/>
        </w:rPr>
        <w:t xml:space="preserve">ы</w:t>
      </w:r>
      <w:r>
        <w:rPr>
          <w:rFonts w:ascii="Arial" w:hAnsi="Arial" w:cs="Arial"/>
          <w:sz w:val="24"/>
          <w:szCs w:val="24"/>
        </w:rPr>
        <w:t xml:space="preserve"> сбора добываемой продукции скважин;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система подготовки</w:t>
      </w:r>
      <w:r>
        <w:rPr>
          <w:rFonts w:ascii="Arial" w:hAnsi="Arial" w:cs="Arial"/>
          <w:sz w:val="24"/>
          <w:szCs w:val="24"/>
        </w:rPr>
        <w:t xml:space="preserve"> газа и ЖУВ,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подтоварной воды;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система внешнего транспорта </w:t>
      </w:r>
      <w:r>
        <w:rPr>
          <w:rFonts w:ascii="Arial" w:hAnsi="Arial" w:cs="Arial"/>
          <w:sz w:val="24"/>
          <w:szCs w:val="24"/>
        </w:rPr>
        <w:t xml:space="preserve">газа</w:t>
      </w:r>
      <w:r>
        <w:rPr>
          <w:rFonts w:ascii="Arial" w:hAnsi="Arial" w:cs="Arial"/>
          <w:sz w:val="24"/>
          <w:szCs w:val="24"/>
        </w:rPr>
        <w:t xml:space="preserve">, ЖУВ (СГК, НГК, СУГ)</w:t>
      </w:r>
      <w:r>
        <w:rPr>
          <w:rFonts w:ascii="Arial" w:hAnsi="Arial" w:cs="Arial"/>
          <w:sz w:val="24"/>
          <w:szCs w:val="24"/>
        </w:rPr>
        <w:t xml:space="preserve">;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система энергоснабжения;</w:t>
      </w:r>
      <w:r>
        <w:rPr>
          <w:rFonts w:ascii="Arial" w:hAnsi="Arial" w:cs="Arial"/>
          <w:sz w:val="24"/>
          <w:szCs w:val="24"/>
        </w:rPr>
      </w:r>
    </w:p>
    <w:p>
      <w:pPr>
        <w:numPr>
          <w:ilvl w:val="1"/>
          <w:numId w:val="4"/>
        </w:numPr>
        <w:contextualSpacing/>
        <w:ind w:left="709"/>
        <w:jc w:val="both"/>
        <w:spacing w:after="0" w:line="240" w:lineRule="auto"/>
        <w:tabs>
          <w:tab w:val="left" w:pos="992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вспомогательные системы</w:t>
      </w:r>
      <w:r>
        <w:rPr>
          <w:rFonts w:ascii="Arial" w:hAnsi="Arial" w:cs="Arial"/>
          <w:sz w:val="24"/>
          <w:szCs w:val="24"/>
        </w:rPr>
        <w:t xml:space="preserve"> обустройства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ind w:left="714" w:hanging="357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Термины и сокращения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CAPEX – капитальные затраты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OPEX – операционные затраты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val="en-US" w:eastAsia="ru-RU"/>
        </w:rPr>
        <w:t xml:space="preserve">PVT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– физико-химические свойства флюидов.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БД – база данных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БРД – блок разведки и добычи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ИК – инвестиционный комитет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ИП ПД БРД / ГИС БРД - Информационная Платформа Производственных Данных / Геоинформационная система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ИТ – информационные технологии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КПИ – Комплексный продукт инжиниринга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НГКМ – нефтегазоконденсатное месторождение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НТЦ – научно-технический центр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ОТР – общие технические решения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 – программное обеспечение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РД – рабочая документация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ТЗ – техническое задание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УК – управляющий комитет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ЭРА. ИСКРА – Электронная Разработка Актива. Интегрированная система концептуального развития активов.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3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ТЭС – технико-экономическое сравнение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Сроки выполнения работ: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 соответствии с Календарным планом (Приложение №2 к Заказу).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Содержание работ, особенности их выполнения и результаты: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cs="Arial"/>
          <w:sz w:val="24"/>
        </w:rPr>
        <w:t xml:space="preserve">Перечень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 требования к ним представлены в Таблице №1.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tabs>
          <w:tab w:val="center" w:pos="10206" w:leader="none"/>
        </w:tabs>
        <w:rPr>
          <w:rFonts w:eastAsia="Times New Roman" w:cstheme="minorHAnsi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theme="minorHAnsi"/>
          <w:i/>
          <w:color w:val="808080" w:themeColor="background1" w:themeShade="80"/>
          <w:sz w:val="20"/>
          <w:szCs w:val="20"/>
          <w:lang w:eastAsia="ru-RU"/>
        </w:rPr>
        <w:t xml:space="preserve">Таблица №1:</w:t>
      </w:r>
      <w:r>
        <w:rPr>
          <w:rFonts w:eastAsia="Times New Roman" w:cstheme="minorHAnsi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99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693"/>
        <w:gridCol w:w="2268"/>
        <w:gridCol w:w="3119"/>
      </w:tblGrid>
      <w:tr>
        <w:tblPrEx/>
        <w:trPr>
          <w:trHeight w:val="71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vAlign w:val="center"/>
            <w:textDirection w:val="lrTb"/>
            <w:noWrap w:val="false"/>
          </w:tcPr>
          <w:p>
            <w:pPr>
              <w:jc w:val="center"/>
              <w:spacing w:after="2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Наименование работы</w:t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spacing w:after="2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Требования к выполнению работ</w:t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2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Ожидаемые результаты</w:t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jc w:val="center"/>
              <w:spacing w:after="2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Описание работы</w:t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Этап 1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Актуализация концепции обустройства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{Наименование-Месторождения}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Выполнить технические расчеты систем обустройства с детализацией, принятой в соответствии с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«Комплексным продуктом инжиниринга»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Актуализированная и согласованная Заказчиком концепция обустройства</w:t>
            </w:r>
            <w:r>
              <w:rPr>
                <w:rFonts w:ascii="Arial" w:hAnsi="Arial" w:cs="Arial"/>
                <w:sz w:val="20"/>
                <w:szCs w:val="20"/>
              </w:rPr>
              <w:t xml:space="preserve"> в соответствии с разрабатываемой матрицей вариантов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Сформированный и согласованный со стороны Заказчика отчёт в формате PDF</w:t>
            </w:r>
            <w:r>
              <w:rPr>
                <w:rFonts w:ascii="Arial" w:hAnsi="Arial" w:cs="Arial"/>
                <w:sz w:val="20"/>
                <w:szCs w:val="20"/>
              </w:rPr>
              <w:t xml:space="preserve"> и презентация</w:t>
            </w:r>
            <w:r>
              <w:rPr>
                <w:rFonts w:ascii="Arial" w:hAnsi="Arial" w:cs="Arial"/>
                <w:sz w:val="20"/>
                <w:szCs w:val="20"/>
              </w:rPr>
              <w:t xml:space="preserve"> в формате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Power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Point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19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Продукт представляет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собой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концепцию обустройства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месторождения, выполненную в соответствии </w:t>
            </w:r>
            <w:r>
              <w:rPr>
                <w:rFonts w:ascii="Arial" w:hAnsi="Arial" w:cs="Arial"/>
                <w:sz w:val="20"/>
                <w:szCs w:val="20"/>
              </w:rPr>
              <w:t xml:space="preserve">с требованиями КПИ этап выбор 2а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Сформирована матрица вариантов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наземного обустройства,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каналов монетизации продукции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{Наименование-Месторождения}</w:t>
            </w:r>
            <w:r/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Проработка технических решений по системам трубопроводного транспорта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,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гидравлические расчеты сетей сбора для рассматриваемых сценариев разработки,</w:t>
            </w:r>
            <w:r>
              <w:rPr>
                <w:rFonts w:ascii="Arial" w:hAnsi="Arial" w:cs="Arial"/>
                <w:sz w:val="20"/>
                <w:szCs w:val="20"/>
              </w:rPr>
              <w:t xml:space="preserve"> при помощи специальных программных продуктов, оптимизация концептуальных решений в соответствии с развилками проекта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Проработка технических решений по площадочным объектам, расчеты МТБ формирование штуцерных моделей </w:t>
            </w:r>
            <w:r>
              <w:rPr>
                <w:rFonts w:ascii="Arial" w:hAnsi="Arial" w:cs="Arial"/>
                <w:sz w:val="20"/>
                <w:szCs w:val="20"/>
              </w:rPr>
              <w:t xml:space="preserve">КППГ, УКПГ, УППГ, ПСП</w:t>
            </w:r>
            <w:r>
              <w:rPr>
                <w:rFonts w:ascii="Arial" w:hAnsi="Arial" w:cs="Arial"/>
                <w:sz w:val="20"/>
                <w:szCs w:val="20"/>
              </w:rPr>
              <w:t xml:space="preserve">, о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предел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ение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необходимост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ввода нового оборудования, пропускн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ой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способност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существующего. Верификация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и проработка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решений по оборудованию и обвязке основных и вспомогательных систем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Проработка концептуальных решений по системе внешнего транспорта, выполнение гидравлических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расчетов трубопроводов 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системы внешнего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 транспорта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, проработка сценариев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реализации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трубопроводов до потенциальных точек сдачи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Проработка концепции электроснабжения, актуализация схем, актуализация расчета нагрузок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Инжиниринговое</w:t>
            </w:r>
            <w:r>
              <w:rPr>
                <w:rFonts w:ascii="Arial" w:hAnsi="Arial" w:cs="Arial"/>
                <w:sz w:val="20"/>
                <w:szCs w:val="20"/>
              </w:rPr>
              <w:t xml:space="preserve"> сопровождение </w:t>
            </w:r>
            <w:r>
              <w:rPr>
                <w:rFonts w:ascii="Arial" w:hAnsi="Arial" w:cs="Arial"/>
                <w:sz w:val="20"/>
                <w:szCs w:val="20"/>
              </w:rPr>
              <w:t xml:space="preserve">гидравлических и технологических расчетов проектного института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Формирование и актуализация решений по вспомогательной инфраструктуре.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Выполнение ТЭС для выбора оптимальных технических решений.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Сопровождение проекта в рамках экспертизы Проекта (ИОНО, ФСА, КЭП, УК, ИК)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Этап 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Стоимостной инжиниринг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{Наименование-Месторождения}</w:t>
            </w:r>
            <w:r/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Выполнить расчеты в соответствии с документами: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Методика определения сметной стоимости строительства, реконструкции капитального ремонта, сноса объектов капитального строительства, работ по сохранению о</w:t>
            </w:r>
            <w:r>
              <w:rPr>
                <w:rFonts w:ascii="Arial" w:hAnsi="Arial" w:cs="Arial"/>
                <w:sz w:val="20"/>
                <w:szCs w:val="20"/>
              </w:rPr>
              <w:t xml:space="preserve">бъектов культурного наследия (памятников истории и культуры) народов Российской Федерации на территории Российской Федерации (Приказ Минстроя России от 04.08.2020 № 421/пр вступает в силу с 05.10.2020 с учетом изменений по приказу 557/пр от 07.07.2022г.); 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М-06.01.01.05-01 «Методические рекомендации по определению стоимости объектов капитального строительства на этапах «Поиск», «Оценка» и «Выбор» проектов БРД», 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М-06.01.01.05-02 «Методических рекомендаций по оценке </w:t>
            </w:r>
            <w:r>
              <w:rPr>
                <w:rFonts w:ascii="Arial" w:hAnsi="Arial" w:cs="Arial"/>
                <w:sz w:val="20"/>
                <w:szCs w:val="20"/>
              </w:rPr>
              <w:t xml:space="preserve">операционных затрат на этапах «Поиск», «Оценка» и «Выбор» проектов БРД».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Расчет инвестиционного рез</w:t>
            </w:r>
            <w:r>
              <w:rPr>
                <w:rFonts w:ascii="Arial" w:hAnsi="Arial" w:cs="Arial"/>
                <w:sz w:val="20"/>
                <w:szCs w:val="20"/>
              </w:rPr>
              <w:t xml:space="preserve">ерва стоимости выполняется с учетом неопределенностей инфраструктуры на данном этапе и в соответствии с НМД М 06.01.01.05-03 «Общие положения по оценке инвестиционного резерва на этапах: «Поиск», «Оценка», «Выбор», «Определение», «Реализация» (версия 2.0).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Расчетные модели САРЕХ и ОРЕХ и инвестиционный резерв стоимости по рассматриваемым вариантам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Сформированные удельные показатели по объектам обустройства (</w:t>
            </w:r>
            <w:r>
              <w:rPr>
                <w:rFonts w:ascii="Arial" w:hAnsi="Arial" w:cs="Arial"/>
                <w:sz w:val="20"/>
                <w:szCs w:val="20"/>
              </w:rPr>
              <w:t xml:space="preserve">ИП, АД, </w:t>
            </w:r>
            <w:r>
              <w:rPr>
                <w:rFonts w:ascii="Arial" w:hAnsi="Arial" w:cs="Arial"/>
                <w:sz w:val="20"/>
                <w:szCs w:val="20"/>
              </w:rPr>
              <w:t xml:space="preserve">ГСС, ОКС_Газ, КПС, Водозабор), на </w:t>
            </w:r>
            <w:r>
              <w:rPr>
                <w:rFonts w:ascii="Arial" w:hAnsi="Arial" w:cs="Arial"/>
                <w:sz w:val="20"/>
                <w:szCs w:val="20"/>
              </w:rPr>
              <w:t xml:space="preserve">основании объектов-аналогов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по Бованенковскому месторождению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Оценка объектов наземной инфраструктуры площадочных объектов, объектов внешнего транспорта (КППГ, ВЖК, БСО, ТТ) формируется на </w:t>
            </w:r>
            <w:r>
              <w:rPr>
                <w:rFonts w:ascii="Arial" w:hAnsi="Arial" w:cs="Arial"/>
                <w:sz w:val="20"/>
                <w:szCs w:val="20"/>
              </w:rPr>
              <w:t xml:space="preserve">основании объектов-аналогов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по Бованенковскому месторождению</w:t>
            </w:r>
            <w:r>
              <w:rPr>
                <w:rFonts w:ascii="Arial" w:hAnsi="Arial" w:cs="Arial"/>
                <w:sz w:val="20"/>
                <w:szCs w:val="20"/>
              </w:rPr>
              <w:t xml:space="preserve">, в случае отсутствия прямого аналога, </w:t>
            </w:r>
            <w:r>
              <w:rPr>
                <w:rFonts w:ascii="Arial" w:hAnsi="Arial" w:cs="Arial"/>
                <w:sz w:val="20"/>
                <w:szCs w:val="20"/>
              </w:rPr>
              <w:t xml:space="preserve">оценка выполняется с использованием базы данных объектов-аналогов 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Оценка стоимости оборудования и основного ценообразующего МТР на основании аналогов или факта закупа прошлых лет.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Бенчмаркинг с построенными или проектируемыми объектами в части удельной стоимости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cs="Arial"/>
                <w:sz w:val="20"/>
                <w:szCs w:val="20"/>
              </w:rPr>
              <w:t xml:space="preserve">КВ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Бенчмаркинг операционны</w:t>
            </w:r>
            <w:r>
              <w:rPr>
                <w:rFonts w:ascii="Arial" w:hAnsi="Arial" w:cs="Arial"/>
                <w:sz w:val="20"/>
                <w:szCs w:val="20"/>
              </w:rPr>
              <w:t xml:space="preserve">х</w:t>
            </w:r>
            <w:r>
              <w:rPr>
                <w:rFonts w:ascii="Arial" w:hAnsi="Arial" w:cs="Arial"/>
                <w:sz w:val="20"/>
                <w:szCs w:val="20"/>
              </w:rPr>
              <w:t xml:space="preserve"> затрат </w:t>
            </w:r>
            <w:r>
              <w:rPr>
                <w:rFonts w:ascii="Arial" w:hAnsi="Arial" w:cs="Arial"/>
                <w:sz w:val="20"/>
                <w:szCs w:val="20"/>
              </w:rPr>
              <w:t xml:space="preserve">в соответствии с требованиями экспертов КЭП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На основании состава объектов наземной инфраструктуры выполняется стоимостная оценка.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Стоимостная модель по выбранному в</w:t>
            </w:r>
            <w:r>
              <w:rPr>
                <w:rFonts w:ascii="Arial" w:hAnsi="Arial" w:cs="Arial"/>
                <w:sz w:val="20"/>
                <w:szCs w:val="20"/>
              </w:rPr>
              <w:t xml:space="preserve">арианту строительства, рассчитывает полную стоимость объекта с учетом прочих затрат Заказчика, учтенных на основании переданных исходных данных. По этим статьям формируется статичный файл с Планом КВ (без привязки к графику, без разбивки освоения по годам)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Стоимо</w:t>
            </w:r>
            <w:r>
              <w:rPr>
                <w:rFonts w:ascii="Arial" w:hAnsi="Arial" w:cs="Arial"/>
                <w:sz w:val="20"/>
                <w:szCs w:val="20"/>
              </w:rPr>
              <w:t xml:space="preserve">стная оценка объектов наземной инфраструктуры включает расчет капитальных и операционных затрат с использованием стоимостных моделей по CAPEX и OPEX. Для повышения точности оценки применяются различные инструменты оценки капитальных и операционных затрат. 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Формирование удельного показателя по объектам обустройства (ИП</w:t>
            </w:r>
            <w:r>
              <w:rPr>
                <w:rFonts w:ascii="Arial" w:hAnsi="Arial" w:cs="Arial"/>
                <w:sz w:val="20"/>
                <w:szCs w:val="20"/>
              </w:rPr>
              <w:t xml:space="preserve">, АД, </w:t>
            </w:r>
            <w:r>
              <w:rPr>
                <w:rFonts w:ascii="Arial" w:hAnsi="Arial" w:cs="Arial"/>
                <w:sz w:val="20"/>
                <w:szCs w:val="20"/>
              </w:rPr>
              <w:t xml:space="preserve">ГСС, ОКС_Газ, КПС, Водозабор)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на основании объектов-аналогов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по Бованенковскому месторождению</w:t>
            </w:r>
            <w:r>
              <w:rPr>
                <w:rFonts w:ascii="Arial" w:hAnsi="Arial" w:cs="Arial"/>
                <w:sz w:val="20"/>
                <w:szCs w:val="20"/>
              </w:rPr>
              <w:t xml:space="preserve">, в случаи </w:t>
            </w:r>
            <w:r>
              <w:rPr>
                <w:rFonts w:ascii="Arial" w:hAnsi="Arial" w:cs="Arial"/>
                <w:sz w:val="20"/>
                <w:szCs w:val="20"/>
              </w:rPr>
              <w:t xml:space="preserve">отсутствия прямого аналога используется объекты аналоги </w:t>
            </w:r>
            <w:r>
              <w:rPr>
                <w:rFonts w:ascii="Arial" w:hAnsi="Arial" w:cs="Arial"/>
                <w:sz w:val="20"/>
                <w:szCs w:val="20"/>
              </w:rPr>
              <w:t xml:space="preserve">компании ГПН. В сметно-нормативной базе ФЕР-2001г. в редакции 2020 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Формир</w:t>
            </w:r>
            <w:r>
              <w:rPr>
                <w:rFonts w:ascii="Arial" w:hAnsi="Arial" w:cs="Arial"/>
                <w:sz w:val="20"/>
                <w:szCs w:val="20"/>
              </w:rPr>
              <w:t xml:space="preserve">ование</w:t>
            </w:r>
            <w:r>
              <w:rPr>
                <w:rFonts w:ascii="Arial" w:hAnsi="Arial" w:cs="Arial"/>
                <w:sz w:val="20"/>
                <w:szCs w:val="20"/>
              </w:rPr>
              <w:t xml:space="preserve"> отчетны</w:t>
            </w:r>
            <w:r>
              <w:rPr>
                <w:rFonts w:ascii="Arial" w:hAnsi="Arial" w:cs="Arial"/>
                <w:sz w:val="20"/>
                <w:szCs w:val="20"/>
              </w:rPr>
              <w:t xml:space="preserve">х</w:t>
            </w:r>
            <w:r>
              <w:rPr>
                <w:rFonts w:ascii="Arial" w:hAnsi="Arial" w:cs="Arial"/>
                <w:sz w:val="20"/>
                <w:szCs w:val="20"/>
              </w:rPr>
              <w:t xml:space="preserve"> презентаци</w:t>
            </w:r>
            <w:r>
              <w:rPr>
                <w:rFonts w:ascii="Arial" w:hAnsi="Arial" w:cs="Arial"/>
                <w:sz w:val="20"/>
                <w:szCs w:val="20"/>
              </w:rPr>
              <w:t xml:space="preserve">й</w:t>
            </w:r>
            <w:r>
              <w:rPr>
                <w:rFonts w:ascii="Arial" w:hAnsi="Arial" w:cs="Arial"/>
                <w:sz w:val="20"/>
                <w:szCs w:val="20"/>
              </w:rPr>
              <w:t xml:space="preserve"> для коллегиальных органов по вопросам стоимостной оценки, участие в защите проекта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Дополнительно в</w:t>
            </w:r>
            <w:r>
              <w:rPr>
                <w:rFonts w:ascii="Arial" w:hAnsi="Arial" w:cs="Arial"/>
                <w:sz w:val="20"/>
                <w:szCs w:val="20"/>
              </w:rPr>
              <w:t xml:space="preserve">ыполняется сравнение с построенными объектами в части </w:t>
            </w:r>
            <w:r>
              <w:rPr>
                <w:rFonts w:ascii="Arial" w:hAnsi="Arial" w:cs="Arial"/>
                <w:sz w:val="20"/>
                <w:szCs w:val="20"/>
              </w:rPr>
              <w:t xml:space="preserve">CAPEX</w:t>
            </w:r>
            <w:r>
              <w:rPr>
                <w:rFonts w:ascii="Arial" w:hAnsi="Arial" w:cs="Arial"/>
                <w:sz w:val="20"/>
                <w:szCs w:val="20"/>
              </w:rPr>
              <w:t xml:space="preserve"> или месторождениями на стадии «Эксплуатация» в части </w:t>
            </w:r>
            <w:r>
              <w:rPr>
                <w:rFonts w:ascii="Arial" w:hAnsi="Arial" w:cs="Arial"/>
                <w:sz w:val="20"/>
                <w:szCs w:val="20"/>
              </w:rPr>
              <w:t xml:space="preserve">OPEX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Этап </w:t>
            </w: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Эвакуация жидких углеводородов полуострова Ямал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Выполнить технические расчеты и стоимостную оценку сценариев эвакуации ЖУВ с полуострова Ямал. 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Актуализированная и согласованная Заказчиком концепция </w:t>
            </w:r>
            <w:r>
              <w:rPr>
                <w:rFonts w:ascii="Arial" w:hAnsi="Arial" w:cs="Arial"/>
                <w:sz w:val="20"/>
                <w:szCs w:val="20"/>
              </w:rPr>
              <w:t xml:space="preserve">эвакуации ЖУВ с полуострова Ямал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Расчетные модели САРЕХ и ОРЕХ и инвестиционный резерв стоимости по рассматриваемым вариантам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Бенчмаркинг с построенными или проектируемыми объектами в части удельной стоимости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cs="Arial"/>
                <w:sz w:val="20"/>
                <w:szCs w:val="20"/>
              </w:rPr>
              <w:t xml:space="preserve">КВ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ind w:firstLine="284"/>
              <w:spacing w:after="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Бенчмаркинг по операционным затрат на верхнем уровне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Сформированный и согласованный со стороны Заказчика отчёт в формате PDF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19" w:type="dxa"/>
            <w:textDirection w:val="lrTb"/>
            <w:noWrap w:val="false"/>
          </w:tcPr>
          <w:p>
            <w:pPr>
              <w:spacing w:before="120" w:after="0"/>
              <w:rPr>
                <w:iCs/>
                <w:sz w:val="20"/>
                <w:szCs w:val="20"/>
                <w:lang w:eastAsia="ru-RU"/>
              </w:rPr>
            </w:pPr>
            <w:r>
              <w:rPr>
                <w:iCs/>
                <w:sz w:val="20"/>
                <w:szCs w:val="20"/>
                <w:lang w:eastAsia="ru-RU"/>
              </w:rPr>
              <w:t xml:space="preserve">Инженерная и концептуальная проработка тех. решений по запросам Заказчика</w:t>
            </w:r>
            <w:r>
              <w:rPr>
                <w:iCs/>
                <w:sz w:val="20"/>
                <w:szCs w:val="20"/>
                <w:lang w:eastAsia="ru-RU"/>
              </w:rPr>
            </w:r>
          </w:p>
          <w:p>
            <w:pPr>
              <w:spacing w:before="120" w:after="0"/>
              <w:rPr>
                <w:iCs/>
                <w:sz w:val="20"/>
                <w:szCs w:val="20"/>
                <w:lang w:eastAsia="ru-RU"/>
              </w:rPr>
            </w:pPr>
            <w:r>
              <w:rPr>
                <w:iCs/>
                <w:sz w:val="20"/>
                <w:szCs w:val="20"/>
                <w:lang w:eastAsia="ru-RU"/>
              </w:rPr>
              <w:t xml:space="preserve">Формирование оценки стоимости по вариантам на основании объектов аналогов и факта строительство.</w:t>
            </w:r>
            <w:r>
              <w:rPr>
                <w:iCs/>
                <w:sz w:val="20"/>
                <w:szCs w:val="20"/>
                <w:lang w:eastAsia="ru-RU"/>
              </w:rPr>
            </w:r>
          </w:p>
          <w:p>
            <w:pPr>
              <w:spacing w:before="120" w:after="0"/>
              <w:rPr>
                <w:iCs/>
                <w:sz w:val="20"/>
                <w:szCs w:val="20"/>
                <w:lang w:eastAsia="ru-RU"/>
              </w:rPr>
            </w:pPr>
            <w:r>
              <w:rPr>
                <w:iCs/>
                <w:sz w:val="20"/>
                <w:szCs w:val="20"/>
                <w:lang w:eastAsia="ru-RU"/>
              </w:rPr>
              <w:t xml:space="preserve">Подготовка экспресс ТЭО по вариантам внешнего транспорта ЖУВ.</w:t>
            </w:r>
            <w:r>
              <w:rPr>
                <w:iCs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Этап 4. </w:t>
            </w:r>
            <w:r>
              <w:rPr>
                <w:rFonts w:ascii="Arial" w:hAnsi="Arial" w:cs="Arial"/>
                <w:sz w:val="20"/>
                <w:szCs w:val="20"/>
              </w:rPr>
              <w:t xml:space="preserve">Инжиниринговое сопровождение проекта</w:t>
            </w:r>
            <w:r>
              <w:rPr>
                <w:rFonts w:ascii="Arial" w:hAnsi="Arial" w:eastAsia="Times New Roman" w:cs="Arial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eastAsia="Times New Roman" w:cs="Arial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Выполнить технические расчеты систем обустройства с детализацией, принятой в соответствии с 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  <w:t xml:space="preserve">«Комплексным продуктом инжиниринга»</w:t>
            </w:r>
            <w:r>
              <w:rPr>
                <w:rFonts w:ascii="Arial" w:hAnsi="Arial" w:eastAsia="Times New Roman" w:cs="Arial"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Актуализация концепции по результатам прохождения коллегиальных органов, инжиниринговое сопровождение проекта.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Сформированный и согласованный со стороны Заказчика отчёт в формате PDF.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19" w:type="dxa"/>
            <w:textDirection w:val="lrTb"/>
            <w:noWrap w:val="false"/>
          </w:tcPr>
          <w:p>
            <w:pPr>
              <w:spacing w:before="120" w:after="0"/>
              <w:rPr>
                <w:iCs/>
                <w:sz w:val="20"/>
                <w:szCs w:val="20"/>
                <w:lang w:eastAsia="ru-RU"/>
              </w:rPr>
            </w:pPr>
            <w:r>
              <w:rPr>
                <w:iCs/>
                <w:sz w:val="20"/>
                <w:szCs w:val="20"/>
                <w:lang w:eastAsia="ru-RU"/>
              </w:rPr>
              <w:t xml:space="preserve">Выполнение расчетов, экспертная поддержка в части инженерных расчетов по запросам Заказчика</w:t>
            </w:r>
            <w:r>
              <w:rPr>
                <w:iCs/>
                <w:sz w:val="20"/>
                <w:szCs w:val="20"/>
                <w:lang w:eastAsia="ru-RU"/>
              </w:rPr>
              <w:t xml:space="preserve"> </w:t>
            </w:r>
            <w:r>
              <w:rPr>
                <w:iCs/>
                <w:sz w:val="20"/>
                <w:szCs w:val="20"/>
                <w:lang w:eastAsia="ru-RU"/>
              </w:rPr>
              <w:t xml:space="preserve">в рамках разрабатываемого проекта</w:t>
            </w:r>
            <w:r>
              <w:rPr>
                <w:iCs/>
                <w:sz w:val="20"/>
                <w:szCs w:val="20"/>
                <w:lang w:eastAsia="ru-RU"/>
              </w:rPr>
              <w:t xml:space="preserve">.</w:t>
            </w:r>
            <w:r>
              <w:rPr>
                <w:iCs/>
                <w:sz w:val="20"/>
                <w:szCs w:val="20"/>
                <w:lang w:eastAsia="ru-RU"/>
              </w:rPr>
            </w:r>
          </w:p>
          <w:p>
            <w:pPr>
              <w:spacing w:before="120" w:after="0"/>
              <w:rPr>
                <w:iCs/>
                <w:sz w:val="20"/>
                <w:szCs w:val="20"/>
                <w:lang w:eastAsia="ru-RU"/>
              </w:rPr>
            </w:pPr>
            <w:r>
              <w:rPr>
                <w:iCs/>
                <w:sz w:val="20"/>
                <w:szCs w:val="20"/>
                <w:lang w:eastAsia="ru-RU"/>
              </w:rPr>
              <w:t xml:space="preserve">Инженерная и концептуальная проработка тех. решений по </w:t>
            </w:r>
            <w:r>
              <w:rPr>
                <w:iCs/>
                <w:sz w:val="20"/>
                <w:szCs w:val="20"/>
                <w:lang w:eastAsia="ru-RU"/>
              </w:rPr>
              <w:t xml:space="preserve">запросам Заказчика</w:t>
            </w:r>
            <w:r>
              <w:rPr>
                <w:iCs/>
                <w:sz w:val="20"/>
                <w:szCs w:val="20"/>
                <w:lang w:eastAsia="ru-RU"/>
              </w:rPr>
              <w:t xml:space="preserve"> </w:t>
            </w:r>
            <w:r>
              <w:rPr>
                <w:iCs/>
                <w:sz w:val="20"/>
                <w:szCs w:val="20"/>
                <w:lang w:eastAsia="ru-RU"/>
              </w:rPr>
              <w:t xml:space="preserve">в рамках разрабатываемого проекта</w:t>
            </w:r>
            <w:r>
              <w:rPr>
                <w:iCs/>
                <w:sz w:val="20"/>
                <w:szCs w:val="20"/>
                <w:lang w:eastAsia="ru-RU"/>
              </w:rPr>
            </w:r>
          </w:p>
          <w:p>
            <w:pPr>
              <w:spacing w:after="2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</w:r>
          </w:p>
        </w:tc>
      </w:tr>
    </w:tbl>
    <w:p>
      <w:pPr>
        <w:contextualSpacing/>
        <w:spacing w:after="0" w:line="240" w:lineRule="auto"/>
        <w:shd w:val="clear" w:color="auto" w:fill="ffffff"/>
        <w:widowControl w:val="off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</w:r>
      <w:r>
        <w:rPr>
          <w:rFonts w:cs="Arial"/>
          <w:b/>
          <w:sz w:val="20"/>
          <w:szCs w:val="20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Условие выполнения работы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Детализация работ должна быть выполнена в соответствии с НМД: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Комплексный продукт инжиниринга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, в соответствии с распоряжением ПКП от 23.01.2026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М-01.13.01-01 Общие требования к концептуальному проектированию обустройства на этапах «Оценка» и «Выбор» Крупного проекта (версия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3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.0)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М-06.01.01.05-01 «Методические рекомендации по определению стоимости объектов капитального строительства на этапах «Поиск», «Оценка» и «Выбор» проектов БРД»,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М-06.01.01.05-02 «Методических рекомендаций по оценке операционных затрат на этапах «Поиск», «Оценка» и «Выбор» проектов БРД».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 06.01.01.05-03 «Общие положения по оценке инвестиционного резерва на этапах: «Поиск», «Оценка», «Выбор», «Определение», «Реализация» (версия 2.0).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0"/>
        </w:numPr>
        <w:jc w:val="both"/>
        <w:spacing w:after="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Приказ Минстроя России от 04.08.2020 № 421/пр вступает в силу с 05.10.2020 с учетом изменений по приказу 557/пр от 07.07.2022г.; (Методика определения см</w:t>
      </w:r>
      <w:r>
        <w:rPr>
          <w:rFonts w:cstheme="minorHAnsi"/>
          <w:sz w:val="24"/>
          <w:szCs w:val="24"/>
        </w:rPr>
        <w:t xml:space="preserve">етной стоимости строительства, реконструкции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Федерации)</w:t>
      </w:r>
      <w:r>
        <w:rPr>
          <w:rFonts w:cstheme="minorHAnsi"/>
          <w:sz w:val="24"/>
          <w:szCs w:val="24"/>
        </w:rPr>
      </w:r>
    </w:p>
    <w:p>
      <w:pPr>
        <w:pStyle w:val="921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Требования к документации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17"/>
        </w:numPr>
        <w:ind w:left="426" w:hanging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Результатом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выполненных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работ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являются документы, содержащие информацию о проделанной работе. Исполнитель передаёт Заказчику документы по каждому из этапов.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17"/>
        </w:numPr>
        <w:ind w:left="426" w:hanging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Перечень отчетной документации представлен в таблице № 2.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tabs>
          <w:tab w:val="center" w:pos="10206" w:leader="none"/>
        </w:tabs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pP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  <w:t xml:space="preserve">Таблица 2:</w:t>
      </w:r>
      <w:r>
        <w:rPr>
          <w:rFonts w:eastAsia="Times New Roman" w:cs="Arial"/>
          <w:i/>
          <w:color w:val="808080" w:themeColor="background1" w:themeShade="80"/>
          <w:sz w:val="20"/>
          <w:szCs w:val="20"/>
          <w:lang w:eastAsia="ru-RU"/>
        </w:rPr>
      </w:r>
    </w:p>
    <w:tbl>
      <w:tblPr>
        <w:tblW w:w="974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544"/>
        <w:gridCol w:w="1559"/>
        <w:gridCol w:w="1805"/>
      </w:tblGrid>
      <w:tr>
        <w:tblPrEx/>
        <w:trPr>
          <w:trHeight w:val="472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Наименование документа</w:t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Формат предоставления</w:t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Периодичность</w:t>
            </w:r>
            <w:r>
              <w:rPr>
                <w:rFonts w:cs="Arial"/>
                <w:b/>
                <w:sz w:val="20"/>
                <w:szCs w:val="20"/>
              </w:rPr>
            </w:r>
          </w:p>
        </w:tc>
        <w:tc>
          <w:tcPr>
            <w:tcW w:w="18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Требования к содержанию материалов</w:t>
            </w:r>
            <w:r>
              <w:rPr>
                <w:rFonts w:cs="Arial"/>
                <w:b/>
                <w:sz w:val="20"/>
                <w:szCs w:val="20"/>
              </w:rPr>
            </w:r>
          </w:p>
        </w:tc>
      </w:tr>
      <w:tr>
        <w:tblPrEx/>
        <w:trPr>
          <w:trHeight w:val="1005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</w:rPr>
              <w:t xml:space="preserve">Этап 1. Актуализация концепции обустройства </w:t>
            </w:r>
            <w:r>
              <w:rPr>
                <w:rFonts w:ascii="Arial" w:hAnsi="Arial" w:cs="Arial"/>
                <w:color w:val="000000"/>
              </w:rPr>
              <w:t xml:space="preserve">{Наименование-Месторождения}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Информационный отчет на бумажном носителе в двух экземплярах, по одному для каждой из сторон и в формате PDF.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календарному плану</w:t>
            </w:r>
            <w:r>
              <w:rPr>
                <w:rFonts w:eastAsia="Times New Roman" w:cs="Arial"/>
                <w:sz w:val="20"/>
                <w:szCs w:val="20"/>
                <w:lang w:val="en-US" w:eastAsia="ru-RU"/>
              </w:rPr>
            </w:r>
          </w:p>
        </w:tc>
        <w:tc>
          <w:tcPr>
            <w:tcW w:w="1805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Отчет о проделанной работе.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005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</w:rPr>
              <w:t xml:space="preserve">Этап 2. Стоимостной инжиниринг </w:t>
            </w:r>
            <w:r>
              <w:rPr>
                <w:rFonts w:ascii="Arial" w:hAnsi="Arial" w:cs="Arial"/>
                <w:color w:val="000000"/>
              </w:rPr>
              <w:t xml:space="preserve">{Наименование-Месторождения}</w: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Информационный отчет на бумажном носителе в двух экземплярах, по одному для каждой из сторон и в формате PDF.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календарному плану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805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Отчет о проделанной работе.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005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</w:rPr>
              <w:t xml:space="preserve">Этап 3. Эвакуация жидких углеводородов полуострова Ямал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Информационный отчет на бумажном носителе в двух экземплярах, по одному для каждой из сторон и в формате PDF.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календарному плану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805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Отчет о проделанной работе.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1005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spacing w:after="2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 xml:space="preserve">Этап 4. Инжиниринговое сопровождение проекта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544" w:type="dxa"/>
            <w:textDirection w:val="lrTb"/>
            <w:noWrap w:val="false"/>
          </w:tcPr>
          <w:p>
            <w:pPr>
              <w:jc w:val="both"/>
              <w:spacing w:after="20" w:line="240" w:lineRule="auto"/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Информационный отчет на бумажном носителе в двух экземплярах, по одному для каждой из сторон и в формате PDF.</w:t>
            </w:r>
            <w:r>
              <w:rPr>
                <w:rFonts w:ascii="Arial" w:hAnsi="Arial" w:eastAsia="Times New Roman" w:cs="Arial"/>
                <w:color w:val="3c3c3c" w:themeColor="text1"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Согласно 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календарному плану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  <w:tc>
          <w:tcPr>
            <w:tcW w:w="1805" w:type="dxa"/>
            <w:textDirection w:val="lrTb"/>
            <w:noWrap w:val="false"/>
          </w:tcPr>
          <w:p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Отчет о проделанной работе.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</w:r>
          </w:p>
        </w:tc>
      </w:tr>
    </w:tbl>
    <w:p>
      <w:pPr>
        <w:pStyle w:val="921"/>
        <w:ind w:left="426"/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numPr>
          <w:ilvl w:val="0"/>
          <w:numId w:val="15"/>
        </w:numPr>
        <w:contextualSpacing/>
        <w:ind w:left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sz w:val="24"/>
          <w:szCs w:val="24"/>
        </w:rPr>
        <w:t xml:space="preserve">Проект должен выполняться в соответствии с Методическим документом «Общие требования к концептуальному проектированию обустройства на этапах «Оценка» и «Выбор» Крупного проекта (М-01.13.01-01).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5"/>
        </w:numPr>
        <w:contextualSpacing/>
        <w:ind w:left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Все предлагаемые решения по развитию инфраструктуры должны быть обоснованы технико-экономическими расчетами и согласованы с Проектным офисом.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5"/>
        </w:numPr>
        <w:contextualSpacing/>
        <w:ind w:left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Все технико-технологические расчеты должны быть основаны на технологических моделях систем, построенных в соответствующем ПО: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6"/>
        </w:numPr>
        <w:contextualSpacing/>
        <w:ind w:left="993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Расчеты гидравлической модели системы транспортировки нефти, воды, жидкости и газа выполнить в ПО PipeSim.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6"/>
        </w:numPr>
        <w:contextualSpacing/>
        <w:ind w:left="993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Расчеты систем подготовки нефти, газа и воды выполнить в ПО Aspen Hysys.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6"/>
        </w:numPr>
        <w:contextualSpacing/>
        <w:ind w:left="993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Расчеты системы электроснабжения выполнить в ПО Energy CS.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6"/>
        </w:numPr>
        <w:contextualSpacing/>
        <w:ind w:left="993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Сводная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модель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инфраструктурных и планировочных решений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в ПО ЭРА. ИСКРА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5"/>
        </w:numPr>
        <w:contextualSpacing/>
        <w:ind w:left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Сравнение вариантов обустройства и выбор оптимального технического решения провести на основе технико-экономических расчетов с учетом технических критериев и критериев рисков по каждому варианту.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numPr>
          <w:ilvl w:val="0"/>
          <w:numId w:val="15"/>
        </w:numPr>
        <w:contextualSpacing/>
        <w:ind w:left="426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Верификация результатов работ и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материалов,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разработанных субподрядными организациями с привлечением профильных экспертов НТЦ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1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Условия привлечения субподрядчиков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Для выполнения работы допускается привлечение субподрядных организаций. При этом максимальный объём работ, выполняемых сторонними организациями, не может превышать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5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0% от общего объёма работ. Исполнитель во всех случаях несет ответственность за исполнение или ненадлежащее исполнение обязательств этими третьими лицами как за свои собственные действия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1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Иные условия выполнения работ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737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37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709" w:left="1276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07944994"/>
      <w:docPartObj>
        <w:docPartGallery w:val="Page Numbers (Bottom of Page)"/>
        <w:docPartUnique w:val="true"/>
      </w:docPartObj>
      <w:rPr/>
    </w:sdtPr>
    <w:sdtContent>
      <w:p>
        <w:pPr>
          <w:pStyle w:val="93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6</w:t>
        </w:r>
        <w:r>
          <w:fldChar w:fldCharType="end"/>
        </w:r>
        <w:r/>
      </w:p>
    </w:sdtContent>
  </w:sdt>
  <w:p>
    <w:pPr>
      <w:pStyle w:val="939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3"/>
      <w:numFmt w:val="bullet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21" w:hanging="341"/>
        <w:tabs>
          <w:tab w:val="num" w:pos="1021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3"/>
      <w:numFmt w:val="bullet"/>
      <w:pStyle w:val="932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1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eastAsia="Times New Roman"/>
        <w:color w:val="3c3c3c" w:themeColor="text1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4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0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50" w:hanging="340"/>
        <w:tabs>
          <w:tab w:val="num" w:pos="105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4"/>
  </w:num>
  <w:num w:numId="3">
    <w:abstractNumId w:val="18"/>
  </w:num>
  <w:num w:numId="4">
    <w:abstractNumId w:val="9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0"/>
  </w:num>
  <w:num w:numId="8">
    <w:abstractNumId w:val="17"/>
  </w:num>
  <w:num w:numId="9">
    <w:abstractNumId w:val="2"/>
  </w:num>
  <w:num w:numId="10">
    <w:abstractNumId w:val="13"/>
  </w:num>
  <w:num w:numId="11">
    <w:abstractNumId w:val="6"/>
  </w:num>
  <w:num w:numId="12">
    <w:abstractNumId w:val="1"/>
  </w:num>
  <w:num w:numId="13">
    <w:abstractNumId w:val="19"/>
  </w:num>
  <w:num w:numId="14">
    <w:abstractNumId w:val="20"/>
  </w:num>
  <w:num w:numId="15">
    <w:abstractNumId w:val="5"/>
  </w:num>
  <w:num w:numId="16">
    <w:abstractNumId w:val="3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4"/>
  </w:num>
  <w:num w:numId="20">
    <w:abstractNumId w:val="0"/>
  </w:num>
  <w:num w:numId="21">
    <w:abstractNumId w:val="23"/>
  </w:num>
  <w:num w:numId="22">
    <w:abstractNumId w:val="21"/>
  </w:num>
  <w:num w:numId="23">
    <w:abstractNumId w:val="12"/>
  </w:num>
  <w:num w:numId="24">
    <w:abstractNumId w:val="7"/>
  </w:num>
  <w:num w:numId="25">
    <w:abstractNumId w:val="8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1">
    <w:name w:val="Heading 4 Char"/>
    <w:basedOn w:val="747"/>
    <w:link w:val="74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47"/>
    <w:link w:val="74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47"/>
    <w:link w:val="74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47"/>
    <w:link w:val="74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47"/>
    <w:link w:val="74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47"/>
    <w:link w:val="74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47"/>
    <w:link w:val="760"/>
    <w:uiPriority w:val="10"/>
    <w:rPr>
      <w:sz w:val="48"/>
      <w:szCs w:val="48"/>
    </w:rPr>
  </w:style>
  <w:style w:type="character" w:styleId="38">
    <w:name w:val="Subtitle Char"/>
    <w:basedOn w:val="747"/>
    <w:link w:val="762"/>
    <w:uiPriority w:val="11"/>
    <w:rPr>
      <w:sz w:val="24"/>
      <w:szCs w:val="24"/>
    </w:rPr>
  </w:style>
  <w:style w:type="character" w:styleId="40">
    <w:name w:val="Quote Char"/>
    <w:link w:val="764"/>
    <w:uiPriority w:val="29"/>
    <w:rPr>
      <w:i/>
    </w:rPr>
  </w:style>
  <w:style w:type="character" w:styleId="42">
    <w:name w:val="Intense Quote Char"/>
    <w:link w:val="766"/>
    <w:uiPriority w:val="30"/>
    <w:rPr>
      <w:i/>
    </w:rPr>
  </w:style>
  <w:style w:type="character" w:styleId="180">
    <w:name w:val="Endnote Text Char"/>
    <w:link w:val="899"/>
    <w:uiPriority w:val="99"/>
    <w:rPr>
      <w:sz w:val="20"/>
    </w:rPr>
  </w:style>
  <w:style w:type="paragraph" w:styleId="737" w:default="1">
    <w:name w:val="Normal"/>
    <w:qFormat/>
  </w:style>
  <w:style w:type="paragraph" w:styleId="738">
    <w:name w:val="Heading 1"/>
    <w:basedOn w:val="737"/>
    <w:next w:val="737"/>
    <w:link w:val="957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002f59" w:themeColor="accent1" w:themeShade="BF"/>
      <w:sz w:val="32"/>
      <w:szCs w:val="32"/>
    </w:rPr>
  </w:style>
  <w:style w:type="paragraph" w:styleId="739">
    <w:name w:val="Heading 2"/>
    <w:basedOn w:val="737"/>
    <w:next w:val="737"/>
    <w:link w:val="954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40">
    <w:name w:val="Heading 3"/>
    <w:basedOn w:val="737"/>
    <w:next w:val="737"/>
    <w:link w:val="922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741">
    <w:name w:val="Heading 4"/>
    <w:basedOn w:val="737"/>
    <w:next w:val="737"/>
    <w:link w:val="753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42">
    <w:name w:val="Heading 5"/>
    <w:basedOn w:val="737"/>
    <w:next w:val="737"/>
    <w:link w:val="754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43">
    <w:name w:val="Heading 6"/>
    <w:basedOn w:val="737"/>
    <w:next w:val="737"/>
    <w:link w:val="755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44">
    <w:name w:val="Heading 7"/>
    <w:basedOn w:val="737"/>
    <w:next w:val="737"/>
    <w:link w:val="756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45">
    <w:name w:val="Heading 8"/>
    <w:basedOn w:val="737"/>
    <w:next w:val="737"/>
    <w:link w:val="757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46">
    <w:name w:val="Heading 9"/>
    <w:basedOn w:val="737"/>
    <w:next w:val="737"/>
    <w:link w:val="758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7" w:default="1">
    <w:name w:val="Default Paragraph Font"/>
    <w:uiPriority w:val="1"/>
    <w:semiHidden/>
    <w:unhideWhenUsed/>
  </w:style>
  <w:style w:type="table" w:styleId="7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9" w:default="1">
    <w:name w:val="No List"/>
    <w:uiPriority w:val="99"/>
    <w:semiHidden/>
    <w:unhideWhenUsed/>
  </w:style>
  <w:style w:type="character" w:styleId="750" w:customStyle="1">
    <w:name w:val="Heading 1 Char"/>
    <w:basedOn w:val="747"/>
    <w:uiPriority w:val="9"/>
    <w:rPr>
      <w:rFonts w:ascii="Arial" w:hAnsi="Arial" w:eastAsia="Arial" w:cs="Arial"/>
      <w:sz w:val="40"/>
      <w:szCs w:val="40"/>
    </w:rPr>
  </w:style>
  <w:style w:type="character" w:styleId="751" w:customStyle="1">
    <w:name w:val="Heading 2 Char"/>
    <w:basedOn w:val="747"/>
    <w:uiPriority w:val="9"/>
    <w:rPr>
      <w:rFonts w:ascii="Arial" w:hAnsi="Arial" w:eastAsia="Arial" w:cs="Arial"/>
      <w:sz w:val="34"/>
    </w:rPr>
  </w:style>
  <w:style w:type="character" w:styleId="752" w:customStyle="1">
    <w:name w:val="Heading 3 Char"/>
    <w:basedOn w:val="747"/>
    <w:uiPriority w:val="9"/>
    <w:rPr>
      <w:rFonts w:ascii="Arial" w:hAnsi="Arial" w:eastAsia="Arial" w:cs="Arial"/>
      <w:sz w:val="30"/>
      <w:szCs w:val="30"/>
    </w:rPr>
  </w:style>
  <w:style w:type="character" w:styleId="753" w:customStyle="1">
    <w:name w:val="Заголовок 4 Знак"/>
    <w:basedOn w:val="747"/>
    <w:link w:val="741"/>
    <w:uiPriority w:val="9"/>
    <w:rPr>
      <w:rFonts w:ascii="Arial" w:hAnsi="Arial" w:eastAsia="Arial" w:cs="Arial"/>
      <w:b/>
      <w:bCs/>
      <w:sz w:val="26"/>
      <w:szCs w:val="26"/>
    </w:rPr>
  </w:style>
  <w:style w:type="character" w:styleId="754" w:customStyle="1">
    <w:name w:val="Заголовок 5 Знак"/>
    <w:basedOn w:val="747"/>
    <w:link w:val="742"/>
    <w:uiPriority w:val="9"/>
    <w:rPr>
      <w:rFonts w:ascii="Arial" w:hAnsi="Arial" w:eastAsia="Arial" w:cs="Arial"/>
      <w:b/>
      <w:bCs/>
      <w:sz w:val="24"/>
      <w:szCs w:val="24"/>
    </w:rPr>
  </w:style>
  <w:style w:type="character" w:styleId="755" w:customStyle="1">
    <w:name w:val="Заголовок 6 Знак"/>
    <w:basedOn w:val="747"/>
    <w:link w:val="743"/>
    <w:uiPriority w:val="9"/>
    <w:rPr>
      <w:rFonts w:ascii="Arial" w:hAnsi="Arial" w:eastAsia="Arial" w:cs="Arial"/>
      <w:b/>
      <w:bCs/>
      <w:sz w:val="22"/>
      <w:szCs w:val="22"/>
    </w:rPr>
  </w:style>
  <w:style w:type="character" w:styleId="756" w:customStyle="1">
    <w:name w:val="Заголовок 7 Знак"/>
    <w:basedOn w:val="747"/>
    <w:link w:val="7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7" w:customStyle="1">
    <w:name w:val="Заголовок 8 Знак"/>
    <w:basedOn w:val="747"/>
    <w:link w:val="745"/>
    <w:uiPriority w:val="9"/>
    <w:rPr>
      <w:rFonts w:ascii="Arial" w:hAnsi="Arial" w:eastAsia="Arial" w:cs="Arial"/>
      <w:i/>
      <w:iCs/>
      <w:sz w:val="22"/>
      <w:szCs w:val="22"/>
    </w:rPr>
  </w:style>
  <w:style w:type="character" w:styleId="758" w:customStyle="1">
    <w:name w:val="Заголовок 9 Знак"/>
    <w:basedOn w:val="747"/>
    <w:link w:val="746"/>
    <w:uiPriority w:val="9"/>
    <w:rPr>
      <w:rFonts w:ascii="Arial" w:hAnsi="Arial" w:eastAsia="Arial" w:cs="Arial"/>
      <w:i/>
      <w:iCs/>
      <w:sz w:val="21"/>
      <w:szCs w:val="21"/>
    </w:rPr>
  </w:style>
  <w:style w:type="paragraph" w:styleId="759">
    <w:name w:val="No Spacing"/>
    <w:uiPriority w:val="1"/>
    <w:qFormat/>
    <w:pPr>
      <w:spacing w:after="0" w:line="240" w:lineRule="auto"/>
    </w:pPr>
  </w:style>
  <w:style w:type="paragraph" w:styleId="760">
    <w:name w:val="Title"/>
    <w:basedOn w:val="737"/>
    <w:next w:val="737"/>
    <w:link w:val="761"/>
    <w:uiPriority w:val="10"/>
    <w:qFormat/>
    <w:pPr>
      <w:contextualSpacing/>
      <w:spacing w:before="300"/>
    </w:pPr>
    <w:rPr>
      <w:sz w:val="48"/>
      <w:szCs w:val="48"/>
    </w:rPr>
  </w:style>
  <w:style w:type="character" w:styleId="761" w:customStyle="1">
    <w:name w:val="Заголовок Знак"/>
    <w:basedOn w:val="747"/>
    <w:link w:val="760"/>
    <w:uiPriority w:val="10"/>
    <w:rPr>
      <w:sz w:val="48"/>
      <w:szCs w:val="48"/>
    </w:rPr>
  </w:style>
  <w:style w:type="paragraph" w:styleId="762">
    <w:name w:val="Subtitle"/>
    <w:basedOn w:val="737"/>
    <w:next w:val="737"/>
    <w:link w:val="763"/>
    <w:uiPriority w:val="11"/>
    <w:qFormat/>
    <w:pPr>
      <w:spacing w:before="200"/>
    </w:pPr>
    <w:rPr>
      <w:sz w:val="24"/>
      <w:szCs w:val="24"/>
    </w:rPr>
  </w:style>
  <w:style w:type="character" w:styleId="763" w:customStyle="1">
    <w:name w:val="Подзаголовок Знак"/>
    <w:basedOn w:val="747"/>
    <w:link w:val="762"/>
    <w:uiPriority w:val="11"/>
    <w:rPr>
      <w:sz w:val="24"/>
      <w:szCs w:val="24"/>
    </w:rPr>
  </w:style>
  <w:style w:type="paragraph" w:styleId="764">
    <w:name w:val="Quote"/>
    <w:basedOn w:val="737"/>
    <w:next w:val="737"/>
    <w:link w:val="765"/>
    <w:uiPriority w:val="29"/>
    <w:qFormat/>
    <w:pPr>
      <w:ind w:left="720" w:right="720"/>
    </w:pPr>
    <w:rPr>
      <w:i/>
    </w:rPr>
  </w:style>
  <w:style w:type="character" w:styleId="765" w:customStyle="1">
    <w:name w:val="Цитата 2 Знак"/>
    <w:link w:val="764"/>
    <w:uiPriority w:val="29"/>
    <w:rPr>
      <w:i/>
    </w:rPr>
  </w:style>
  <w:style w:type="paragraph" w:styleId="766">
    <w:name w:val="Intense Quote"/>
    <w:basedOn w:val="737"/>
    <w:next w:val="737"/>
    <w:link w:val="76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7" w:customStyle="1">
    <w:name w:val="Выделенная цитата Знак"/>
    <w:link w:val="766"/>
    <w:uiPriority w:val="30"/>
    <w:rPr>
      <w:i/>
    </w:rPr>
  </w:style>
  <w:style w:type="character" w:styleId="768" w:customStyle="1">
    <w:name w:val="Header Char"/>
    <w:basedOn w:val="747"/>
    <w:uiPriority w:val="99"/>
  </w:style>
  <w:style w:type="character" w:styleId="769" w:customStyle="1">
    <w:name w:val="Footer Char"/>
    <w:basedOn w:val="747"/>
    <w:uiPriority w:val="99"/>
  </w:style>
  <w:style w:type="paragraph" w:styleId="770">
    <w:name w:val="Caption"/>
    <w:basedOn w:val="737"/>
    <w:next w:val="737"/>
    <w:uiPriority w:val="35"/>
    <w:semiHidden/>
    <w:unhideWhenUsed/>
    <w:qFormat/>
    <w:rPr>
      <w:b/>
      <w:bCs/>
      <w:color w:val="004077" w:themeColor="accent1"/>
      <w:sz w:val="18"/>
      <w:szCs w:val="18"/>
    </w:rPr>
  </w:style>
  <w:style w:type="character" w:styleId="771" w:customStyle="1">
    <w:name w:val="Caption Char"/>
    <w:uiPriority w:val="99"/>
  </w:style>
  <w:style w:type="table" w:styleId="772" w:customStyle="1">
    <w:name w:val="Table Grid Light"/>
    <w:basedOn w:val="748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773">
    <w:name w:val="Plain Table 1"/>
    <w:basedOn w:val="748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2"/>
    <w:basedOn w:val="748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3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>
    <w:name w:val="Plain Table 4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Plain Table 5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>
    <w:name w:val="Grid Table 1 Light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4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800" w:customStyle="1">
    <w:name w:val="Grid Table 4 - Accent 1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801" w:customStyle="1">
    <w:name w:val="Grid Table 4 - Accent 2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802" w:customStyle="1">
    <w:name w:val="Grid Table 4 - Accent 3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803" w:customStyle="1">
    <w:name w:val="Grid Table 4 - Accent 4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04" w:customStyle="1">
    <w:name w:val="Grid Table 4 - Accent 5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05" w:customStyle="1">
    <w:name w:val="Grid Table 4 - Accent 6"/>
    <w:basedOn w:val="74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06">
    <w:name w:val="Grid Table 5 Dark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13">
    <w:name w:val="Grid Table 6 Colorful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14" w:customStyle="1">
    <w:name w:val="Grid Table 6 Colorful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15" w:customStyle="1">
    <w:name w:val="Grid Table 6 Colorful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16" w:customStyle="1">
    <w:name w:val="Grid Table 6 Colorful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17" w:customStyle="1">
    <w:name w:val="Grid Table 6 Colorful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18" w:customStyle="1">
    <w:name w:val="Grid Table 6 Colorful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19" w:customStyle="1">
    <w:name w:val="Grid Table 6 Colorful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20">
    <w:name w:val="Grid Table 7 Colorful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D9D9D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9D9D9D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1" w:customStyle="1">
    <w:name w:val="Grid Table 7 Colorful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3AA4FF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3AA4FF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2" w:customStyle="1">
    <w:name w:val="Grid Table 7 Colorful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3D2F2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83D2F2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3" w:customStyle="1">
    <w:name w:val="Grid Table 7 Colorful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70BB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0070BB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4" w:customStyle="1">
    <w:name w:val="Grid Table 7 Colorful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E8E8E8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E8E8E8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5" w:customStyle="1">
    <w:name w:val="Grid Table 7 Colorful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E1EE66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E1EE66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6" w:customStyle="1">
    <w:name w:val="Grid Table 7 Colorful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CE6A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FCE6A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7">
    <w:name w:val="List Table 1 Light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1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2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3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4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5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6"/>
    <w:basedOn w:val="74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41">
    <w:name w:val="List Table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5 Dark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 w:customStyle="1">
    <w:name w:val="List Table 5 Dark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 w:customStyle="1">
    <w:name w:val="List Table 5 Dark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>
    <w:name w:val="List Table 6 Colorful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63" w:customStyle="1">
    <w:name w:val="List Table 6 Colorful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64" w:customStyle="1">
    <w:name w:val="List Table 6 Colorful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65" w:customStyle="1">
    <w:name w:val="List Table 6 Colorful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66" w:customStyle="1">
    <w:name w:val="List Table 6 Colorful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867" w:customStyle="1">
    <w:name w:val="List Table 6 Colorful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868" w:customStyle="1">
    <w:name w:val="List Table 6 Colorful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869">
    <w:name w:val="List Table 7 Colorful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D9D9D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9D9D9D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0" w:customStyle="1">
    <w:name w:val="List Table 7 Colorful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4077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004077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1" w:customStyle="1">
    <w:name w:val="List Table 7 Colorful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3D2F2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83D2F2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2" w:customStyle="1">
    <w:name w:val="List Table 7 Colorful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3DB1FF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3DB1FF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3" w:customStyle="1">
    <w:name w:val="List Table 7 Colorful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E8E8E8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E8E8E8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4" w:customStyle="1">
    <w:name w:val="List Table 7 Colorful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FED5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DFED5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5" w:customStyle="1">
    <w:name w:val="List Table 7 Colorful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CB62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FCB62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6" w:customStyle="1">
    <w:name w:val="Lined - Accent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77" w:customStyle="1">
    <w:name w:val="Lined - Accent 1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78" w:customStyle="1">
    <w:name w:val="Lined - Accent 2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79" w:customStyle="1">
    <w:name w:val="Lined - Accent 3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80" w:customStyle="1">
    <w:name w:val="Lined - Accent 4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81" w:customStyle="1">
    <w:name w:val="Lined - Accent 5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82" w:customStyle="1">
    <w:name w:val="Lined - Accent 6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83" w:customStyle="1">
    <w:name w:val="Bordered &amp; Lined - Accent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84" w:customStyle="1">
    <w:name w:val="Bordered &amp; Lined - Accent 1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85" w:customStyle="1">
    <w:name w:val="Bordered &amp; Lined - Accent 2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86" w:customStyle="1">
    <w:name w:val="Bordered &amp; Lined - Accent 3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87" w:customStyle="1">
    <w:name w:val="Bordered &amp; Lined - Accent 4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88" w:customStyle="1">
    <w:name w:val="Bordered &amp; Lined - Accent 5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89" w:customStyle="1">
    <w:name w:val="Bordered &amp; Lined - Accent 6"/>
    <w:basedOn w:val="74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90" w:customStyle="1">
    <w:name w:val="Bordered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891" w:customStyle="1">
    <w:name w:val="Bordered - Accent 1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892" w:customStyle="1">
    <w:name w:val="Bordered - Accent 2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893" w:customStyle="1">
    <w:name w:val="Bordered - Accent 3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894" w:customStyle="1">
    <w:name w:val="Bordered - Accent 4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895" w:customStyle="1">
    <w:name w:val="Bordered - Accent 5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896" w:customStyle="1">
    <w:name w:val="Bordered - Accent 6"/>
    <w:basedOn w:val="74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character" w:styleId="897">
    <w:name w:val="Hyperlink"/>
    <w:uiPriority w:val="99"/>
    <w:unhideWhenUsed/>
    <w:rPr>
      <w:color w:val="0070ba" w:themeColor="hyperlink"/>
      <w:u w:val="single"/>
    </w:rPr>
  </w:style>
  <w:style w:type="character" w:styleId="898" w:customStyle="1">
    <w:name w:val="Footnote Text Char"/>
    <w:uiPriority w:val="99"/>
    <w:rPr>
      <w:sz w:val="18"/>
    </w:rPr>
  </w:style>
  <w:style w:type="paragraph" w:styleId="899">
    <w:name w:val="endnote text"/>
    <w:basedOn w:val="737"/>
    <w:link w:val="900"/>
    <w:uiPriority w:val="99"/>
    <w:semiHidden/>
    <w:unhideWhenUsed/>
    <w:pPr>
      <w:spacing w:after="0" w:line="240" w:lineRule="auto"/>
    </w:pPr>
    <w:rPr>
      <w:sz w:val="20"/>
    </w:rPr>
  </w:style>
  <w:style w:type="character" w:styleId="900" w:customStyle="1">
    <w:name w:val="Текст концевой сноски Знак"/>
    <w:link w:val="899"/>
    <w:uiPriority w:val="99"/>
    <w:rPr>
      <w:sz w:val="20"/>
    </w:rPr>
  </w:style>
  <w:style w:type="character" w:styleId="901">
    <w:name w:val="endnote reference"/>
    <w:basedOn w:val="747"/>
    <w:uiPriority w:val="99"/>
    <w:semiHidden/>
    <w:unhideWhenUsed/>
    <w:rPr>
      <w:vertAlign w:val="superscript"/>
    </w:rPr>
  </w:style>
  <w:style w:type="paragraph" w:styleId="902">
    <w:name w:val="toc 1"/>
    <w:basedOn w:val="737"/>
    <w:next w:val="737"/>
    <w:uiPriority w:val="39"/>
    <w:unhideWhenUsed/>
    <w:pPr>
      <w:spacing w:after="57"/>
    </w:pPr>
  </w:style>
  <w:style w:type="paragraph" w:styleId="903">
    <w:name w:val="toc 2"/>
    <w:basedOn w:val="737"/>
    <w:next w:val="737"/>
    <w:uiPriority w:val="39"/>
    <w:unhideWhenUsed/>
    <w:pPr>
      <w:ind w:left="283"/>
      <w:spacing w:after="57"/>
    </w:pPr>
  </w:style>
  <w:style w:type="paragraph" w:styleId="904">
    <w:name w:val="toc 3"/>
    <w:basedOn w:val="737"/>
    <w:next w:val="737"/>
    <w:uiPriority w:val="39"/>
    <w:unhideWhenUsed/>
    <w:pPr>
      <w:ind w:left="567"/>
      <w:spacing w:after="57"/>
    </w:pPr>
  </w:style>
  <w:style w:type="paragraph" w:styleId="905">
    <w:name w:val="toc 4"/>
    <w:basedOn w:val="737"/>
    <w:next w:val="737"/>
    <w:uiPriority w:val="39"/>
    <w:unhideWhenUsed/>
    <w:pPr>
      <w:ind w:left="850"/>
      <w:spacing w:after="57"/>
    </w:pPr>
  </w:style>
  <w:style w:type="paragraph" w:styleId="906">
    <w:name w:val="toc 5"/>
    <w:basedOn w:val="737"/>
    <w:next w:val="737"/>
    <w:uiPriority w:val="39"/>
    <w:unhideWhenUsed/>
    <w:pPr>
      <w:ind w:left="1134"/>
      <w:spacing w:after="57"/>
    </w:pPr>
  </w:style>
  <w:style w:type="paragraph" w:styleId="907">
    <w:name w:val="toc 6"/>
    <w:basedOn w:val="737"/>
    <w:next w:val="737"/>
    <w:uiPriority w:val="39"/>
    <w:unhideWhenUsed/>
    <w:pPr>
      <w:ind w:left="1417"/>
      <w:spacing w:after="57"/>
    </w:pPr>
  </w:style>
  <w:style w:type="paragraph" w:styleId="908">
    <w:name w:val="toc 7"/>
    <w:basedOn w:val="737"/>
    <w:next w:val="737"/>
    <w:uiPriority w:val="39"/>
    <w:unhideWhenUsed/>
    <w:pPr>
      <w:ind w:left="1701"/>
      <w:spacing w:after="57"/>
    </w:pPr>
  </w:style>
  <w:style w:type="paragraph" w:styleId="909">
    <w:name w:val="toc 8"/>
    <w:basedOn w:val="737"/>
    <w:next w:val="737"/>
    <w:uiPriority w:val="39"/>
    <w:unhideWhenUsed/>
    <w:pPr>
      <w:ind w:left="1984"/>
      <w:spacing w:after="57"/>
    </w:pPr>
  </w:style>
  <w:style w:type="paragraph" w:styleId="910">
    <w:name w:val="toc 9"/>
    <w:basedOn w:val="737"/>
    <w:next w:val="737"/>
    <w:uiPriority w:val="39"/>
    <w:unhideWhenUsed/>
    <w:pPr>
      <w:ind w:left="2268"/>
      <w:spacing w:after="57"/>
    </w:pPr>
  </w:style>
  <w:style w:type="paragraph" w:styleId="911">
    <w:name w:val="TOC Heading"/>
    <w:uiPriority w:val="39"/>
    <w:unhideWhenUsed/>
  </w:style>
  <w:style w:type="paragraph" w:styleId="912">
    <w:name w:val="table of figures"/>
    <w:basedOn w:val="737"/>
    <w:next w:val="737"/>
    <w:uiPriority w:val="99"/>
    <w:unhideWhenUsed/>
    <w:pPr>
      <w:spacing w:after="0"/>
    </w:pPr>
  </w:style>
  <w:style w:type="table" w:styleId="913">
    <w:name w:val="Table Grid"/>
    <w:basedOn w:val="74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4">
    <w:name w:val="Balloon Text"/>
    <w:basedOn w:val="737"/>
    <w:link w:val="91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15" w:customStyle="1">
    <w:name w:val="Текст выноски Знак"/>
    <w:basedOn w:val="747"/>
    <w:link w:val="914"/>
    <w:uiPriority w:val="99"/>
    <w:semiHidden/>
    <w:rPr>
      <w:rFonts w:ascii="Tahoma" w:hAnsi="Tahoma" w:cs="Tahoma"/>
      <w:sz w:val="16"/>
      <w:szCs w:val="16"/>
    </w:rPr>
  </w:style>
  <w:style w:type="character" w:styleId="916">
    <w:name w:val="annotation reference"/>
    <w:basedOn w:val="747"/>
    <w:uiPriority w:val="99"/>
    <w:semiHidden/>
    <w:unhideWhenUsed/>
    <w:rPr>
      <w:sz w:val="16"/>
      <w:szCs w:val="16"/>
    </w:rPr>
  </w:style>
  <w:style w:type="paragraph" w:styleId="917">
    <w:name w:val="annotation text"/>
    <w:basedOn w:val="737"/>
    <w:link w:val="91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18" w:customStyle="1">
    <w:name w:val="Текст примечания Знак"/>
    <w:basedOn w:val="747"/>
    <w:link w:val="917"/>
    <w:uiPriority w:val="99"/>
    <w:semiHidden/>
    <w:rPr>
      <w:sz w:val="20"/>
      <w:szCs w:val="20"/>
    </w:rPr>
  </w:style>
  <w:style w:type="paragraph" w:styleId="919">
    <w:name w:val="annotation subject"/>
    <w:basedOn w:val="917"/>
    <w:next w:val="917"/>
    <w:link w:val="920"/>
    <w:uiPriority w:val="99"/>
    <w:semiHidden/>
    <w:unhideWhenUsed/>
    <w:rPr>
      <w:b/>
      <w:bCs/>
    </w:rPr>
  </w:style>
  <w:style w:type="character" w:styleId="920" w:customStyle="1">
    <w:name w:val="Тема примечания Знак"/>
    <w:basedOn w:val="918"/>
    <w:link w:val="919"/>
    <w:uiPriority w:val="99"/>
    <w:semiHidden/>
    <w:rPr>
      <w:b/>
      <w:bCs/>
      <w:sz w:val="20"/>
      <w:szCs w:val="20"/>
    </w:rPr>
  </w:style>
  <w:style w:type="paragraph" w:styleId="921">
    <w:name w:val="List Paragraph"/>
    <w:basedOn w:val="737"/>
    <w:link w:val="941"/>
    <w:uiPriority w:val="34"/>
    <w:qFormat/>
    <w:pPr>
      <w:contextualSpacing/>
      <w:ind w:left="720"/>
    </w:pPr>
  </w:style>
  <w:style w:type="character" w:styleId="922" w:customStyle="1">
    <w:name w:val="Заголовок 3 Знак"/>
    <w:basedOn w:val="747"/>
    <w:link w:val="740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923" w:customStyle="1">
    <w:name w:val="s02 подРАЗДЕЛ"/>
    <w:basedOn w:val="737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4" w:customStyle="1">
    <w:name w:val="s01 РАЗДЕЛ"/>
    <w:basedOn w:val="737"/>
    <w:link w:val="933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5" w:customStyle="1">
    <w:name w:val="s03 Пункт"/>
    <w:basedOn w:val="923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926" w:customStyle="1">
    <w:name w:val="s08 Список а)"/>
    <w:basedOn w:val="925"/>
    <w:uiPriority w:val="99"/>
    <w:pPr>
      <w:outlineLvl w:val="4"/>
    </w:pPr>
  </w:style>
  <w:style w:type="paragraph" w:styleId="927" w:customStyle="1">
    <w:name w:val="s04 подПункт"/>
    <w:basedOn w:val="925"/>
    <w:uiPriority w:val="99"/>
    <w:pPr>
      <w:tabs>
        <w:tab w:val="left" w:pos="1276" w:leader="none"/>
      </w:tabs>
      <w:outlineLvl w:val="3"/>
    </w:pPr>
  </w:style>
  <w:style w:type="paragraph" w:styleId="928" w:customStyle="1">
    <w:name w:val="s12 Т  Кол1 Ном01 Жирн"/>
    <w:basedOn w:val="737"/>
    <w:next w:val="737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929" w:customStyle="1">
    <w:name w:val="s17 Т Ном01.01"/>
    <w:basedOn w:val="930"/>
    <w:uiPriority w:val="99"/>
    <w:pPr>
      <w:ind w:firstLine="0"/>
    </w:pPr>
  </w:style>
  <w:style w:type="paragraph" w:styleId="930" w:customStyle="1">
    <w:name w:val="s16 Т Ном01. Отст"/>
    <w:basedOn w:val="926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931" w:customStyle="1">
    <w:name w:val="s09 Список а1)"/>
    <w:basedOn w:val="737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Cs w:val="24"/>
      <w:lang w:eastAsia="ru-RU"/>
    </w:rPr>
  </w:style>
  <w:style w:type="paragraph" w:styleId="932" w:customStyle="1">
    <w:name w:val="s07 Список - -"/>
    <w:basedOn w:val="737"/>
    <w:pPr>
      <w:numPr>
        <w:ilvl w:val="0"/>
        <w:numId w:val="1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Cs w:val="28"/>
      <w:lang w:eastAsia="ru-RU"/>
    </w:rPr>
  </w:style>
  <w:style w:type="character" w:styleId="933" w:customStyle="1">
    <w:name w:val="s01 РАЗДЕЛ Знак"/>
    <w:basedOn w:val="747"/>
    <w:link w:val="924"/>
    <w:rPr>
      <w:rFonts w:ascii="Times New Roman" w:hAnsi="Times New Roman" w:eastAsia="Times New Roman" w:cs="Tahoma"/>
      <w:sz w:val="20"/>
      <w:szCs w:val="20"/>
      <w:lang w:val="en-US"/>
    </w:rPr>
  </w:style>
  <w:style w:type="paragraph" w:styleId="934">
    <w:name w:val="Plain Text"/>
    <w:basedOn w:val="737"/>
    <w:link w:val="935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35" w:customStyle="1">
    <w:name w:val="Текст Знак"/>
    <w:basedOn w:val="747"/>
    <w:link w:val="934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936">
    <w:name w:val="line number"/>
    <w:basedOn w:val="747"/>
    <w:uiPriority w:val="99"/>
    <w:semiHidden/>
    <w:unhideWhenUsed/>
  </w:style>
  <w:style w:type="paragraph" w:styleId="937">
    <w:name w:val="Header"/>
    <w:basedOn w:val="737"/>
    <w:link w:val="93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8" w:customStyle="1">
    <w:name w:val="Верхний колонтитул Знак"/>
    <w:basedOn w:val="747"/>
    <w:link w:val="937"/>
    <w:uiPriority w:val="99"/>
  </w:style>
  <w:style w:type="paragraph" w:styleId="939">
    <w:name w:val="Footer"/>
    <w:basedOn w:val="737"/>
    <w:link w:val="94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0" w:customStyle="1">
    <w:name w:val="Нижний колонтитул Знак"/>
    <w:basedOn w:val="747"/>
    <w:link w:val="939"/>
    <w:uiPriority w:val="99"/>
  </w:style>
  <w:style w:type="character" w:styleId="941" w:customStyle="1">
    <w:name w:val="Абзац списка Знак"/>
    <w:link w:val="921"/>
    <w:uiPriority w:val="34"/>
  </w:style>
  <w:style w:type="table" w:styleId="942">
    <w:name w:val="Light Shading Accent 1"/>
    <w:basedOn w:val="748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943">
    <w:name w:val="Light Shading Accent 4"/>
    <w:basedOn w:val="748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944">
    <w:name w:val="Medium List 2"/>
    <w:basedOn w:val="74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5">
    <w:name w:val="Medium Grid 1 Accent 4"/>
    <w:basedOn w:val="748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 w:themeFill="accent4" w:themeFillTint="3F"/>
    </w:tcPr>
    <w:tblStylePr w:type="band1Horz">
      <w:tcPr>
        <w:shd w:val="clear" w:color="auto" w:fill="ececec" w:themeFill="accent4" w:themeFillTint="7F"/>
      </w:tcPr>
    </w:tblStylePr>
    <w:tblStylePr w:type="band1Vert">
      <w:tcPr>
        <w:shd w:val="clear" w:color="auto" w:fill="ececec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946">
    <w:name w:val="Medium List 2 Accent 4"/>
    <w:basedOn w:val="74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7">
    <w:name w:val="Medium List 2 Accent 2"/>
    <w:basedOn w:val="74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8">
    <w:name w:val="Medium List 2 Accent 3"/>
    <w:basedOn w:val="74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9">
    <w:name w:val="Light Grid"/>
    <w:basedOn w:val="748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950">
    <w:name w:val="Normal (Web)"/>
    <w:basedOn w:val="737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1">
    <w:name w:val="footnote text"/>
    <w:basedOn w:val="737"/>
    <w:link w:val="95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952" w:customStyle="1">
    <w:name w:val="Текст сноски Знак"/>
    <w:basedOn w:val="747"/>
    <w:link w:val="951"/>
    <w:uiPriority w:val="99"/>
    <w:semiHidden/>
    <w:rPr>
      <w:sz w:val="20"/>
      <w:szCs w:val="20"/>
    </w:rPr>
  </w:style>
  <w:style w:type="character" w:styleId="953">
    <w:name w:val="footnote reference"/>
    <w:basedOn w:val="747"/>
    <w:uiPriority w:val="99"/>
    <w:semiHidden/>
    <w:unhideWhenUsed/>
    <w:rPr>
      <w:vertAlign w:val="superscript"/>
    </w:rPr>
  </w:style>
  <w:style w:type="character" w:styleId="954" w:customStyle="1">
    <w:name w:val="Заголовок 2 Знак"/>
    <w:basedOn w:val="747"/>
    <w:link w:val="739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955">
    <w:name w:val="Body Text"/>
    <w:basedOn w:val="737"/>
    <w:link w:val="956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956" w:customStyle="1">
    <w:name w:val="Основной текст Знак"/>
    <w:basedOn w:val="747"/>
    <w:link w:val="955"/>
    <w:rPr>
      <w:rFonts w:ascii="Arial" w:hAnsi="Arial" w:cs="Times New Roman"/>
      <w:color w:val="004077" w:themeColor="accent1"/>
    </w:rPr>
  </w:style>
  <w:style w:type="character" w:styleId="957" w:customStyle="1">
    <w:name w:val="Заголовок 1 Знак"/>
    <w:basedOn w:val="747"/>
    <w:link w:val="738"/>
    <w:uiPriority w:val="9"/>
    <w:rPr>
      <w:rFonts w:asciiTheme="majorHAnsi" w:hAnsiTheme="majorHAnsi" w:eastAsiaTheme="majorEastAsia" w:cstheme="majorBidi"/>
      <w:color w:val="002f59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F2857-D0EB-40AB-8A65-15542C09A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ЕТЦ БСИ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Миронов Дмитрий Викторович</dc:creator>
  <cp:lastModifiedBy>rim</cp:lastModifiedBy>
  <cp:revision>3</cp:revision>
  <dcterms:created xsi:type="dcterms:W3CDTF">2026-07-30T10:09:00Z</dcterms:created>
  <dcterms:modified xsi:type="dcterms:W3CDTF">2026-07-30T12:44:17Z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