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Домашнее задание. Семинар 2</w:t>
      </w:r>
    </w:p>
    <w:p w:rsidR="00000000" w:rsidDel="00000000" w:rsidP="00000000" w:rsidRDefault="00000000" w:rsidRPr="00000000" w14:paraId="00000002">
      <w:pPr>
        <w:jc w:val="center"/>
        <w:rPr>
          <w:rFonts w:ascii="IBM Plex Sans" w:cs="IBM Plex Sans" w:eastAsia="IBM Plex Sans" w:hAnsi="IBM Plex Sans"/>
          <w:b w:val="1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8"/>
          <w:szCs w:val="28"/>
          <w:rtl w:val="0"/>
        </w:rPr>
        <w:t xml:space="preserve">Отчет о тестировании функционала </w:t>
      </w:r>
    </w:p>
    <w:p w:rsidR="00000000" w:rsidDel="00000000" w:rsidP="00000000" w:rsidRDefault="00000000" w:rsidRPr="00000000" w14:paraId="00000003">
      <w:pPr>
        <w:jc w:val="center"/>
        <w:rPr>
          <w:rFonts w:ascii="IBM Plex Sans" w:cs="IBM Plex Sans" w:eastAsia="IBM Plex Sans" w:hAnsi="IBM Plex Sans"/>
          <w:sz w:val="28"/>
          <w:szCs w:val="28"/>
        </w:rPr>
      </w:pPr>
      <w:r w:rsidDel="00000000" w:rsidR="00000000" w:rsidRPr="00000000">
        <w:rPr>
          <w:rFonts w:ascii="IBM Plex Sans" w:cs="IBM Plex Sans" w:eastAsia="IBM Plex Sans" w:hAnsi="IBM Plex Sans"/>
          <w:sz w:val="28"/>
          <w:szCs w:val="28"/>
          <w:rtl w:val="0"/>
        </w:rPr>
        <w:t xml:space="preserve">“Создание публикации”</w:t>
      </w:r>
    </w:p>
    <w:p w:rsidR="00000000" w:rsidDel="00000000" w:rsidP="00000000" w:rsidRDefault="00000000" w:rsidRPr="00000000" w14:paraId="00000004">
      <w:pPr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18"/>
          <w:szCs w:val="18"/>
          <w:rtl w:val="0"/>
        </w:rPr>
        <w:t xml:space="preserve">*запрашивать доступ к файлу не надо*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Информацию о проекте.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протестировать функционал, который на текущий момент реализован на стороне бэка – создание тестового пользователя (2.2. Лента своих постов и 2.3. Лента чужих постов). Описание функционала доступно по ссылке: </w:t>
      </w:r>
      <w:hyperlink r:id="rId6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Семинар 2. Практика. Создание публикации</w:t>
        </w:r>
      </w:hyperlink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Команда тестировщиков.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таблице указан список специалистов, задействованных в тестировании проекта, с указанием закрепленного за каждым участником тестируемого функционала.</w:t>
      </w:r>
    </w:p>
    <w:tbl>
      <w:tblPr>
        <w:tblStyle w:val="Table1"/>
        <w:tblW w:w="8709.0" w:type="dxa"/>
        <w:jc w:val="left"/>
        <w:tblInd w:w="3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3540"/>
        <w:gridCol w:w="2194.5"/>
        <w:gridCol w:w="2194.5"/>
        <w:tblGridChange w:id="0">
          <w:tblGrid>
            <w:gridCol w:w="780"/>
            <w:gridCol w:w="3540"/>
            <w:gridCol w:w="2194.5"/>
            <w:gridCol w:w="219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ФИО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Должность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Функционал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180" w:lineRule="auto"/>
              <w:ind w:left="0" w:right="320" w:firstLine="0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color w:val="ff0000"/>
                <w:sz w:val="20"/>
                <w:szCs w:val="20"/>
                <w:rtl w:val="0"/>
              </w:rPr>
              <w:t xml:space="preserve">{ФИО преподавателя}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Тимлид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IBM Plex Sans" w:cs="IBM Plex Sans" w:eastAsia="IBM Plex Sans" w:hAnsi="IBM Plex Sans"/>
                <w:sz w:val="20"/>
                <w:szCs w:val="20"/>
              </w:rPr>
            </w:pPr>
            <w:r w:rsidDel="00000000" w:rsidR="00000000" w:rsidRPr="00000000">
              <w:rPr>
                <w:rFonts w:ascii="IBM Plex Sans" w:cs="IBM Plex Sans" w:eastAsia="IBM Plex Sans" w:hAnsi="IBM Plex Sans"/>
                <w:sz w:val="20"/>
                <w:szCs w:val="20"/>
                <w:rtl w:val="0"/>
              </w:rPr>
              <w:t xml:space="preserve">Лидирование проекта</w:t>
            </w:r>
          </w:p>
        </w:tc>
      </w:tr>
    </w:tbl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Описание процесса тестирования.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 качестве тестовой документации были составлены чек-листы. Выбор был сделан в пользу них, так как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{дополнить описание, почему был сделан такой выбор в пользу чек-листов.}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Тестовая документация находится по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ссылку на чек-листы, составленные в гугл таблице, шаблон: </w:t>
      </w:r>
      <w:hyperlink r:id="rId7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Шаблон для чек-листов и баг-репортов</w:t>
        </w:r>
      </w:hyperlink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Результат прогона тест-рана: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{прикрепить скриншот результата прогона, либо написать сколько кейса в каком статусе}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Коллекция с запросами в Postman доступна по следующему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{прикрепить ссылку на коллекцию экспортированную из постмана}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Каждый запрос был покрыт тестами, результат прогона всей коллекции можно видеть на скриншоте ниже: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{прикрепить скрин прогона всей коллекции}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b w:val="1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Статистика по дефектам.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Заведенные баг-репорты можно найти по следующему адресу: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ссылку на составленные в гугл таблице, шаблон: </w:t>
      </w:r>
      <w:hyperlink r:id="rId8">
        <w:r w:rsidDel="00000000" w:rsidR="00000000" w:rsidRPr="00000000">
          <w:rPr>
            <w:rFonts w:ascii="IBM Plex Sans" w:cs="IBM Plex Sans" w:eastAsia="IBM Plex Sans" w:hAnsi="IBM Plex Sans"/>
            <w:color w:val="1155cc"/>
            <w:sz w:val="20"/>
            <w:szCs w:val="20"/>
            <w:u w:val="single"/>
            <w:rtl w:val="0"/>
          </w:rPr>
          <w:t xml:space="preserve">Шаблон для чек-листов и баг-репортов</w:t>
        </w:r>
      </w:hyperlink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 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Из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{количество заведенных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количество багов}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 – имеют статус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{указать статус}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20"/>
          <w:szCs w:val="20"/>
          <w:rtl w:val="0"/>
        </w:rPr>
        <w:t xml:space="preserve">Качество объекта тестирования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Исходя из </w:t>
      </w:r>
      <w:r w:rsidDel="00000000" w:rsidR="00000000" w:rsidRPr="00000000">
        <w:rPr>
          <w:rFonts w:ascii="IBM Plex Sans" w:cs="IBM Plex Sans" w:eastAsia="IBM Plex Sans" w:hAnsi="IBM Plex Sans"/>
          <w:color w:val="ff0000"/>
          <w:sz w:val="20"/>
          <w:szCs w:val="20"/>
          <w:rtl w:val="0"/>
        </w:rPr>
        <w:t xml:space="preserve">{написать вывод по тестированию функционала, обосновать почему можно релизить функционал или же наоборот нельзя}</w:t>
      </w: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3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Флоу сдачи домашнего задания: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Необходимо создать копию этого отчета себе на гугл диск, выбрав “Создать копию” и назовите файл: ФИО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2928938" cy="116768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1167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Выполнить задание, заполнив все необходимые поля в отчете (обозначены красным цветом). (ps. немного редактировать отчет можно, но структуру оставить как есть).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Настроить права на редактирование по ссылке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4165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После того, как клонировали ссылку, убедитесь, что по ней открывается ваша работа через режим инкогнито, для этого, например в Chrome откройте “Новое окно в режиме инкогнито”.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firstLine="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</w:rPr>
        <w:drawing>
          <wp:inline distB="114300" distT="114300" distL="114300" distR="114300">
            <wp:extent cx="5731200" cy="132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720" w:right="320" w:hanging="360"/>
        <w:rPr>
          <w:rFonts w:ascii="IBM Plex Sans" w:cs="IBM Plex Sans" w:eastAsia="IBM Plex Sans" w:hAnsi="IBM Plex Sans"/>
          <w:sz w:val="20"/>
          <w:szCs w:val="20"/>
        </w:rPr>
      </w:pPr>
      <w:r w:rsidDel="00000000" w:rsidR="00000000" w:rsidRPr="00000000">
        <w:rPr>
          <w:rFonts w:ascii="IBM Plex Sans" w:cs="IBM Plex Sans" w:eastAsia="IBM Plex Sans" w:hAnsi="IBM Plex Sans"/>
          <w:sz w:val="20"/>
          <w:szCs w:val="20"/>
          <w:rtl w:val="0"/>
        </w:rPr>
        <w:t xml:space="preserve">Если открывается ссылка, то значит и у преподавателя откроется. Можете смело прикреплять на платформе ссылку на отчет этот.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80" w:lineRule="auto"/>
        <w:ind w:left="0" w:right="3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gP_qB-ogul8Nwa603Wxsd2VfC4Pya6BI9stNVyCwp74/edit?usp=sharing" TargetMode="External"/><Relationship Id="rId7" Type="http://schemas.openxmlformats.org/officeDocument/2006/relationships/hyperlink" Target="https://docs.google.com/spreadsheets/d/1VI77RWOSVWRwbE8AbAmtKY741UbXSnnQe_HwEa28mrY/edit?usp=sharing" TargetMode="External"/><Relationship Id="rId8" Type="http://schemas.openxmlformats.org/officeDocument/2006/relationships/hyperlink" Target="https://docs.google.com/spreadsheets/d/1VI77RWOSVWRwbE8AbAmtKY741UbXSnnQe_HwEa28mrY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