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D34" w:rsidRDefault="00171D34" w:rsidP="00171D34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5.8 </w:t>
      </w:r>
      <w:proofErr w:type="spellStart"/>
      <w:r>
        <w:rPr>
          <w:rFonts w:ascii="Arial" w:hAnsi="Arial" w:cs="Arial"/>
          <w:b/>
          <w:bCs/>
          <w:color w:val="E0E0E0"/>
        </w:rPr>
        <w:t>Letsencrypt</w:t>
      </w:r>
      <w:proofErr w:type="spellEnd"/>
    </w:p>
    <w:p w:rsidR="007B4D7F" w:rsidRDefault="007B4D7F" w:rsidP="007B4D7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Let’s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Encrypt</w:t>
      </w:r>
      <w:proofErr w:type="spellEnd"/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Let's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 — это бесплатный автоматизированный и открытый центр сертификации, созданный </w:t>
      </w:r>
      <w:proofErr w:type="spellStart"/>
      <w:r>
        <w:rPr>
          <w:rFonts w:ascii="Arial" w:hAnsi="Arial" w:cs="Arial"/>
          <w:color w:val="E0E0E0"/>
        </w:rPr>
        <w:t>Internet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Security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Research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Group</w:t>
      </w:r>
      <w:proofErr w:type="spellEnd"/>
      <w:r>
        <w:rPr>
          <w:rFonts w:ascii="Arial" w:hAnsi="Arial" w:cs="Arial"/>
          <w:color w:val="E0E0E0"/>
        </w:rPr>
        <w:t xml:space="preserve"> (ISRG). ISRG — калифорнийская общественная некоммерческая организация, специализирующаяся на интернет-безопасности. 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работает по протоколу ACME (о нём мы поговорим в следующем разделе) и решает проблему автоматической настройки HTTPS на сервере, когда сертификаты SSL и TLS выдаются и обновляются без участия человека. Это возможно сделать с помощью сервиса ACME-агент, который работает на сервере.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Настройка состоит из двух этапов. На первом этапе ACME-агент уведомляет центр сертификации, что веб-сервер владеет доменом. На втором этапе ACME-агент может запрашивать продление, обновлять и отзывать сертификаты для этого домена. Рассмотрим каждый этап подробнее.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Этап первый</w:t>
      </w:r>
      <w:r>
        <w:rPr>
          <w:rFonts w:ascii="Arial" w:hAnsi="Arial" w:cs="Arial"/>
          <w:color w:val="E0E0E0"/>
        </w:rPr>
        <w:t xml:space="preserve">. Представим, что вы написали сайт и выложили его на хостинг с HTTP-протоколом. Далее вам необходимо подключиться к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и сделать подключение безопасным по протоколу HTTPS, то есть HTTP + SSL/TLS-сертификат. После этого вы должны стать ACME-агентом и создать пару из открытого и закрытого ключей. Затем вы подключаетесь к центру сертификации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>, после чего создаётся аккаунт администратора сервера. Аналогично обычным центрам сертификации в созданный вами аккаунт будут добавляться доменные имена, которыми владеет администратор.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Чтобы запустить проверку, агент запрашивает у центра сертификации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инструкции, как именно проверять права на домен example.com. Для каждого варианта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подготавливает серию тестов. 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Есть несколько способов проверить права на домен. Например, перед проверкой прав на домен example.com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может предложить агенту выбор: предоставить DNS-запись для </w:t>
      </w:r>
      <w:proofErr w:type="spellStart"/>
      <w:r>
        <w:rPr>
          <w:rFonts w:ascii="Arial" w:hAnsi="Arial" w:cs="Arial"/>
          <w:color w:val="E0E0E0"/>
        </w:rPr>
        <w:t>поддомена</w:t>
      </w:r>
      <w:proofErr w:type="spellEnd"/>
      <w:r>
        <w:rPr>
          <w:rFonts w:ascii="Arial" w:hAnsi="Arial" w:cs="Arial"/>
          <w:color w:val="E0E0E0"/>
        </w:rPr>
        <w:t xml:space="preserve"> внутри example.com или HTTP-ресурс с определённым URI внутри http://example.com/.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Одновременно с тестированием прав администратора на домен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проверяет права агента на открытый и закрытый ключи.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отправляет агенту одноразовый пароль, который агент должен подписать закрытым ключом и отослать обратно.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B4D7F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35D6BA59" wp14:editId="4D540122">
            <wp:extent cx="5940425" cy="104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Далее центр сертификации проверяет, всё ли было сделано верно. Проверяются </w:t>
      </w:r>
      <w:r>
        <w:rPr>
          <w:rFonts w:ascii="Arial" w:hAnsi="Arial" w:cs="Arial"/>
          <w:color w:val="E0E0E0"/>
        </w:rPr>
        <w:lastRenderedPageBreak/>
        <w:t>корректная цифровая подпись на одноразовом пароле, возможность скачать созданный файл по URI, а также его содержимое.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B4D7F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5FD4083D" wp14:editId="34946D8C">
            <wp:extent cx="5940425" cy="2386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Если цифровая подпись верна и все тесты пройдены, агенту выдаются права на управление сертификатами для домена example.com. Ключевая пара (открытый и закрытый ключи), используемая при проверке прав на домен, называется авторизованной ключевой парой для example.com.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Этап второй</w:t>
      </w:r>
      <w:r>
        <w:rPr>
          <w:rFonts w:ascii="Arial" w:hAnsi="Arial" w:cs="Arial"/>
          <w:color w:val="E0E0E0"/>
        </w:rPr>
        <w:t>. После авторизации ключевой пары запрос, обновление и отзыв сертификатов проходят быстро, поскольку агент просто посылает текстовые сообщения в центр сертификации.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При получении запроса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проверяет обе подписи. Если всё в порядке, он выпускает сертификат для example.com с открытым ключом из CSR (</w:t>
      </w:r>
      <w:proofErr w:type="spellStart"/>
      <w:r>
        <w:rPr>
          <w:rFonts w:ascii="Arial" w:hAnsi="Arial" w:cs="Arial"/>
          <w:color w:val="E0E0E0"/>
        </w:rPr>
        <w:t>Certificate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Signing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Request</w:t>
      </w:r>
      <w:proofErr w:type="spellEnd"/>
      <w:r>
        <w:rPr>
          <w:rFonts w:ascii="Arial" w:hAnsi="Arial" w:cs="Arial"/>
          <w:color w:val="E0E0E0"/>
        </w:rPr>
        <w:t xml:space="preserve"> — это зашифрованный запрос на выпуск сертификата, содержащий подробную информацию о домене и организации) и возвращает его агенту.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B4D7F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11DA153E" wp14:editId="767B781C">
            <wp:extent cx="5940425" cy="1854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Отзыв сертификата происходит аналогично. Агент подписывает запрос об отзыве ключевой парой, авторизованной для example.com, и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подтверждает авторизацию запроса.</w:t>
      </w:r>
    </w:p>
    <w:p w:rsidR="007B4D7F" w:rsidRDefault="007B4D7F" w:rsidP="007B4D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B4D7F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1E028963" wp14:editId="6AD3007D">
            <wp:extent cx="5940425" cy="2611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Результат вашей настройки будет отображаться на сайте, как представлено на изображении.</w:t>
      </w:r>
    </w:p>
    <w:p w:rsidR="00AE36B9" w:rsidRDefault="007B4D7F" w:rsidP="00171D34">
      <w:r w:rsidRPr="007B4D7F">
        <w:rPr>
          <w:rFonts w:ascii="Arial" w:eastAsia="Times New Roman" w:hAnsi="Arial" w:cs="Arial"/>
          <w:color w:val="E0E0E0"/>
          <w:sz w:val="18"/>
          <w:szCs w:val="18"/>
          <w:lang w:eastAsia="ru-RU"/>
        </w:rPr>
        <w:drawing>
          <wp:inline distT="0" distB="0" distL="0" distR="0" wp14:anchorId="5ED1CBB9" wp14:editId="5E1D7366">
            <wp:extent cx="5940425" cy="3983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5B2" w:rsidRDefault="00E015B2" w:rsidP="00171D34"/>
    <w:p w:rsidR="00E015B2" w:rsidRDefault="00E015B2" w:rsidP="00E015B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ACME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ACME (</w:t>
      </w:r>
      <w:proofErr w:type="spellStart"/>
      <w:r>
        <w:rPr>
          <w:rStyle w:val="a4"/>
          <w:rFonts w:ascii="Arial" w:hAnsi="Arial" w:cs="Arial"/>
          <w:color w:val="E0E0E0"/>
        </w:rPr>
        <w:t>Automatic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Certificate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Management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Environment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 xml:space="preserve"> — протокол автоматической среды управления сертификатами, который необходим для автоматизации взаимодействия между центрами сертификации и клиентами. Он позволяет автоматически развёртывать инфраструктуру открытых ключей с очень низкими затратами. ACME был разработан некоммерческой организацией ISRG для их сервиса </w:t>
      </w:r>
      <w:proofErr w:type="spellStart"/>
      <w:r>
        <w:rPr>
          <w:rFonts w:ascii="Arial" w:hAnsi="Arial" w:cs="Arial"/>
          <w:color w:val="E0E0E0"/>
        </w:rPr>
        <w:t>Let's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>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Протокол ACME базируется на передаче сообщений в формате JSON (текстовый формат обмена данными, основанный на </w:t>
      </w:r>
      <w:proofErr w:type="spellStart"/>
      <w:r>
        <w:rPr>
          <w:rFonts w:ascii="Arial" w:hAnsi="Arial" w:cs="Arial"/>
          <w:color w:val="E0E0E0"/>
        </w:rPr>
        <w:t>JavaScript</w:t>
      </w:r>
      <w:proofErr w:type="spellEnd"/>
      <w:r>
        <w:rPr>
          <w:rFonts w:ascii="Arial" w:hAnsi="Arial" w:cs="Arial"/>
          <w:color w:val="E0E0E0"/>
        </w:rPr>
        <w:t>) через HTTPS. Он был опубликован уставной рабочей группой IETF (</w:t>
      </w:r>
      <w:proofErr w:type="spellStart"/>
      <w:r>
        <w:rPr>
          <w:rFonts w:ascii="Arial" w:hAnsi="Arial" w:cs="Arial"/>
          <w:color w:val="E0E0E0"/>
        </w:rPr>
        <w:t>Internet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Engineering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Task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Force</w:t>
      </w:r>
      <w:proofErr w:type="spellEnd"/>
      <w:r>
        <w:rPr>
          <w:rFonts w:ascii="Arial" w:hAnsi="Arial" w:cs="Arial"/>
          <w:color w:val="E0E0E0"/>
        </w:rPr>
        <w:t>, или Инженерный совет интернета) как интернет-стандарт </w:t>
      </w:r>
      <w:hyperlink r:id="rId10" w:tgtFrame="_blank" w:history="1">
        <w:r>
          <w:rPr>
            <w:rStyle w:val="a5"/>
            <w:rFonts w:ascii="Arial" w:eastAsiaTheme="majorEastAsia" w:hAnsi="Arial" w:cs="Arial"/>
          </w:rPr>
          <w:t>RFC 8555</w:t>
        </w:r>
      </w:hyperlink>
      <w:r>
        <w:rPr>
          <w:rFonts w:ascii="Arial" w:hAnsi="Arial" w:cs="Arial"/>
          <w:color w:val="E0E0E0"/>
        </w:rPr>
        <w:t>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Рассмотрим пример архитектуры по методологии ACME на примере настройки на </w:t>
      </w:r>
      <w:proofErr w:type="spellStart"/>
      <w:r>
        <w:rPr>
          <w:rFonts w:ascii="Arial" w:hAnsi="Arial" w:cs="Arial"/>
          <w:color w:val="E0E0E0"/>
        </w:rPr>
        <w:t>Kubernetes</w:t>
      </w:r>
      <w:proofErr w:type="spellEnd"/>
      <w:r>
        <w:rPr>
          <w:rFonts w:ascii="Arial" w:hAnsi="Arial" w:cs="Arial"/>
          <w:color w:val="E0E0E0"/>
        </w:rPr>
        <w:t>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Kubernetes</w:t>
      </w:r>
      <w:proofErr w:type="spellEnd"/>
      <w:r>
        <w:rPr>
          <w:rFonts w:ascii="Arial" w:hAnsi="Arial" w:cs="Arial"/>
          <w:color w:val="E0E0E0"/>
        </w:rPr>
        <w:t xml:space="preserve"> — открытое программное обеспечение для оркестровки </w:t>
      </w:r>
      <w:proofErr w:type="spellStart"/>
      <w:r>
        <w:rPr>
          <w:rFonts w:ascii="Arial" w:hAnsi="Arial" w:cs="Arial"/>
          <w:color w:val="E0E0E0"/>
        </w:rPr>
        <w:t>контейнеризированных</w:t>
      </w:r>
      <w:proofErr w:type="spellEnd"/>
      <w:r>
        <w:rPr>
          <w:rFonts w:ascii="Arial" w:hAnsi="Arial" w:cs="Arial"/>
          <w:color w:val="E0E0E0"/>
        </w:rPr>
        <w:t xml:space="preserve"> приложений, то есть автоматизации их развёртывания, масштабирования и координации в условиях кластера. Технология контейнеризации — это ещё одна форма виртуализации операционной системы, предлагающая изоляцию приложений в пользовательских пространствах (контейнерах).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E015B2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D5B9D62" wp14:editId="13E952C2">
            <wp:extent cx="5940425" cy="24898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Цель этой архитектуры в том, чтобы автоматически предоставить доверенный сертификат входному контроллеру, который будет использовать его для завершения зашифрованных HTTPS-соединений из интернета. Этот процесс показан пурпурным цветом в правой части рисунка.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Однако прежде чем пользователь получит этот сертификат, должно произойти несколько процессов.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Регистрация эмитента сертификатного менеджера на сервисе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>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После успешной регистрации объект сертификата </w:t>
      </w:r>
      <w:proofErr w:type="spellStart"/>
      <w:r>
        <w:rPr>
          <w:rFonts w:ascii="Arial" w:hAnsi="Arial" w:cs="Arial"/>
          <w:color w:val="E0E0E0"/>
        </w:rPr>
        <w:t>cert-manager</w:t>
      </w:r>
      <w:proofErr w:type="spellEnd"/>
      <w:r>
        <w:rPr>
          <w:rFonts w:ascii="Arial" w:hAnsi="Arial" w:cs="Arial"/>
          <w:color w:val="E0E0E0"/>
        </w:rPr>
        <w:t xml:space="preserve"> отправит список доменов в центр сертификации. В ответ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отправит URL-путь и ключ к объекту сертификата </w:t>
      </w:r>
      <w:proofErr w:type="spellStart"/>
      <w:r>
        <w:rPr>
          <w:rFonts w:ascii="Arial" w:hAnsi="Arial" w:cs="Arial"/>
          <w:color w:val="E0E0E0"/>
        </w:rPr>
        <w:t>cert-manager</w:t>
      </w:r>
      <w:proofErr w:type="spellEnd"/>
      <w:r>
        <w:rPr>
          <w:rFonts w:ascii="Arial" w:hAnsi="Arial" w:cs="Arial"/>
          <w:color w:val="E0E0E0"/>
        </w:rPr>
        <w:t>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Сразу после этого объект сертификации создаст три временных объекта с целью проверки ACME:</w:t>
      </w:r>
    </w:p>
    <w:p w:rsidR="00E015B2" w:rsidRDefault="00E015B2" w:rsidP="00E015B2">
      <w:pPr>
        <w:numPr>
          <w:ilvl w:val="1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ACME POD (POD — это наименьшая единица выполнения в </w:t>
      </w:r>
      <w:proofErr w:type="spellStart"/>
      <w:r>
        <w:rPr>
          <w:rFonts w:ascii="Arial" w:hAnsi="Arial" w:cs="Arial"/>
          <w:color w:val="E0E0E0"/>
        </w:rPr>
        <w:t>Kubernetes</w:t>
      </w:r>
      <w:proofErr w:type="spellEnd"/>
      <w:r>
        <w:rPr>
          <w:rFonts w:ascii="Arial" w:hAnsi="Arial" w:cs="Arial"/>
          <w:color w:val="E0E0E0"/>
        </w:rPr>
        <w:t>), который прослушивает порт 8089;</w:t>
      </w:r>
    </w:p>
    <w:p w:rsidR="00E015B2" w:rsidRDefault="00E015B2" w:rsidP="00E015B2">
      <w:pPr>
        <w:numPr>
          <w:ilvl w:val="1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службу ACME, получающую доступ к POD;</w:t>
      </w:r>
    </w:p>
    <w:p w:rsidR="00E015B2" w:rsidRDefault="00E015B2" w:rsidP="00E015B2">
      <w:pPr>
        <w:numPr>
          <w:ilvl w:val="1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серверную запись во входном контроллере, указывающую на порт 8090.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Как только три временных объекта станут полностью функциональными, у службы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ACME появится доступ к POD по домену и </w:t>
      </w:r>
      <w:proofErr w:type="gramStart"/>
      <w:r>
        <w:rPr>
          <w:rFonts w:ascii="Arial" w:hAnsi="Arial" w:cs="Arial"/>
          <w:color w:val="E0E0E0"/>
        </w:rPr>
        <w:t>URL-адресу</w:t>
      </w:r>
      <w:proofErr w:type="gramEnd"/>
      <w:r>
        <w:rPr>
          <w:rFonts w:ascii="Arial" w:hAnsi="Arial" w:cs="Arial"/>
          <w:color w:val="E0E0E0"/>
        </w:rPr>
        <w:t xml:space="preserve"> и она получит ключ от POD. Благодаря этим действиям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подтвердит, что человек, запросивший подпись сертификата, имеет полный контроль над доменом, указанным в сертификате.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проверки о том, что домен действителен, служба ACME отправит подписанный сертификат объекту сертификата.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получения подписанного сертификата объект сертификата диспетчера сертификатов сможет инкапсулировать сертификат и закрытый ключ в секрет TLS.</w:t>
      </w:r>
    </w:p>
    <w:p w:rsidR="00E015B2" w:rsidRDefault="00E015B2" w:rsidP="00E015B2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 этого момента контроллер входящего трафика сможет получить доступ к сертификату и ключу и использовать их для завершения сеансов HTTPS из интернета.</w:t>
      </w:r>
    </w:p>
    <w:p w:rsidR="00E015B2" w:rsidRDefault="00E015B2" w:rsidP="00E015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Описанный способ используется преимущественно в крупных компаниях, где нужно работать с кластерами серверов. Если возможен упрощённый режим работы с ACME, её можно выполнить </w:t>
      </w:r>
      <w:hyperlink r:id="rId12" w:tgtFrame="_blank" w:history="1">
        <w:r>
          <w:rPr>
            <w:rStyle w:val="a5"/>
            <w:rFonts w:ascii="Arial" w:eastAsiaTheme="majorEastAsia" w:hAnsi="Arial" w:cs="Arial"/>
          </w:rPr>
          <w:t xml:space="preserve">при помощи утилиты </w:t>
        </w:r>
        <w:proofErr w:type="spellStart"/>
        <w:r>
          <w:rPr>
            <w:rStyle w:val="a5"/>
            <w:rFonts w:ascii="Arial" w:eastAsiaTheme="majorEastAsia" w:hAnsi="Arial" w:cs="Arial"/>
          </w:rPr>
          <w:t>CertBot</w:t>
        </w:r>
        <w:proofErr w:type="spellEnd"/>
      </w:hyperlink>
      <w:r>
        <w:rPr>
          <w:rFonts w:ascii="Arial" w:hAnsi="Arial" w:cs="Arial"/>
          <w:color w:val="E0E0E0"/>
        </w:rPr>
        <w:t xml:space="preserve">, которая написана на скриптовом языке </w:t>
      </w:r>
      <w:proofErr w:type="spellStart"/>
      <w:r>
        <w:rPr>
          <w:rFonts w:ascii="Arial" w:hAnsi="Arial" w:cs="Arial"/>
          <w:color w:val="E0E0E0"/>
        </w:rPr>
        <w:t>Python</w:t>
      </w:r>
      <w:proofErr w:type="spellEnd"/>
      <w:r>
        <w:rPr>
          <w:rFonts w:ascii="Arial" w:hAnsi="Arial" w:cs="Arial"/>
          <w:color w:val="E0E0E0"/>
        </w:rPr>
        <w:t xml:space="preserve">. С примером настройки архитектуры через </w:t>
      </w:r>
      <w:proofErr w:type="spellStart"/>
      <w:r>
        <w:rPr>
          <w:rFonts w:ascii="Arial" w:hAnsi="Arial" w:cs="Arial"/>
          <w:color w:val="E0E0E0"/>
        </w:rPr>
        <w:t>CertBot</w:t>
      </w:r>
      <w:proofErr w:type="spellEnd"/>
      <w:r>
        <w:rPr>
          <w:rFonts w:ascii="Arial" w:hAnsi="Arial" w:cs="Arial"/>
          <w:color w:val="E0E0E0"/>
        </w:rPr>
        <w:t xml:space="preserve"> вы можете познакомиться </w:t>
      </w:r>
      <w:hyperlink r:id="rId13" w:tgtFrame="_blank" w:history="1">
        <w:r>
          <w:rPr>
            <w:rStyle w:val="a5"/>
            <w:rFonts w:ascii="Arial" w:eastAsiaTheme="majorEastAsia" w:hAnsi="Arial" w:cs="Arial"/>
          </w:rPr>
          <w:t>в обучающем видео</w:t>
        </w:r>
      </w:hyperlink>
      <w:r>
        <w:rPr>
          <w:rFonts w:ascii="Arial" w:hAnsi="Arial" w:cs="Arial"/>
          <w:color w:val="E0E0E0"/>
        </w:rPr>
        <w:t>.</w:t>
      </w:r>
    </w:p>
    <w:p w:rsidR="0017414D" w:rsidRDefault="0017414D" w:rsidP="0017414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17414D" w:rsidRDefault="0017414D" w:rsidP="0017414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Из этого материала вы узнали о работе </w:t>
      </w:r>
      <w:proofErr w:type="spellStart"/>
      <w:r>
        <w:rPr>
          <w:rFonts w:ascii="Arial" w:hAnsi="Arial" w:cs="Arial"/>
          <w:color w:val="E0E0E0"/>
        </w:rPr>
        <w:t>Let’s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Encrypt</w:t>
      </w:r>
      <w:proofErr w:type="spellEnd"/>
      <w:r>
        <w:rPr>
          <w:rFonts w:ascii="Arial" w:hAnsi="Arial" w:cs="Arial"/>
          <w:color w:val="E0E0E0"/>
        </w:rPr>
        <w:t xml:space="preserve"> и познакомились с архитектурой по методологии ACME. Настроить свой центр сертификации не так сложно, особенно если есть возможность воспользоваться готовыми решениями, такими как </w:t>
      </w:r>
      <w:proofErr w:type="spellStart"/>
      <w:r>
        <w:rPr>
          <w:rFonts w:ascii="Arial" w:hAnsi="Arial" w:cs="Arial"/>
          <w:color w:val="E0E0E0"/>
        </w:rPr>
        <w:t>CertBot</w:t>
      </w:r>
      <w:proofErr w:type="spellEnd"/>
      <w:r>
        <w:rPr>
          <w:rFonts w:ascii="Arial" w:hAnsi="Arial" w:cs="Arial"/>
          <w:color w:val="E0E0E0"/>
        </w:rPr>
        <w:t>.</w:t>
      </w:r>
    </w:p>
    <w:p w:rsidR="00E015B2" w:rsidRPr="00171D34" w:rsidRDefault="00E015B2" w:rsidP="00171D34">
      <w:bookmarkStart w:id="0" w:name="_GoBack"/>
      <w:bookmarkEnd w:id="0"/>
    </w:p>
    <w:sectPr w:rsidR="00E015B2" w:rsidRPr="00171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57F"/>
    <w:multiLevelType w:val="multilevel"/>
    <w:tmpl w:val="2D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6603"/>
    <w:multiLevelType w:val="multilevel"/>
    <w:tmpl w:val="A37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6C37"/>
    <w:multiLevelType w:val="multilevel"/>
    <w:tmpl w:val="AA3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D5DF6"/>
    <w:multiLevelType w:val="multilevel"/>
    <w:tmpl w:val="045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E69A3"/>
    <w:multiLevelType w:val="multilevel"/>
    <w:tmpl w:val="A62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51A45"/>
    <w:multiLevelType w:val="multilevel"/>
    <w:tmpl w:val="052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A1725"/>
    <w:multiLevelType w:val="multilevel"/>
    <w:tmpl w:val="2D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D752F"/>
    <w:multiLevelType w:val="multilevel"/>
    <w:tmpl w:val="A97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442F0"/>
    <w:multiLevelType w:val="multilevel"/>
    <w:tmpl w:val="6FF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06046"/>
    <w:multiLevelType w:val="multilevel"/>
    <w:tmpl w:val="4A2C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87D2F"/>
    <w:multiLevelType w:val="multilevel"/>
    <w:tmpl w:val="A6D8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8E013A"/>
    <w:multiLevelType w:val="multilevel"/>
    <w:tmpl w:val="6E4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E427A"/>
    <w:multiLevelType w:val="multilevel"/>
    <w:tmpl w:val="22B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E31E9"/>
    <w:multiLevelType w:val="multilevel"/>
    <w:tmpl w:val="0CC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C65E2"/>
    <w:multiLevelType w:val="multilevel"/>
    <w:tmpl w:val="BB2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9B6301"/>
    <w:multiLevelType w:val="multilevel"/>
    <w:tmpl w:val="DE44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0"/>
  </w:num>
  <w:num w:numId="3">
    <w:abstractNumId w:val="27"/>
  </w:num>
  <w:num w:numId="4">
    <w:abstractNumId w:val="1"/>
  </w:num>
  <w:num w:numId="5">
    <w:abstractNumId w:val="5"/>
  </w:num>
  <w:num w:numId="6">
    <w:abstractNumId w:val="11"/>
  </w:num>
  <w:num w:numId="7">
    <w:abstractNumId w:val="29"/>
  </w:num>
  <w:num w:numId="8">
    <w:abstractNumId w:val="30"/>
  </w:num>
  <w:num w:numId="9">
    <w:abstractNumId w:val="10"/>
  </w:num>
  <w:num w:numId="10">
    <w:abstractNumId w:val="22"/>
  </w:num>
  <w:num w:numId="11">
    <w:abstractNumId w:val="9"/>
  </w:num>
  <w:num w:numId="12">
    <w:abstractNumId w:val="31"/>
  </w:num>
  <w:num w:numId="13">
    <w:abstractNumId w:val="6"/>
  </w:num>
  <w:num w:numId="14">
    <w:abstractNumId w:val="41"/>
  </w:num>
  <w:num w:numId="15">
    <w:abstractNumId w:val="0"/>
  </w:num>
  <w:num w:numId="16">
    <w:abstractNumId w:val="37"/>
  </w:num>
  <w:num w:numId="17">
    <w:abstractNumId w:val="35"/>
  </w:num>
  <w:num w:numId="18">
    <w:abstractNumId w:val="38"/>
  </w:num>
  <w:num w:numId="19">
    <w:abstractNumId w:val="2"/>
  </w:num>
  <w:num w:numId="20">
    <w:abstractNumId w:val="25"/>
  </w:num>
  <w:num w:numId="21">
    <w:abstractNumId w:val="36"/>
  </w:num>
  <w:num w:numId="22">
    <w:abstractNumId w:val="34"/>
  </w:num>
  <w:num w:numId="23">
    <w:abstractNumId w:val="20"/>
  </w:num>
  <w:num w:numId="24">
    <w:abstractNumId w:val="39"/>
  </w:num>
  <w:num w:numId="25">
    <w:abstractNumId w:val="32"/>
  </w:num>
  <w:num w:numId="26">
    <w:abstractNumId w:val="21"/>
  </w:num>
  <w:num w:numId="27">
    <w:abstractNumId w:val="16"/>
  </w:num>
  <w:num w:numId="28">
    <w:abstractNumId w:val="12"/>
  </w:num>
  <w:num w:numId="29">
    <w:abstractNumId w:val="14"/>
  </w:num>
  <w:num w:numId="30">
    <w:abstractNumId w:val="24"/>
  </w:num>
  <w:num w:numId="31">
    <w:abstractNumId w:val="28"/>
  </w:num>
  <w:num w:numId="32">
    <w:abstractNumId w:val="26"/>
  </w:num>
  <w:num w:numId="33">
    <w:abstractNumId w:val="15"/>
  </w:num>
  <w:num w:numId="34">
    <w:abstractNumId w:val="13"/>
  </w:num>
  <w:num w:numId="35">
    <w:abstractNumId w:val="42"/>
  </w:num>
  <w:num w:numId="36">
    <w:abstractNumId w:val="8"/>
  </w:num>
  <w:num w:numId="37">
    <w:abstractNumId w:val="33"/>
  </w:num>
  <w:num w:numId="38">
    <w:abstractNumId w:val="7"/>
  </w:num>
  <w:num w:numId="39">
    <w:abstractNumId w:val="3"/>
  </w:num>
  <w:num w:numId="40">
    <w:abstractNumId w:val="18"/>
  </w:num>
  <w:num w:numId="41">
    <w:abstractNumId w:val="4"/>
  </w:num>
  <w:num w:numId="42">
    <w:abstractNumId w:val="23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420C5"/>
    <w:rsid w:val="00065137"/>
    <w:rsid w:val="0006664A"/>
    <w:rsid w:val="00072CAC"/>
    <w:rsid w:val="00086D94"/>
    <w:rsid w:val="000A02D3"/>
    <w:rsid w:val="000C0F8B"/>
    <w:rsid w:val="000E13B7"/>
    <w:rsid w:val="001072A7"/>
    <w:rsid w:val="00120391"/>
    <w:rsid w:val="00157C11"/>
    <w:rsid w:val="00164F68"/>
    <w:rsid w:val="00171D34"/>
    <w:rsid w:val="0017414D"/>
    <w:rsid w:val="001C1BF0"/>
    <w:rsid w:val="001D00FD"/>
    <w:rsid w:val="00221344"/>
    <w:rsid w:val="002442E8"/>
    <w:rsid w:val="002979A9"/>
    <w:rsid w:val="002A41A9"/>
    <w:rsid w:val="002C4F1E"/>
    <w:rsid w:val="002D178C"/>
    <w:rsid w:val="002D7326"/>
    <w:rsid w:val="00326AAA"/>
    <w:rsid w:val="003851E2"/>
    <w:rsid w:val="00436256"/>
    <w:rsid w:val="00437F2C"/>
    <w:rsid w:val="00497FCE"/>
    <w:rsid w:val="004B12C2"/>
    <w:rsid w:val="004D65E1"/>
    <w:rsid w:val="00502303"/>
    <w:rsid w:val="0051367C"/>
    <w:rsid w:val="0052269B"/>
    <w:rsid w:val="0053480B"/>
    <w:rsid w:val="005E1A18"/>
    <w:rsid w:val="005F0E64"/>
    <w:rsid w:val="005F40C0"/>
    <w:rsid w:val="00602BF8"/>
    <w:rsid w:val="00622EAE"/>
    <w:rsid w:val="00630C9D"/>
    <w:rsid w:val="00662EF7"/>
    <w:rsid w:val="00677844"/>
    <w:rsid w:val="007267CE"/>
    <w:rsid w:val="00741AA7"/>
    <w:rsid w:val="007759EA"/>
    <w:rsid w:val="007867F6"/>
    <w:rsid w:val="007B4D7F"/>
    <w:rsid w:val="008B0CB0"/>
    <w:rsid w:val="009A7D48"/>
    <w:rsid w:val="009C57A6"/>
    <w:rsid w:val="009D12A7"/>
    <w:rsid w:val="00A772F7"/>
    <w:rsid w:val="00AE36B9"/>
    <w:rsid w:val="00B01762"/>
    <w:rsid w:val="00B03819"/>
    <w:rsid w:val="00B40450"/>
    <w:rsid w:val="00BD55AC"/>
    <w:rsid w:val="00C12740"/>
    <w:rsid w:val="00C22F8A"/>
    <w:rsid w:val="00C93FDE"/>
    <w:rsid w:val="00CB401A"/>
    <w:rsid w:val="00CD3E9E"/>
    <w:rsid w:val="00CE1887"/>
    <w:rsid w:val="00D06B80"/>
    <w:rsid w:val="00D21F9B"/>
    <w:rsid w:val="00D36C3D"/>
    <w:rsid w:val="00D80EC4"/>
    <w:rsid w:val="00D97CAA"/>
    <w:rsid w:val="00DB39D3"/>
    <w:rsid w:val="00DC72F1"/>
    <w:rsid w:val="00DE43A6"/>
    <w:rsid w:val="00DF3B3C"/>
    <w:rsid w:val="00E015B2"/>
    <w:rsid w:val="00E21E0D"/>
    <w:rsid w:val="00E229EA"/>
    <w:rsid w:val="00E635B0"/>
    <w:rsid w:val="00E86BF3"/>
    <w:rsid w:val="00E93E8C"/>
    <w:rsid w:val="00E97A24"/>
    <w:rsid w:val="00F43D31"/>
    <w:rsid w:val="00F95FE2"/>
    <w:rsid w:val="00FA2054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0C98F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b-instagram-video-disclaimertext">
    <w:name w:val="fb-instagram-video-disclaimer__text"/>
    <w:basedOn w:val="a"/>
    <w:rsid w:val="009C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5F0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5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5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5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0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52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7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24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2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1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32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youtu.be/0LDkecAwvuQ?si=tmGvkwW81AFQRME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ertbot.eff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atatracker.ietf.org/doc/html/rfc855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5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85</cp:revision>
  <dcterms:created xsi:type="dcterms:W3CDTF">2025-08-19T18:48:00Z</dcterms:created>
  <dcterms:modified xsi:type="dcterms:W3CDTF">2025-10-26T15:30:00Z</dcterms:modified>
</cp:coreProperties>
</file>