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5"/>
        <w:pBdr/>
        <w:spacing/>
        <w:ind/>
        <w:rPr/>
      </w:pPr>
      <w:r>
        <w:t xml:space="preserve">Оценка надёжности zero-shot прогнозирования Time-Series Foundation Models при смене режима без целевой калибровки</w:t>
      </w:r>
      <w:r/>
    </w:p>
    <w:p>
      <w:pPr>
        <w:pBdr/>
        <w:spacing w:after="120"/>
        <w:ind/>
        <w:rPr/>
      </w:pPr>
      <w:r>
        <w:t xml:space="preserve">Постановка задачи, гипотезы и план экспериментов. Версия 2, с учётом замечаний научного руководителя.</w:t>
      </w:r>
      <w:r/>
    </w:p>
    <w:p>
      <w:pPr>
        <w:pStyle w:val="726"/>
        <w:pBdr/>
        <w:spacing/>
        <w:ind/>
        <w:rPr/>
      </w:pPr>
      <w:r>
        <w:t xml:space="preserve">Суть проблемы</w:t>
      </w:r>
      <w:r/>
    </w:p>
    <w:p>
      <w:pPr>
        <w:pBdr/>
        <w:spacing w:after="120"/>
        <w:ind/>
        <w:rPr/>
      </w:pPr>
      <w:r>
        <w:t xml:space="preserve">Модели вроде Chronos или TimesFM прогнозируют временные ряды без дообучения, но </w:t>
      </w:r>
      <w:r>
        <w:rPr>
          <w:b/>
          <w:bCs/>
        </w:rPr>
        <w:t xml:space="preserve">не умеют сообщать, когда их прогнозу нельзя верить</w:t>
      </w:r>
      <w:r>
        <w:t xml:space="preserve">. Хуже всего они работают в моменты </w:t>
      </w:r>
      <w:r>
        <w:rPr>
          <w:b/>
          <w:bCs/>
        </w:rPr>
        <w:t xml:space="preserve">смены режима</w:t>
      </w:r>
      <w:r>
        <w:t xml:space="preserve"> процесса: при переходе от одного состояния к другому ошибка резко растёт, а прогнозные интервалы перестают покрывать реальные значения.</w:t>
      </w:r>
      <w:r/>
    </w:p>
    <w:p>
      <w:pPr>
        <w:pBdr/>
        <w:spacing w:after="120"/>
        <w:ind/>
        <w:rPr/>
      </w:pPr>
      <w:r>
        <w:t xml:space="preserve">Существующие методы прогнозирования с правом отказа (Time-Energy Model, TMLR 2025; Shapelets-Enriched Selective Forecasting, arXiv:2601.11821; Selective Forecasting via Metalearning, arXiv:2606.23448) преимущественно требуют </w:t>
      </w:r>
      <w:r>
        <w:rPr>
          <w:b/>
          <w:bCs/>
        </w:rPr>
        <w:t xml:space="preserve">либо обучения отдельной модели надёжности, либо размеченных ошибок — на целевом домене или хотя бы на исходном</w:t>
      </w:r>
      <w:r>
        <w:t xml:space="preserve">. Так, метамодель из arXiv:2606.23448 переносится на новый домен без целевых меток, но обучается на размеченных ошибках исходного домена и не использует TSFM. Недостаточно исследована возможность оценивать надёжность zero-shot TSFM </w:t>
      </w:r>
      <w:r>
        <w:rPr>
          <w:b/>
          <w:bCs/>
        </w:rPr>
        <w:t xml:space="preserve">непосредственно во время инференса</w:t>
      </w:r>
      <w:r>
        <w:t xml:space="preserve">, используя только наблюдаемый контекст и </w:t>
      </w:r>
      <w:r>
        <w:rPr>
          <w:b/>
          <w:bCs/>
        </w:rPr>
        <w:t xml:space="preserve">реакцию замороженной модели на альтернативные представления этого контекста</w:t>
      </w:r>
      <w:r>
        <w:t xml:space="preserve">.</w:t>
      </w:r>
      <w:r/>
    </w:p>
    <w:p>
      <w:pPr>
        <w:pBdr/>
        <w:spacing w:after="120"/>
        <w:ind/>
        <w:rPr/>
      </w:pPr>
      <w:r>
        <w:t xml:space="preserve">Близкая работа «Breaking context inertia» (Neurocomputing, 2026) рассматривает загрязнение контекста старым режимом: обнаруживает смену без обучения и затем сбрасывает и заново наращивает контекст (reset-and-grow). В отличие от неё, мы </w:t>
      </w:r>
      <w:r>
        <w:rPr>
          <w:b/>
          <w:bCs/>
        </w:rPr>
        <w:t xml:space="preserve">сначала определяем, можно ли доверять конкретному прогнозу</w:t>
      </w:r>
      <w:r>
        <w:t xml:space="preserve">, и только затем, если прогноз ненадёжен, ищем момент смены режима.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Основная идея.</w:t>
      </w:r>
      <w:r>
        <w:t xml:space="preserve"> Если небольшие допустимые изменения контекста (длина окна, изменённая в разы, или слабый шум вместе с изменением длины хвоста на несколько точек) заметно меняют прогноз, модель в этой точке локально нестабильна, и прогнозу доверять нельзя. Для оценки не нужны будущие значения и разметка.</w:t>
      </w:r>
      <w:r/>
    </w:p>
    <w:p>
      <w:pPr>
        <w:pStyle w:val="726"/>
        <w:pBdr/>
        <w:spacing/>
        <w:ind/>
        <w:rPr/>
      </w:pPr>
      <w:r>
        <w:t xml:space="preserve">1. Формулировка задачи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Дано: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временной ряд x₁, …, xₜ (промышленный сигнал);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замороженная TSFM f, которая по контексту длины L выдаёт вероятностный прогноз на горизонт H;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отсутствие размеченных ошибок и данных для обучения или калибровки на целевом объекте.</w:t>
      </w:r>
      <w:r/>
    </w:p>
    <w:p>
      <w:pPr>
        <w:pBdr/>
        <w:spacing w:after="120"/>
        <w:ind/>
        <w:rPr/>
      </w:pPr>
      <w:r>
        <w:t xml:space="preserve">Задача разбита на </w:t>
      </w:r>
      <w:r>
        <w:rPr>
          <w:b/>
          <w:bCs/>
        </w:rPr>
        <w:t xml:space="preserve">два последовательных этапа</w:t>
      </w:r>
      <w:r>
        <w:t xml:space="preserve">, которые не смешиваются.</w:t>
      </w:r>
      <w:r/>
    </w:p>
    <w:p>
      <w:pPr>
        <w:pStyle w:val="727"/>
        <w:pBdr/>
        <w:spacing/>
        <w:ind/>
        <w:rPr/>
      </w:pPr>
      <w:r>
        <w:t xml:space="preserve">Этап A. Оценка надёжности прогноза (основной вклад)</w:t>
      </w:r>
      <w:r/>
    </w:p>
    <w:p>
      <w:pPr>
        <w:pBdr/>
        <w:spacing w:after="120"/>
        <w:ind/>
        <w:rPr/>
      </w:pPr>
      <w:r>
        <w:t xml:space="preserve">Построить функцию надёжности s(x₁:ₜ, f) → ℝ, которая:</w:t>
      </w:r>
      <w:r/>
    </w:p>
    <w:p>
      <w:pPr>
        <w:pStyle w:val="717"/>
        <w:numPr>
          <w:ilvl w:val="0"/>
          <w:numId w:val="3"/>
        </w:numPr>
        <w:pBdr/>
        <w:spacing w:after="60"/>
        <w:ind/>
        <w:rPr/>
      </w:pPr>
      <w:r>
        <w:t xml:space="preserve">использует только наблюдённый контекст и выходы или внутренние представления модели;</w:t>
      </w:r>
      <w:r/>
    </w:p>
    <w:p>
      <w:pPr>
        <w:pStyle w:val="717"/>
        <w:numPr>
          <w:ilvl w:val="0"/>
          <w:numId w:val="3"/>
        </w:numPr>
        <w:pBdr/>
        <w:spacing w:after="60"/>
        <w:ind/>
        <w:rPr/>
      </w:pPr>
      <w:r>
        <w:t xml:space="preserve">принимает большие значения на окнах, где ошибка прогноза будет высокой;</w:t>
      </w:r>
      <w:r/>
    </w:p>
    <w:p>
      <w:pPr>
        <w:pStyle w:val="717"/>
        <w:numPr>
          <w:ilvl w:val="0"/>
          <w:numId w:val="3"/>
        </w:numPr>
        <w:pBdr/>
        <w:spacing w:after="60"/>
        <w:ind/>
        <w:rPr/>
      </w:pPr>
      <w:r>
        <w:t xml:space="preserve">позволяет отказываться от ненадёжных прогнозов: при отбрасывании доли окон с наибольшим s ошибка на оставшихся снижается сильнее, чем при отказе по базовым сигналам.</w:t>
      </w:r>
      <w:r/>
    </w:p>
    <w:p>
      <w:pPr>
        <w:pStyle w:val="727"/>
        <w:pBdr/>
        <w:spacing/>
        <w:ind/>
        <w:rPr/>
      </w:pPr>
      <w:r>
        <w:t xml:space="preserve">Этап B. Локализация точки смены (только для ненадёжных прогнозов)</w:t>
      </w:r>
      <w:r/>
    </w:p>
    <w:p>
      <w:pPr>
        <w:pBdr/>
        <w:spacing w:after="120"/>
        <w:ind/>
        <w:rPr/>
      </w:pPr>
      <w:r>
        <w:t xml:space="preserve">Если s превышает порог, запускается поиск оценки точки смены τ′ внутри контекста. Затем прогноз пересчитывается по контексту после τ′, а если точка не найдена, от прогноза отказываются.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Схема работы:</w:t>
      </w:r>
      <w:r>
        <w:t xml:space="preserve"> прогноз → этап A → «надёжен»: прогноз используется как есть; «ненадёжен»: этап B → «τ′ найдена»: обрезка контекста и пересчёт; «не найдена»: отказ от прогноза.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Ограничения:</w:t>
      </w:r>
      <w:r>
        <w:t xml:space="preserve"> модель не дообучается и не калибруется на целевых данных; стоимость этапа A не больше K дополнительных прогонов модели (например, K ≤ 5).</w:t>
      </w:r>
      <w:r/>
    </w:p>
    <w:p>
      <w:pPr>
        <w:pStyle w:val="727"/>
        <w:pBdr/>
        <w:spacing/>
        <w:ind/>
        <w:rPr/>
      </w:pPr>
      <w:r>
        <w:t xml:space="preserve">Положение относительно точки смены</w:t>
      </w:r>
      <w:r/>
    </w:p>
    <w:p>
      <w:pPr>
        <w:pBdr/>
        <w:spacing w:after="120"/>
        <w:ind/>
        <w:rPr/>
      </w:pPr>
      <w:r>
        <w:t xml:space="preserve">Вводится величина </w:t>
      </w:r>
      <w:r>
        <w:rPr>
          <w:b/>
          <w:bCs/>
        </w:rPr>
        <w:t xml:space="preserve">d = t − τ</w:t>
      </w:r>
      <w:r>
        <w:t xml:space="preserve">, где t — момент начала прогноза (последняя точка контекста), τ — истинная точка смены: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d &lt; −H</w:t>
      </w:r>
      <w:r>
        <w:t xml:space="preserve"> — окно целиком до смены: и контекст, и горизонт относятся к старому режиму (стабильное окно);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−H ≤ d &lt; 0</w:t>
      </w:r>
      <w:r>
        <w:t xml:space="preserve"> — смена произойдёт внутри горизонта прогноза; по истории её предсказать нельзя, такие окна анализируются отдельно и не считаются провалом метода;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0 ≤ d &lt; L</w:t>
      </w:r>
      <w:r>
        <w:t xml:space="preserve"> — контекст содержит смесь наблюдений до и после смены;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d ≥ L</w:t>
      </w:r>
      <w:r>
        <w:t xml:space="preserve"> — старый режим полностью вытеснен из контекста.</w:t>
      </w:r>
      <w:r/>
    </w:p>
    <w:p>
      <w:pPr>
        <w:pStyle w:val="726"/>
        <w:pBdr/>
        <w:spacing/>
        <w:ind/>
        <w:rPr/>
      </w:pPr>
      <w:r>
        <w:t xml:space="preserve">2. Сигналы и методы</w:t>
      </w:r>
      <w:r/>
    </w:p>
    <w:p>
      <w:pPr>
        <w:pStyle w:val="727"/>
        <w:pBdr/>
        <w:spacing/>
        <w:ind/>
        <w:rPr/>
      </w:pPr>
      <w:r>
        <w:t xml:space="preserve">Этап A: сигналы надёжности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6300"/>
        <w:gridCol w:w="2160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Код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Сигнал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Тип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Ширина прогнозного интервала модели (q0.9 − q0.1), нормированная на масштаб ряда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Бейзлайн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Ошибка модели на последних известных точках: прогноз «назад» на уже наблюдённые значения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Сильный безразметочный бейзлайн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Статистика классических детекторов смены (CUSUM, PELT, тест Колмогорова–Смирнова между началом и концом контекста) как оценка ненадёжности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Бейзлайн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Расхождение прогнозов по разным длинам контекста</w:t>
            </w:r>
            <w:r>
              <w:t xml:space="preserve"> L ∈ {L₁, …, Lₖ}. Два варианта меры: (а) разница медиан, нормированная на масштаб; (б) </w:t>
            </w:r>
            <w:r>
              <w:rPr>
                <w:b/>
                <w:bCs/>
              </w:rPr>
              <w:t xml:space="preserve">расстояние между квантильными прогнозами</w:t>
            </w:r>
            <w:r>
              <w:t xml:space="preserve"> — среднее по квантилям |q_k(Lᵢ) − q_k(Lⱼ)| с нормировкой (приближение расстояния Вассерштейна между прогнозными распределениями)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Предлагаемый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Сдвиг эмбеддингов последнего фрагмента относительно предыдущих, как оценка ненадёжности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Дополнительный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Локальная устойчивость прогноза.</w:t>
            </w:r>
            <w:r>
              <w:t xml:space="preserve"> Исходный контекст подвергается малым допустимым возмущениям: шум существенно меньше естественного шума ря</w:t>
            </w:r>
            <w:r>
              <w:t xml:space="preserve">да (например, 5–10% стандартного отклонения разностей на контексте) и небольшое изменение длины хвоста: начало окна сдвигается на несколько точек, а конец (момент t) остаётся на месте, т. е. длина становится L ± k, k ≪ L. Прогноз всегда начинается с t + 1, поэтому прогнозы сравнимы напрямую. Сильное изменение прогноза при малом возмущении означает локальную нестабильность модели. От S4 сигнал отличается масштабом: в S4 длина меняется в разы (64…512), в S7 — на несколько точек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Предлагаемый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Обучаемый предсказатель ошибки на размеченной валидации (аналог метода мета-обучения)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Верхняя граница с разметкой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27"/>
        <w:pBdr/>
        <w:spacing/>
        <w:ind/>
        <w:rPr/>
      </w:pPr>
      <w:r>
        <w:t xml:space="preserve">Этап B: методы локализации точки смены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Метод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Описание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Классические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PELT, CUSUM (библиотека ruptures)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По эмбеддингам TSFM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Сдвиг латентных признаков на каждом слое энкодера (косинусное расстояние или расстояние Махаланобиса)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Детектор из «Breaking context inertia»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Если доступна реализация: сравнение со схемой reset-and-grow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Оракул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Истинная точка смены τ (верхняя граница)</w:t>
            </w:r>
            <w:r/>
          </w:p>
        </w:tc>
      </w:tr>
    </w:tbl>
    <w:p>
      <w:pPr>
        <w:pStyle w:val="726"/>
        <w:pBdr/>
        <w:spacing/>
        <w:ind/>
        <w:rPr/>
      </w:pPr>
      <w:r>
        <w:t xml:space="preserve">3. Проверяемые гипотезы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H1. Максимальный риск — в окнах со смесью режимов.</w:t>
      </w:r>
      <w:r/>
    </w:p>
    <w:p>
      <w:pPr>
        <w:pBdr/>
        <w:spacing w:after="120"/>
        <w:ind/>
        <w:rPr/>
      </w:pPr>
      <w:r>
        <w:t xml:space="preserve">Максимальный риск прогноза наблюдается в окнах, содержащих смесь наблюдений до и после смены режима (малые положительные d). По мере вытеснения старого режима из контекста ошибка в среднем уменьшается относительно переходного периода.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кривая</w:t>
      </w:r>
      <w:r>
        <w:rPr>
          <w:i/>
          <w:iCs/>
        </w:rPr>
        <w:t xml:space="preserve"> ошибки (MASE, CRPS) в зависимости от d и d/L с бутстреп-полосами; d* — минимальное d, при котором ошибка возвращается ниже порога (например, 1,1 медианной ошибки стабильных окон); сравнение d* с длиной контекста L; разбивка по моделям, типам и силе смены.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H2. Глобальная калибровка не гарантирует условную.</w:t>
      </w:r>
      <w:r/>
    </w:p>
    <w:p>
      <w:pPr>
        <w:pBdr/>
        <w:spacing w:after="120"/>
        <w:ind/>
        <w:rPr/>
      </w:pPr>
      <w:r>
        <w:t xml:space="preserve">Несмотря на приемлемую глобальную калибровку TSFM (Adler et al., ICLR 2026), условное покрытие прогнозных интервалов существенно ухудшается в окнах, содержащих недавнюю смену режима.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глобальное покрытие 80%-ных интервалов по всем окнам (контроль) и условное покрытие как функция d; ширина интервала как функция d; бутстреп-интервалы; разбивка по типам и силе смены.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H3. Согласованность реакции модели предсказывает ненадёжность.</w:t>
      </w:r>
      <w:r/>
    </w:p>
    <w:p>
      <w:pPr>
        <w:pBdr/>
        <w:spacing w:after="120"/>
        <w:ind/>
        <w:rPr/>
      </w:pPr>
      <w:r>
        <w:t xml:space="preserve">Сигналы S4 и S7 сильнее связаны с ошибкой прогноза и дают лучшую кривую «риск–покрытие», чем S1, S2 и S3, особенно в переходных окнах.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корреляция Спирмена с ошибкой; кривые риск–покрытие и AURC; ошибка при покрытии 80% и 90%; AUROC и AUPRC для задачи «окно попадёт в 10% худших по ошибке» (уровень случайного AUPRC = 0,1); разбивка по d, типам и силе смены.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H4. Уровень представления, наиболее информативный для локализации.</w:t>
      </w:r>
      <w:r/>
    </w:p>
    <w:p>
      <w:pPr>
        <w:pBdr/>
        <w:spacing w:after="120"/>
        <w:ind/>
        <w:rPr/>
      </w:pPr>
      <w:r>
        <w:t xml:space="preserve">Исследовательский вопрос этапа B: на каком уровне представления TSFM сдвиг латентных признаков наиболее информативен для выявления смены режима. Заранее не предполагается, что какой-либо уровень лучше.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профиль F1 с допуском ±δ и задержки обнаружения по нормированной глубине слоя (0–1) для каждой модели и типа смены; сравнение с тем же детектором на сырых значениях ряда.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H5. Каскад «надёжность → локализация» эффективнее постоянной детекции.</w:t>
      </w:r>
      <w:r/>
    </w:p>
    <w:p>
      <w:pPr>
        <w:pBdr/>
        <w:spacing w:after="120"/>
        <w:ind/>
        <w:rPr/>
      </w:pPr>
      <w:r>
        <w:t xml:space="preserve">Запуск локализации и обрезки контекста только для ненадёжных прогнозов снижает ошибку в этих окнах и даёт меньше ложных обрезок, чем постоянная детекция со сбросом контекста (reset-and-grow).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варианты: полный контекст / каскад / постоянная детекция со сбросом / обрезка по истинной τ; ошибка в отмеченных окнах и по всем окнам; доля ложных обрезок; парный тест Уилкоксона.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H6. Переносимость между моделями.</w:t>
      </w:r>
      <w:r/>
    </w:p>
    <w:p>
      <w:pPr>
        <w:pBdr/>
        <w:spacing w:after="120"/>
        <w:ind/>
        <w:rPr/>
      </w:pPr>
      <w:r>
        <w:t xml:space="preserve">Выводы по H3 качественно сохраняются для разных архитектур TSFM, а безразметочные S4 и S7 достигают заметной доли эффекта метода с разметкой S6.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ранжирование сигналов по AURC для каждой модели; отношение выигрыша S4/S7 к выигрышу S6.</w:t>
      </w:r>
      <w:r/>
    </w:p>
    <w:p>
      <w:pPr>
        <w:pStyle w:val="726"/>
        <w:pBdr/>
        <w:spacing/>
        <w:ind/>
        <w:rPr/>
      </w:pPr>
      <w:r>
        <w:t xml:space="preserve">4. План экспериментов</w:t>
      </w:r>
      <w:r/>
    </w:p>
    <w:p>
      <w:pPr>
        <w:pStyle w:val="727"/>
        <w:pBdr/>
        <w:spacing/>
        <w:ind/>
        <w:rPr/>
      </w:pPr>
      <w:r>
        <w:t xml:space="preserve">Этап 0. Инфраструктура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Скользящая оценка: окно контекста сдвигается по ряду, на каждом шаге прогноз на H точек.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Кеширование всех прогнозов (в том числе для разных длин контекста и возмущений) и эмбеддингов.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Модели: </w:t>
      </w:r>
      <w:r>
        <w:rPr>
          <w:b/>
          <w:bCs/>
        </w:rPr>
        <w:t xml:space="preserve">Chronos-Bolt</w:t>
      </w:r>
      <w:r>
        <w:t xml:space="preserve"> (основная; квантили детерминированы, что упрощает S4 и S7), </w:t>
      </w:r>
      <w:r>
        <w:rPr>
          <w:b/>
          <w:bCs/>
        </w:rPr>
        <w:t xml:space="preserve">TimesFM 2.5</w:t>
      </w:r>
      <w:r>
        <w:t xml:space="preserve">, </w:t>
      </w:r>
      <w:r>
        <w:rPr>
          <w:b/>
          <w:bCs/>
        </w:rPr>
        <w:t xml:space="preserve">Moirai</w:t>
      </w:r>
      <w:r>
        <w:t xml:space="preserve"> или </w:t>
      </w:r>
      <w:r>
        <w:rPr>
          <w:b/>
          <w:bCs/>
        </w:rPr>
        <w:t xml:space="preserve">Chronos-2</w:t>
      </w:r>
      <w:r>
        <w:t xml:space="preserve">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Горизонты, например H ∈ {16, 64}; длины контекста, например {64, 128, 256, 512}.</w:t>
      </w:r>
      <w:r/>
    </w:p>
    <w:p>
      <w:pPr>
        <w:pStyle w:val="727"/>
        <w:pBdr/>
        <w:spacing/>
        <w:ind/>
        <w:rPr/>
      </w:pPr>
      <w:r>
        <w:t xml:space="preserve">Этап 1. Синтетические данные</w:t>
      </w:r>
      <w:r/>
    </w:p>
    <w:p>
      <w:pPr>
        <w:pBdr/>
        <w:spacing w:after="120"/>
        <w:ind/>
        <w:rPr/>
      </w:pPr>
      <w:r>
        <w:t xml:space="preserve">Генератор рядов с известными точками смены. Факторы эксперимента: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Фактор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Значения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Тип смены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mean / variance / trend / AR / seasonality / frequency / sensor bias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Сила смены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weak / medium / strong, в нормированных единицах (например, сдвиг среднего на 0,5σ / 1σ / 2σ)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Положение точки смены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от начала до самого конца контекста (задаёт d)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t xml:space="preserve">Эксперименты проводятся для разных классов изменений: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Класс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Пример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Изменение режима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изменение среднего, AR-параметров, сезонности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Постепенный дрейф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медленное изменение уровня или частоты; d отсчитывается от начала дрейфа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t xml:space="preserve">Временная аномалия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t xml:space="preserve">выброс, spike, sensor freeze; контроль ложных срабатываний после окончания аномалии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Дополнительно — ряды без изменений как чистый контроль частоты ложных тревог.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Перед запуском оценить объём вычислений по полной сетке факторов и при необходимости начать с подмножества.</w:t>
      </w:r>
      <w:r/>
    </w:p>
    <w:p>
      <w:pPr>
        <w:pStyle w:val="727"/>
        <w:pBdr/>
        <w:spacing/>
        <w:ind/>
        <w:rPr/>
      </w:pPr>
      <w:r>
        <w:t xml:space="preserve">Этап 2. Реальные данные и бенчмарки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Tennessee Eastman Process</w:t>
      </w:r>
      <w:r>
        <w:t xml:space="preserve">: отказы вводятся в известный момент; несколько ключевых переменных.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SKAB</w:t>
      </w:r>
      <w:r>
        <w:t xml:space="preserve">: стенд с размеченными аномальными режимами.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Трафик</w:t>
      </w:r>
      <w:r>
        <w:t xml:space="preserve"> (PEMS или METR-LA): сопоставление с опубликованными результатами о провалах TSFM в переходах.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Time Series Segmentation Benchmark (TSSB)</w:t>
      </w:r>
      <w:r>
        <w:t xml:space="preserve"> и </w:t>
      </w:r>
      <w:r>
        <w:rPr>
          <w:b/>
          <w:bCs/>
        </w:rPr>
        <w:t xml:space="preserve">Turing Change Point Dataset (TCPD)</w:t>
      </w:r>
      <w:r>
        <w:t xml:space="preserve">: размеченные точки смены для оценки этапа B (часть рядов TCPD короткие, поэтому длинный контекст применим не везде).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GIFT-Eval</w:t>
      </w:r>
      <w:r>
        <w:t xml:space="preserve">: проверка этапа A на «обычных» рядах без размеченных смен, только по ошибке прогноза; учитывать риск пересечения с данными предобучения.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Многомерные данные обрабатываются по каналам, сигнал агрегируется (например, максимум по каналам).</w:t>
      </w:r>
      <w:r/>
    </w:p>
    <w:p>
      <w:pPr>
        <w:pStyle w:val="727"/>
        <w:pBdr/>
        <w:spacing/>
        <w:ind/>
        <w:rPr/>
      </w:pPr>
      <w:r>
        <w:t xml:space="preserve">Этап 3. Анализ провалов, H1 и H2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Кривые ошибки и условного покрытия в зависимости от d; оценка d*.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Глобальное покрытие как контроль.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Графики: ряд, точка смены, прогноз, интервал и ошибка во времени.</w:t>
      </w:r>
      <w:r/>
    </w:p>
    <w:p>
      <w:pPr>
        <w:pStyle w:val="727"/>
        <w:pBdr/>
        <w:spacing/>
        <w:ind/>
        <w:rPr/>
      </w:pPr>
      <w:r>
        <w:t xml:space="preserve">Этап 4. Сравнение сигналов надёжности (этап A), H3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Расчёт S1–S5 и S7 на всех окнах.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Метрики: корреляция Спирмена, кривые риск–покрытие, AURC, AUROC, AUPRC.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Разбивка результатов по d, типам и силе смены, классам изменений.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Абляции S4: число длин контекста K; мера расхождения (разница медиан или расстояние между квантильными прогнозами).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Абляции S7: уровень шума, число возмущений, вид возмущения (шум или изменение длины хвоста), величина изменения длины k.</w:t>
      </w:r>
      <w:r/>
    </w:p>
    <w:p>
      <w:pPr>
        <w:pStyle w:val="727"/>
        <w:pBdr/>
        <w:spacing/>
        <w:ind/>
        <w:rPr/>
      </w:pPr>
      <w:r>
        <w:t xml:space="preserve">Этап 5. Локализация точки смены (этап B), H4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Извлечение эмбеддингов со всех слоёв энкодера.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Профиль качества локализации по слоям: F1 с допуском и задержка.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Сравнение с классическими детекторами и оценка на TSSB и TCPD.</w:t>
      </w:r>
      <w:r/>
    </w:p>
    <w:p>
      <w:pPr>
        <w:pStyle w:val="727"/>
        <w:pBdr/>
        <w:spacing/>
        <w:ind/>
        <w:rPr/>
      </w:pPr>
      <w:r>
        <w:t xml:space="preserve">Этап 6. Каскад и обрезка контекста, H5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Сравнение вариантов: полный контекст / каскад / постоянная детекция со сбросом / оракул.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Отдельно оценить вред от ложных обрезок контекста.</w:t>
      </w:r>
      <w:r/>
    </w:p>
    <w:p>
      <w:pPr>
        <w:pStyle w:val="727"/>
        <w:pBdr/>
        <w:spacing/>
        <w:ind/>
        <w:rPr/>
      </w:pPr>
      <w:r>
        <w:t xml:space="preserve">Этап 7. Перенос и верхняя граница, H6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Повтор этапа 4 на других моделях.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Обучение S6 (например, градиентный бустинг на признаках окна) на размеченной валидации и сравнение с S4 и S7.</w:t>
      </w:r>
      <w:r/>
    </w:p>
    <w:p>
      <w:pPr>
        <w:pStyle w:val="727"/>
        <w:pBdr/>
        <w:spacing/>
        <w:ind/>
        <w:rPr/>
      </w:pPr>
      <w:r>
        <w:t xml:space="preserve">Этап 8. Оформление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Таблицы, графики, выводы по каждой гипотезе, текст статьи.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Минимальный результат на случай нехватки времени:</w:t>
      </w:r>
      <w:r>
        <w:t xml:space="preserve"> этапы 1, 3 и 4 только с Chronos-Bolt. Это уже даёт законченное исследование: «где ломается модель и какой безразметочный сигнал это ловит».</w:t>
      </w:r>
      <w:r/>
    </w:p>
    <w:p>
      <w:pPr>
        <w:pStyle w:val="726"/>
        <w:pBdr/>
        <w:spacing/>
        <w:ind/>
        <w:rPr/>
      </w:pPr>
      <w:r>
        <w:t xml:space="preserve">5. Основные риски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Сигнал S2 может оказаться очень сильным.</w:t>
      </w:r>
      <w:r>
        <w:t xml:space="preserve"> Это не провал: тогда вклад работы сместится к сравнению и к комбинации сигналов.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Ложные срабатывания на зашумлённых рядах.</w:t>
      </w:r>
      <w:r>
        <w:t xml:space="preserve"> Сигналы нормируются на масштаб ряда, пороги подбираются на синтетике; классы «временная аномалия» и «без изменений» служат контролем.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Стоимость вычислений.</w:t>
      </w:r>
      <w:r>
        <w:t xml:space="preserve"> S4 требует K прогонов модели, S7 — M прогонов. Нужно отчитаться о времени работы и показать, что эффект есть уже при K, M = 2–3.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Собственная случайность модели.</w:t>
      </w:r>
      <w:r>
        <w:t xml:space="preserve"> У моделей с сэмплированием (оригинальный Chronos) разброс прогнозов нужно отделить от эффекта возмущений; у Chronos-Bolt квантили детерминированы.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Пересечение с работой «Breaking context inertia».</w:t>
      </w:r>
      <w:r>
        <w:t xml:space="preserve"> Необходимо полностью прочитать статью и чётко разграничить вклад: у них — детекция и сброс контекста, у нас — оценка надёжности отдельного прогноза и каскад.</w:t>
      </w:r>
      <w:r/>
    </w:p>
    <w:p>
      <w:pPr>
        <w:pStyle w:val="726"/>
        <w:pBdr/>
        <w:spacing/>
        <w:ind/>
        <w:rPr/>
      </w:pPr>
      <w:r>
        <w:t xml:space="preserve">6. Ключевая литература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Brusokas et al. The Time-Energy Model: Selective Time-Series Forecasting Using Energy-Based Models. TMLR, 2025.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Shapelets-Enriched Selective Forecasting using Time Series Foundation Models. arXiv:2601.11821, 2026.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Inácio et al. Selective Time Series Forecasting via Metalearning. arXiv:2606.23448, 2026.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Adler et al. Beyond Accuracy: Are Time Series Foundation Models Well-Calibrated? ICLR, 2026.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Do Time Series Foundation Model Benchmarks Hide Regime-Dependent Failures? arXiv:2606.18367, ICML 2026 Workshop.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Breaking context inertia: Adaptive context management for time series foundation models in non-stationary environments. Neurocomputing, 2026.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Choi, Shook, Dubrawski. Non-Stationarity in the Embedding Space of Time Series Foundation Models. arXiv:2604.16428, ICLR 2026 Workshop.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Dissecting Chronos: Sparse Autoencoders Reveal Causal Feature Hierarchies in Time Series Foundation Models. arXiv:2603.10071.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Butera et al. Why Do Time Series Models Need Long Context Windows? arXiv:2606.01999, 2026.</w:t>
      </w:r>
      <w:r/>
    </w:p>
    <w:p>
      <w:pPr>
        <w:pStyle w:val="717"/>
        <w:numPr>
          <w:ilvl w:val="0"/>
          <w:numId w:val="2"/>
        </w:numPr>
        <w:pBdr/>
        <w:spacing w:after="60"/>
        <w:ind/>
        <w:rPr/>
      </w:pPr>
      <w:r>
        <w:t xml:space="preserve">In-Context Learning Under Regime Change. arXiv:2604.16988, ICML 2026.</w:t>
      </w:r>
      <w:r/>
    </w:p>
    <w:p>
      <w:pPr>
        <w:pStyle w:val="726"/>
        <w:pBdr/>
        <w:spacing/>
        <w:ind/>
        <w:rPr/>
      </w:pPr>
      <w:r>
        <w:t xml:space="preserve">Приложение. Как учтены замечания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3600"/>
        <w:gridCol w:w="5260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№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Замечание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Изменение в документе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Существующие методы отказа не обязательно требуют истории ошибок на объекте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Переписан раздел «Суть проблемы»: методы требуют обучения модели надёжности или размеченных ошибок (на целевом домене или хотя бы на исходном); сформулирован пробел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Новое название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Название изменено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Не смешивать оценку надёжности и поиск точки смены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Задача разбита на этапы A и B; добавлена схема каскада; гипотезы и методы распределены по этапам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Расстояние между квантильными прогнозами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Добавлено как вариант меры S4 и как абляция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Сигнал S7 — локальная устойчивость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Добавлен S7: слабый шум и изменение длины хвоста на несколько точек при фиксированном конце контекста; отделён от S4 масштабом изменения длины; добавлены абляции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H1 через d = t − τ и минимальное d восстановления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H1 переформулирована; введена величина d (с диапазонами d &lt; −H, −H ≤ d &lt; 0, 0 ≤ d &lt; L, d ≥ L) и порог d*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H2 через условное покрытие при хорошей глобальной калибровке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H2 переформулирована со ссылкой на ICLR 2026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H4 без предположения о средних слоях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H4 переформулирована как исследовательский вопрос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Факторы синтетики и классы изменений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Добавлены таблицы факторов и классов, контрольные ряды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Бенчмарки TSSB, TCPD, GIFT-Eval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Добавлены в этап 2 с указанием назначения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AUPRC для H3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Добавлен в метрики H3 и этапа 4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00" w:type="dxa"/>
          </w:tcPr>
          <w:p>
            <w:pPr>
              <w:pBdr/>
              <w:spacing/>
              <w:ind/>
              <w:rPr/>
            </w:pPr>
            <w:r>
              <w:t xml:space="preserve">—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600" w:type="dxa"/>
          </w:tcPr>
          <w:p>
            <w:pPr>
              <w:pBdr/>
              <w:spacing/>
              <w:ind/>
              <w:rPr/>
            </w:pPr>
            <w:r>
              <w:t xml:space="preserve">Статья «Breaking context inertia»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60" w:type="dxa"/>
          </w:tcPr>
          <w:p>
            <w:pPr>
              <w:pBdr/>
              <w:spacing/>
              <w:ind/>
              <w:rPr/>
            </w:pPr>
            <w:r>
              <w:t xml:space="preserve">Указана во введении, в гипотезе H5 (как бейзлайн) и в рисках</w:t>
            </w:r>
            <w:r/>
          </w:p>
        </w:tc>
      </w:tr>
    </w:tbl>
    <w:p w14:paraId="1182E8CF">
      <w:pPr>
        <w:pBdr/>
        <w:spacing/>
        <w:ind/>
        <w:rPr/>
      </w:pPr>
      <w:r/>
      <w:r/>
      <w:r/>
    </w:p>
    <w:p w14:paraId="3354F472">
      <w:pPr>
        <w:pBdr/>
        <w:spacing/>
        <w:ind/>
        <w:rPr/>
      </w:pPr>
      <w:r/>
      <w:r/>
      <w:r/>
    </w:p>
    <w:p w14:paraId="782454AB">
      <w:pPr>
        <w:pBdr/>
        <w:spacing/>
        <w:ind/>
        <w:rPr/>
      </w:pPr>
      <w:r/>
      <w:r/>
      <w:r/>
    </w:p>
    <w:p w14:paraId="7EB3BCEB">
      <w:pPr>
        <w:pBdr/>
        <w:spacing/>
        <w:ind/>
        <w:rPr/>
      </w:pPr>
      <w:r/>
      <w:r/>
      <w:r/>
    </w:p>
    <w:p w14:paraId="441EB8F2">
      <w:pPr>
        <w:pBdr/>
        <w:spacing/>
        <w:ind/>
        <w:rPr/>
      </w:pPr>
      <w:r/>
      <w:r/>
      <w:r/>
    </w:p>
    <w:p w14:paraId="1761742E">
      <w:pPr>
        <w:pBdr/>
        <w:spacing/>
        <w:ind/>
        <w:rPr/>
      </w:pPr>
      <w:r/>
      <w:r/>
      <w:r/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4C1D783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3">
    <w:name w:val="Heading 4"/>
    <w:qFormat/>
    <w:pPr>
      <w:pBdr/>
      <w:spacing/>
      <w:ind/>
    </w:pPr>
    <w:rPr>
      <w:i/>
      <w:iCs/>
      <w:color w:val="2e74b5"/>
    </w:rPr>
  </w:style>
  <w:style w:type="paragraph" w:styleId="714">
    <w:name w:val="Heading 5"/>
    <w:qFormat/>
    <w:pPr>
      <w:pBdr/>
      <w:spacing/>
      <w:ind/>
    </w:pPr>
    <w:rPr>
      <w:color w:val="2e74b5"/>
    </w:rPr>
  </w:style>
  <w:style w:type="paragraph" w:styleId="715">
    <w:name w:val="Heading 6"/>
    <w:qFormat/>
    <w:pPr>
      <w:pBdr/>
      <w:spacing/>
      <w:ind/>
    </w:pPr>
    <w:rPr>
      <w:color w:val="1f4d78"/>
    </w:rPr>
  </w:style>
  <w:style w:type="paragraph" w:styleId="716">
    <w:name w:val="Strong"/>
    <w:qFormat/>
    <w:pPr>
      <w:pBdr/>
      <w:spacing/>
      <w:ind/>
    </w:pPr>
    <w:rPr>
      <w:b/>
      <w:bCs/>
    </w:rPr>
  </w:style>
  <w:style w:type="paragraph" w:styleId="717">
    <w:name w:val="List Paragraph"/>
    <w:qFormat/>
    <w:pPr>
      <w:pBdr/>
      <w:spacing/>
      <w:ind/>
    </w:pPr>
  </w:style>
  <w:style w:type="character" w:styleId="71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0">
    <w:name w:val="footnote text"/>
    <w:link w:val="7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1">
    <w:name w:val="Footnote Text Char"/>
    <w:link w:val="72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3">
    <w:name w:val="endnote text"/>
    <w:link w:val="7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4">
    <w:name w:val="Endnote Text Char"/>
    <w:link w:val="72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5">
    <w:name w:val="Title"/>
    <w:pPr>
      <w:pBdr/>
      <w:spacing w:after="120"/>
      <w:ind/>
    </w:pPr>
    <w:rPr>
      <w:rFonts w:ascii="Calibri" w:hAnsi="Calibri" w:eastAsia="Calibri" w:cs="Calibri"/>
      <w:b/>
      <w:bCs/>
      <w:color w:val="1f3864"/>
      <w:sz w:val="36"/>
      <w:szCs w:val="36"/>
    </w:rPr>
  </w:style>
  <w:style w:type="paragraph" w:styleId="726">
    <w:name w:val="Heading 1"/>
    <w:qFormat/>
    <w:pPr>
      <w:pBdr/>
      <w:spacing w:after="140" w:before="320"/>
      <w:ind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727">
    <w:name w:val="Heading 2"/>
    <w:qFormat/>
    <w:pPr>
      <w:pBdr/>
      <w:spacing w:after="100" w:before="220"/>
      <w:ind/>
      <w:outlineLvl w:val="1"/>
    </w:pPr>
    <w:rPr>
      <w:rFonts w:ascii="Calibri" w:hAnsi="Calibri" w:eastAsia="Calibri" w:cs="Calibri"/>
      <w:b/>
      <w:bCs/>
      <w:color w:val="2f5496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2026-10-09T02:56:35Z</dcterms:created>
  <dcterms:modified xsi:type="dcterms:W3CDTF">2026-10-09T06:33:04Z</dcterms:modified>
</cp:coreProperties>
</file>