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науки и высшего образования РФ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Федеральное государственное автономное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образовательное учреждение высшего образования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«СИБИРСКИЙ ФЕДЕРАЛЬНЫЙ УНИВЕРСИТЕТ»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Институт космических и информационных технологий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институт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Программная инженерия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кафедра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 ПО ЛАБОРАТОРНОЙ РАБОТЕ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Выбор и описание системы для проектирования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тема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tbl>
      <w:tblPr>
        <w:tblStyle w:val="756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1204"/>
        <w:gridCol w:w="3696"/>
        <w:gridCol w:w="272"/>
        <w:gridCol w:w="1667"/>
        <w:gridCol w:w="272"/>
        <w:gridCol w:w="2528"/>
      </w:tblGrid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3C308091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65DE098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</w:tcPr>
          <w:p w14:paraId="342CD0F6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24D4A5C2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</w:tcPr>
          <w:p w14:paraId="77C477FA">
            <w:pPr>
              <w:pBdr/>
              <w:spacing/>
              <w:ind/>
              <w:jc w:val="center"/>
              <w:rPr/>
            </w:pPr>
            <w:r>
              <w:rPr>
                <w:color w:val="auto"/>
                <w14:ligatures w14:val="none"/>
              </w:rPr>
              <w:t xml:space="preserve">Д. В. </w:t>
            </w:r>
            <w:sdt>
              <w:sdtPr>
                <w:alias w:val="Преподаватель. Фамилия, инициалы"/>
                <w:tag w:val="Преподаватель. Фамилия, инициалы"/>
                <w15:appearance w15:val="boundingBox"/>
                <w:id w:val="2052420955"/>
                <w:lock w:val="unlocked"/>
                <w:placeholder>
                  <w:docPart w:val="f6fc0ab545eb4e0fad69b56ce82ef517"/>
                </w:placeholder>
                <w:rPr>
                  <w:color w:val="auto"/>
                  <w14:ligatures w14:val="none"/>
                </w:rPr>
              </w:sdtPr>
              <w:sdtContent>
                <w:r>
                  <w:rPr>
                    <w:color w:val="auto"/>
                    <w14:ligatures w14:val="none"/>
                  </w:rPr>
                  <w:t xml:space="preserve">Грузенкин</w:t>
                </w:r>
              </w:sdtContent>
            </w:sdt>
            <w:r/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0F23803C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21516F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34356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FA073F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06ADBCD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4B1A7E13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709" w:type="dxa"/>
          </w:tcPr>
          <w:p w14:paraId="15F8BEF7">
            <w:pPr>
              <w:pBdr/>
              <w:spacing/>
              <w:ind/>
              <w:jc w:val="center"/>
              <w:rPr/>
            </w:pPr>
            <w:r>
              <w:t xml:space="preserve">КИ23-16/</w:t>
            </w:r>
            <w:r>
              <w:rPr>
                <w:lang w:val="ru-RU"/>
              </w:rPr>
              <w:t xml:space="preserve">1</w:t>
            </w:r>
            <w:r>
              <w:t xml:space="preserve">б, </w:t>
            </w:r>
            <w:r>
              <w:rPr>
                <w:lang w:val="ru-RU"/>
              </w:rP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16B09208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71" w:type="dxa"/>
          </w:tcPr>
          <w:p w14:paraId="4CC4B532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97C47A9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534" w:type="dxa"/>
          </w:tcPr>
          <w:p w14:paraId="7772C1DA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71882373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</w:tcPr>
          <w:p w14:paraId="46032DA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456BE5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799F16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A7C58E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2B03B50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2422CF5">
      <w:pPr>
        <w:pBdr/>
        <w:spacing w:after="0" w:before="0" w:line="360" w:lineRule="auto"/>
        <w:ind/>
        <w:rPr/>
      </w:pPr>
      <w:r/>
      <w:r/>
    </w:p>
    <w:p w14:paraId="225410F4">
      <w:pPr>
        <w:pBdr/>
        <w:spacing w:after="0" w:before="0" w:line="360" w:lineRule="auto"/>
        <w:ind/>
        <w:rPr/>
      </w:pPr>
      <w:r/>
      <w:r/>
    </w:p>
    <w:p w14:paraId="3599832B">
      <w:pPr>
        <w:pBdr/>
        <w:spacing w:after="0" w:before="0" w:line="360" w:lineRule="auto"/>
        <w:ind/>
        <w:rPr/>
      </w:pPr>
      <w:r/>
      <w:r/>
    </w:p>
    <w:p w14:paraId="63129AE9"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Красноярск 2026</w:t>
      </w:r>
      <w:r>
        <w:br w:type="page" w:clear="all"/>
      </w:r>
      <w:r/>
    </w:p>
    <w:p>
      <w:pPr>
        <w:pBdr/>
        <w:spacing/>
        <w:ind/>
        <w:rPr/>
        <w:sectPr>
          <w:headerReference w:type="default" r:id="rId10"/>
          <w:headerReference w:type="first" r:id="rId11"/>
          <w:footerReference w:type="default" r:id="rId12"/>
          <w:footerReference w:type="first" r:id="rId13"/>
          <w:footnotePr/>
          <w:endnotePr/>
          <w:type w:val="nextPage"/>
          <w:pgSz w:h="16838" w:orient="portrait" w:w="11906"/>
          <w:pgMar w:top="1133" w:right="567" w:bottom="1133" w:left="1700" w:header="708" w:footer="708" w:gutter="0"/>
          <w:pgNumType w:start="1"/>
          <w:cols w:num="1" w:sep="0" w:space="1701" w:equalWidth="1"/>
          <w:titlePg/>
        </w:sectPr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проекта, архитектура которой будет разрабатываться в течение семестра.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Style w:val="937"/>
        <w:suppressLineNumbers w:val="false"/>
        <w:pBdr/>
        <w:spacing/>
        <w:ind w:right="0" w:firstLine="720" w:left="0"/>
        <w:rPr>
          <w14:ligatures w14:val="none"/>
        </w:rPr>
      </w:pPr>
      <w:r>
        <w:t xml:space="preserve">выбрать тематику приложения;</w:t>
      </w:r>
      <w:r>
        <w:rPr>
          <w14:ligatures w14:val="none"/>
        </w:rPr>
      </w:r>
    </w:p>
    <w:p>
      <w:pPr>
        <w:pStyle w:val="937"/>
        <w:suppressLineNumbers w:val="false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продумать название и задачи, которые оно выполняет;</w:t>
      </w:r>
      <w:r>
        <w:rPr>
          <w14:ligatures w14:val="none"/>
        </w:rPr>
      </w:r>
    </w:p>
    <w:p>
      <w:pPr>
        <w:pStyle w:val="937"/>
        <w:suppressLineNumbers w:val="false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составить краткое описание системы и её характеристик;</w:t>
      </w:r>
      <w:r>
        <w:rPr>
          <w14:ligatures w14:val="none"/>
        </w:rPr>
      </w:r>
    </w:p>
    <w:p>
      <w:pPr>
        <w:pStyle w:val="937"/>
        <w:suppressLineNumbers w:val="false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построить UML-диаграмму вариантов использования описываемой системы.</w:t>
      </w:r>
      <w:r>
        <w:rPr>
          <w14:ligatures w14:val="none"/>
        </w:rPr>
      </w:r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Описание системы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Название и концепция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Назначение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Основное назначение NewNote – предоставить пользователям удобный, минималистичный инструмент для ведения заметок без лишней функциональности. В отличие от громоздких аналогов, NewNote ориентирован на скорость и простоту: открыл, написал, сохранил.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Основные характеристики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двухканальная: по адресу электронной почты и по SMS-коду;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с заметками – создание, просмотр, редактирование, удаление, поиск;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 – круглосуточная, без ограничений по количеству заметок.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Участники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3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3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UML-диаграмма вариантов использования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34099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953000" cy="340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00pt;height:268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Варианты использования системы: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«Зарегистрироваться» – создание новой учётной записи с указанием e-mail и номера телефона;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«Войти по e-mail» – вход в систему через адрес электронной почты и пароль;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«Войти по SMS» – вход через одноразовый SMS-код, отправляемый на привязанный номер телефона;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«Создать заметку» – добавление новой записи с заголовком и текстом;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«Просмотреть заметки» – отображение списка всех заметок пользователя;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«Редактировать заметку» – изменение содержимого существующей заметки;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«Удалить заметку» – безвозвратное удаление выбранной записи;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«Искать заметки» – фильтрация записей по ключевому слову в заголовке;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«Выйти из системы» – завершение сеанса работы с очисткой данных сессии.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данной лабораторной работы является составление требований к проектируемой системе NewNote на различных уровнях, а также определение источников и методов их получения.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сформулировать бизнес-требования к системе NewNote;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определить требования пользователей;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функциональные требования;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нефункциональные требования;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описать источники и методы получения требований.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Требования к системе NewNote</w:t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 Бизнес-требования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базу для будущей монетизации за счёт введения платных тарифов с расширенными возможностями;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MVP (минимально жизнеспособный продукт) в течение трёх месяцев с начала разработки;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 Требования пользователей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зарегистрироваться, указав адрес электронной почты и номер телефона;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создавать текстовые заметки с заголовком и произвольным текстом;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видеть список всех своих заметок на главной странице после входа;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открыть и отредактировать любую свою заметку;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удалить заметку;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найти нужную заметку по ключевому слову в заголовке;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выйти из системы с любой страницы.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 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регистрации с полями: e-mail, пароль, номер телефона;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входа по e-mail и паролю;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одноразовый SMS-код при запросе аутентификации по номеру телефона;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считать SMS-код недействительным по истечении 5 минут с момента его отправки;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сохранять заметки с привязкой к учётной записи пользователя;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редактирования заметки с сохранением внесённых изменений;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удалять заметку после явного подтверждения пользователем;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3.4 Нефункциональные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системы необходимо учитывать следующие нефункциональные требования: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производительность: время отклика системы на любой запрос пользователя не должно превышать 2 секунды при нагрузке до 500 одновременных пользователей;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обеспечивать доступность не менее 99,5 % в месяц;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совместимость: система должна корректно работать в актуальных версиях браузеров Chrome, Firefox, Safari и Edge;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масштабируемость: архитектура должна допускать горизонтальное масштабирование серверной части без изменения клиентского кода;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удобство использования: интерфейс должен соответствовать принципам юзабилити; целевое значение показателя SUS (System Usability Scale) – не ниже 70 баллов.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 Источники и методы получения требований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работы с проектируемой системой NewNote были использованы следующие источники и методы получения требований.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Интервью с заказчиком. В роли заказчика выступае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ИП Серебряков А.В. На основании двух проведённых интервью были сформированы бизнес-требования: целевые показатели аудитории, сроки запуска MVP и стратегия монетизации. Интервью позволило зафиксировать приоритеты бизнеса и ограничения по срокам и бюджету.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Анкетирование потенциальных пользователей. Для формирования требований пользователей была составлена анкета из 10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вопросов, охватывающих сценарии использования заметок в повседневной жизни. Анкета была распространена среди 20 студентов направления «Программная инженерия». По результатам анализа ответов выявлены основные пользовательские сценарии и приоритеты функций.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конкурентов (бенчмаркинг). Для определения функциона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льных требований был выполнен анализ трёх аналогичных систем: Google Keep, Notion и Bear. Сравнительный анализ позволил определить минимальный набор функций, ожидаемых пользователями от подобного приложения, и избежать избыточности в проектируемой системе.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Изучение нормативно-технической докум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ентации. При формировании нефункциональных требований в части безопасности и качества были изучены рекомендации OWASP по безопасности веб-приложений [3], а также стандарт ISO/IEC 25010, регламентирующий характеристики качества программного обеспечения [4].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данной лабораторной работы является выбор и обоснование архитектурного паттерна для системы NewNote, а также его реализация в виде структуры программного проекта.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изучить основные архитектурные паттерны;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выбрать подходящий паттерн для системы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обосновать выбор в формате ADR (Architecture Decision Record);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реализовать структуру проекта на Python FastAPI в соответствии с выбранным паттерном.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 Выбор архитектурного паттерна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Запись принятого решения № 1: Выбор архитектурного паттерна для системы NewNote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Дата: 2026-04-23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Контекст: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Решение: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 решение реализовать систему NewNote в виде монолита с послойной (layered) структурой. Проект разбит на следующие слои и модули: точка входа (m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ain.py), подключение к базе данных (database.py), ORM-модели (models.py), схемы данных Pydantic (schemas.py), вспомогательные утилиты аутентификации (auth_utils.py), зависимости FastAPI (dependencies.py), маршрутизаторы (routers/auth.py, routers/notes.py).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Обоснование: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простота предметной области: система имеет два чётко ограниченных функциональных модуля (аутентификация и заметки) без сложных межсервисных зависимостей;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малая команда и ограниченный срок: для одного разработчика монолит обеспечивает наименьший накладной расход на инфраструктуру и настройку;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низкая ожидаемая нагрузка: ожидаемое число одновременных пользователей (до 100) не требует горизонтального масштабирования на уровне сервисов;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единая база данных: все данные хранятся в одной SQLite/PostgreSQL БД, что упрощает транзакционную целостность;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простота отладки и тестирования: весь код находится в одном процессе, что исключает проблемы распределённых вызовов.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Последствия: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минимальная инфраструктура – один контейнер/процесс;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быстрый старт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единое логирование и обработка ошибок;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простая схема развёртывания (uvicorn + SQLite или PostgreSQL).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Недостатки и риски: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единая точка отказа: при падении процесса недоступна вся система;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при росте нагрузки потребуется рефакторинг в микросервисы;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риск нарастания связанности модулей при расширении функциональности.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Альтернативы: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5.1 Структура программного проекта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соответствии с выбранным паттерном реализована следующая структура монолитного проекта на Python FastAPI: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main.py – точка входа; регистрирует маршрутизаторы и создаёт таблицы БД при запуске;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database.py – настройка подключения к базе данных через SQLAlchemy, фабрика сессий и зависимость get_db;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models.py – ORM-модели User и Note; User хранит данные учётной записи и OTP-код для SMS-входа; Note хранит заголовок, текст и ссылку на владельца;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schemas.py – Pydantic-схемы для валидации входящих запросов и сериализации ответов (RegisterRequest, LoginRequest, SmsRequest, SmsVerifyRequest, NoteCreate, NoteUpdate, NoteResponse);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auth_utils.py – вспомогательные функции: хэширование пароля (bcrypt), создание JWT-токена, генерация шестизначного SMS-кода;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dependencies.py – FastAPI-зависимость get_current_user: декодирует JWT-токен из заголовка Authorization и возвращает текущего пользователя;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routers/auth.py – эндпоинты: POST /auth/register, POST /auth/login, POST /auth/sms/send, POST /auth/sms/verify;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routers/notes.py – эндпоинты: GET /notes/, POST /notes/, PUT /notes/{id}, DELETE /notes/{id}.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данной лабораторной работы является построение карты контекстов системы NewNote по методологии DDD, а также составление диаграмм контекста нотации C4 для смыслового ядра и вспомогательной подобласти.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определить подобласти системы NewNote: смысловое ядро, вспомогательные и общие подобласти;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выделить ограниченные контексты и описать отношения между ними;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карту контекстов по методологии DDD;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диаграмму контекста нотации C4 для смыслового ядра;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диаграмму контекста нотации C4 для одной вспомогательной подобласти.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 Карта контекстов по методологии DDD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Domain-Driven Design (DDD) – методология проектирования программных систем,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6.1 Определение подобластей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системы NewNote выделены следующие подобласти: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(Core Domain) – Управление заметками (Note Management). Это основная бизнес-ценность системы: создание, хранение, редактирование, удален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Вспомогательная подобласть (Supporting Subdomain) – Профиль пользоват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Общие подобласти (Generic Subdomains) – функциональность, не являющаяся уникальной для системы: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Уведомления (Notification) – генерация и отправка SMS-кодов через внешний SMS-шлюз.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6.2 Ограниченные контексты и связи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выделенных подобластей определены следующие ограниченные контексты и отношения между ними: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User Identity Context (Generic) – управляет учётными записями и аутентификацией; зависит от Notification Context для отправки OTP-кодов.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Notification Context (Generic) – предоставляет возможность отправки SMS; является поставщиком (Upstream) для User Identity Context.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User Profile Context (Supporting) – хранит дополнительные данные профиля; предоставляет информацию о пользователе контексту Note Management.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6.3 Карта контекстов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6000" cy="3298000"/>
                <wp:effectExtent l="0" t="0" r="0" b="0"/>
                <wp:docPr id="2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96000" cy="329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13pt;height:259.6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Карта контекстов системы NewNote по методологии DDD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 Диаграммы контекста нотации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Нотация C4 (Context, 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7.1 Диаграмма контекста C4 для смыслового ядра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760000"/>
                <wp:effectExtent l="0" t="0" r="0" b="0"/>
                <wp:docPr id="3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29200" cy="27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00pt;height:217.3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Диаграмма контекста C4 для смыслового ядра (Note Management Context)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7.2 Диаграмма контекста C4 для вспомогательной подобласти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6000" cy="2804400"/>
                <wp:effectExtent l="0" t="0" r="0" b="0"/>
                <wp:docPr id="4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196000" cy="280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9.13pt;height:220.8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4 – Диаграмма контекста C4 для вспомогательной подобласти (User Identity Context)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 данной лабораторной работы является реализация не менее трёх паттернов проектирования (по одному каждого вида: порождающий, структурный, поведенческий) в коде системы NewNote, построение UML-диаграммы классов и обоснование выбора реализованных паттернов.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и реализовать поведенческий паттерн проектирования;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и реализовать структурный паттерн проектирования;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и реализовать порождающий паттерн проектирования;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UML-диаграммы классов для каждого реализованного паттерна;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обосновать выбор каждого паттерна и привести примеры нецелесообразных альтернатив.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 Паттерны проектирования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проектирования (Design Pattern) – типовое решение часто встречающейся задачи при проект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ировании программного обеспечения. Паттерны не являются конкретным кодом, а представляют собой описание подхода, который можно адаптировать под нужды конкретного проекта. В системе NewNote реализованы три паттерна: поведенческий, структурный и порождающий.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8.1 Поведенческий паттерн: Стратегия (Strategy)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Стратегия применён для реализации аутентификации пользователей. Система NewNote поддерживает два способа входа: по e-mail и паролю,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по одноразовому SMS-коду (OTP). Оба способа имеют общий интерфейс (метод authenticate), но принципиально разные алгоритмы проверки. Паттерн Стратегия позволяет инкапсулировать каждый алгоритм в отдельный класс и переключать их без изменения кода роутера.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Паттерн Стратегия выбран, так как в системе присутствует несколько взаимозаменяемых алгоритмов аутентификации, которые не имеют общих пошаговых операций. Роутер (клиент) не должен зависеть от деталей реализации каждого способа входа.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Шаблонный метод (Template Method). Шаблонный метод предполагает, что у всех вариантов алгоритма есть фиксированная последовательность шагов, которые частично переопределяются в подклассах. У ema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il-аутентификации (проверка пароля bcrypt) и SMS-аутентификации (проверка OTP-кода и срока его действия) нет общей последовательности шагов, поэтому Шаблонный метод неприменим. Стратегия корректнее, так как алгоритмы независимы и полностью взаимозаменяемы.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Команда (Command). Паттерн Команда предназначен для инкапсуляции запроса как объекта с поддержкой отмены, очереди и журналирования. Аутентификация является немедленным действием без необходимости откладывать его или отменять, поэтому Команда избыточна.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ации: абстрактный класс AuthStrategy с методом authenticate(db, **kwargs), конкретные классы EmailAuthStrategy и SmsAuthStrategy, класс-контекст AuthContext, хранящий ссылку на стратегию и вызывающий её через метод login(). Файл: patterns/auth_strategy.py.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Стратегия представлена на рисунке 5.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0200" cy="2560000"/>
                <wp:effectExtent l="0" t="0" r="0" b="0"/>
                <wp:docPr id="5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90200" cy="25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2.93pt;height:201.5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5 – Диаграмма классов: паттерн Стратегия (Strategy)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8.2 Структурный паттерн: Репозиторий (Repository)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Репозиторий применён для изоляции логики доступа к 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ым от бизнес-логики роутеров. До применения паттерна роутеры напрямую обращались к объекту Session SQLAlchemy, смешивая работу с базой данных и обработку HTTP-запросов. Это затрудняло тестирование: для unit-тестов роутеров требовалась реальная база данных.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Репозиторий предоставляет 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диный интерфейс для работы с коллекцией объектов модели, скрывая детали хранилища. При необходимости реальный NoteRepository можно подменить тестовой заглушкой (InMemoryNoteRepository), реализующей тот же абстрактный интерфейс, без изменения кода роутеров.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Фасад (Facade). Фа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сад предоставляет упрощённый интерфейс к сложной подсистеме, состоящей из нескольких классов. В данном случае подсистема одна (SQLAlchemy + модель Note), и цель – абстракция хранилища, а не упрощение сложной подсистемы. Это задача Репозитория, а не Фасада.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Декоратор (Decorator). Декоратор добавляет новое поведение существующему объекту, оборачивая его. Цель здесь – не расширить объект Session, а полностью скрыть его за стабильным интерфейсом. Декоратор не решает задачу изоляции хранилища.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класс AbstractNoteRepository с методами get_all, get_by_id, create, update, delete, конкретный класс NoteRepository, принимающий в конструктор объект Session. Файл: patterns/note_repository.py.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Репозиторий представлена на рисунке 6.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0200" cy="2686200"/>
                <wp:effectExtent l="0" t="0" r="0" b="0"/>
                <wp:docPr id="6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990200" cy="2686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2.93pt;height:211.5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6 – Диаграмма классов: паттерн Репозиторий (Repository)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8.3 Порождающий паттерн: Фабричный метод (Factory Method)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Фабричный метод применён для создания объектов-экспортёров заметок. Система NewNote поддерживает экспор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заметки в разные форматы (plain text, JSON) через endpoint GET /notes/{id}/export?fmt=txt|json. С появлением новых форматов (например, Markdown) необходимо добавлять новые экспортёры без изменения существующего кода роутера, соблюдая принцип Open/Closed.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Фабричный метод выносит 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гику создания конкретного экспортёра из роутера в специализированные фабрики. Добавление нового формата требует только создания нового класса-экспортёра и новой фабрики, и регистрации её в реестре _FACTORIES, без изменения роутера или существующих классов.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Абстрактная фабрика (Abstract Factory). Абстрактная фабрика нужна 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создания семейств взаимосвязанных объектов (например, кнопка + форма + диалог одной темы UI). Здесь порождается только один тип объекта — экспортёр — без семейства связанных продуктов. Абстрактная фабрика создаёт излишнюю иерархию без практической пользы.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Строитель (Builder). Строитель предназначен для пошагового конструирования сложных объектов с множеством параметров. Экспортёры просты (не требуют пошаговой сборки), поэтому Строитель был бы избыточным усложнением.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продукт NoteExporter (методы export и content_type), конкретные продукты PlainTextExporter и JsonExporter,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абстрактный создатель NoteExporterFactory (фабричный метод create_exporter), конкретные создатели PlainTextExporterFactory и JsonExporterFactory, реестр фабрик _FACTORIES и вспомогательная функция get_exporter_factory(fmt). Файл: patterns/note_exporter.py.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Фабричный метод представлена на рисунке 7.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4600" cy="2752200"/>
                <wp:effectExtent l="0" t="0" r="0" b="0"/>
                <wp:docPr id="7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44600" cy="2752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2.96pt;height:216.7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7 – Диаграмма классов: паттерн Фабричный метод (Factory Method)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данной лабораторной работы является реализация принципов SOLID и принципов организации компонентов в коде системы NewNote, а также построение диаграмм кода и компонентов нотации C4.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реализовать не менее трёх принципов SOLID;</w:t>
      </w:r>
      <w:r>
        <w:rPr>
          <w14:ligatures w14:val="none"/>
        </w:rPr>
      </w:r>
    </w:p>
    <w:p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реализовать не менее четырёх принципов организации компонентов (не менее двух из каждой группы);</w:t>
      </w:r>
      <w:r>
        <w:rPr>
          <w14:ligatures w14:val="none"/>
        </w:rPr>
      </w:r>
    </w:p>
    <w:p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построить диаграмму компонентов C4 (Level 3);</w:t>
      </w:r>
      <w:r>
        <w:rPr>
          <w14:ligatures w14:val="none"/>
        </w:rPr>
      </w:r>
    </w:p>
    <w:p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построить диаграмму кода C4 (Level 4).</w:t>
      </w:r>
      <w:r>
        <w:rPr>
          <w14:ligatures w14:val="none"/>
        </w:rPr>
      </w:r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 Реализация принципов SOLID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SOLID — пять принципов объектно-ориентированного проектирования, сформулированных Робертом Мартином. Их соблюдение делает код более гибким, тес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тируемым и сопровождаемым. В ходе рефакторинга кода NewNote реализованы пять принципов SOLID. Структура проекта была реорганизована: вместо плоской папки с файлами введены пакеты auth/, notes/ и interfaces/, что позволило явно разграничить ответственности.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9.1 Принцип единственной ответственности (SRP)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единственной ответственности (Single Responsibility Principle): каждый класс (модуль) должен иметь только одну причину для изменения.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файл auth_utils.py нарушал SRP, объединяя три несвязанные обязанности в одном модуле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хэширование паролей, создание JWT-токенов и генерацию OTP-кодов. Каждая из этих функций имела свою причину для изменения: смена алгоритма хэширования не должна затрагивать логику токенов, а изменение длины OTP-кода не должно затрагивать ни то, ни другое.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auth_utils.py разбит на три специализированных класса: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auth/password_service.py — класс PasswordService: методы hash() и verify(). Единственная причина для изменения — смена алгоритма хэширования (bcrypt → Argon2 и т.п.);</w:t>
      </w:r>
      <w:r>
        <w:rPr>
          <w14:ligatures w14:val="none"/>
        </w:rPr>
      </w:r>
    </w:p>
    <w:p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auth/token_service.py — класс TokenService: методы create() и decode(). Единственная причина для изменения — смена алгоритма или формата JWT-токена;</w:t>
      </w:r>
      <w:r>
        <w:rPr>
          <w14:ligatures w14:val="none"/>
        </w:rPr>
      </w:r>
    </w:p>
    <w:p>
      <w:pPr>
        <w:pStyle w:val="93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auth/otp_service.py — класс OtpService: метод generate(). Единственная причина для изменения — смена формата или длины кода.</w:t>
      </w:r>
      <w:r>
        <w:rPr>
          <w14:ligatures w14:val="none"/>
        </w:rPr>
      </w:r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Аналогично, модели User и Note разнесены по пакетам (auth/models.py и notes/models.py), а каждый роутер (auth/router.py, notes/router.py) отвечает исключительно за маршрутизацию HTTP-запросов, делегируя всю логику сервисам и репозиторию.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9.2 Принцип открытости/закрытости (OCP)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открытости/закрытости (Open/Closed Principle): программные сущности должны быть открыты для расширения, но закрыты для модификации.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иерархия AuthStrategy в модуле auth/strategies.py. Абстрактный класс AuthStrategy определяет контракт — метод authenticate(db, **kwargs). Конкретные стратегии EmailAuthStrategy и SmsAuthStrategy реализуют этот контракт для двух каналов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аутентификации. При добавлении нового способа входа (например, OAuth2) необходимо лишь создать новый подкласс AuthStrategy — существующий код роутера и класса AuthContext остаётся неизменным, что и означает «закрыт для модификации, открыт для расширения».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 реализованы NoteExporter и NoteExporterFactory из предыдущей работы (patterns/): добавление нового формата экспорта (например, Markdown) требует только нового класса, не изменяя существующих.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9.3 Принцип подстановки Лисков (LSP)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подстановки Лисков (Liskov Substitution Principle): объекты подклассов должны быть полностью взаимозаменяемы с объектами базового класса без нарушения корректности программы.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классы EmailAuthStrategy и SmsAuthStrategy полностью реализуют контракт AuthStrategy. Класс AuthContext работает с переменной типа AuthStrategy и вызывает authenticate() — не зная и не завися от того, какая конкрет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ная стратегия передана. Подстановка одной стратегии другой не меняет поведения AuthContext. Аналогично, NoteRepository реализует интерфейсы INoteReader и INoteWriter и может быть заменён тестовой заглушкой InMemoryNoteRepository без изменения кода роутера.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9.4 Принцип разделения интерфейсов (ISP)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разделения интерфейсов (Interface Segregation Principle): клиенты не должны зависеть от методов, которые они не используют.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AbstractNoteRepository объединял все методы — get_all, get_by_id, create, update, delete — в одном интерфейсе. Клиент, которому нужно только читать заметки (например, функция экспорта), всё равно зависел от методов записи.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интерфейс разделён на два в пакете interfaces/: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INoteReader (interfaces/i_note_reader.py) — только get_all() и get_by_id(). Клиенты, которым нужно только чтение, зависят исключительно от этого интерфейса;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INoteWriter (interfaces/i_note_writer.py) — только create(), update(), delete(). Клиенты-писатели зависят только от него.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роутере notes/router.py функции аннотированы типами INoteReader и INoteWriter соответственно: функция list_notes получает INoteReader, функция create_note — INoteWriter. Это явно выражает намерения и исключает нежелательные зависимости.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9.5 Принцип инверсии зависимостей (DIP)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инверсии зависимостей (Dependency Inversion Principle): высокоуровневые модули не должны зависеть от низкоуровневых — оба должны зависеть от абстракций.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высокоуровневый модуль notes/router.py зависит от абстракций INoteReader и INoteWriter (пакет interfaces/), а не от конкретного класса NoteRepository. Конкретная реализация создаётся в вспомогательных функциях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_get_reader() и _get_writer() и «внедряется» через параметры FastAPI-зависимостей. При необходимости конкретный NoteRepository можно заменить тестовой заглушкой или реализацией поверх другого хранилища (Redis, файловая система) без изменения кода роутера.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10 Реализация принципов организации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организаци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компонентов делятся на две группы: принципы связности компонентов (определяют, что входит в компонент) и принципы сочетаемости компонентов (определяют, как компоненты зависят друг от друга). В проекте NewNote реализованы по два принципа из каждой группы.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10.1 Принципы связности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замыкания (CCP — Common Closure Principle): в компонент должны входить классы, которые изменяются по одним и тем же причинам и в одно и то же время. Тогда при изменении требований затрагивается минимальное количество компонентов.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CCP в NewNote: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auth/ объединяет все классы, изменя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ющиеся при изменении способа аутентификации: router.py, strategies.py, password_service.py, token_service.py, otp_service.py, models.py, schemas.py. Если заказчик попросит добавить OAuth2 или изменить срок действия токена, затронут будет только этот пакет;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notes/ объединяет всё, что изменяется при изменении функциональности заметок: router.py, repository.py, models.py, schemas.py. Изменение полей заметки или добавление нового эндпоинта затрагивает только notes/.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повторного использования (CRP 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Common Reuse Principle): классы в компоненте используются вместе. Клиент, использующий один класс из компонента, неявно зависит от всех классов компонента. Поэтому в компоненте должны находиться только те классы, которые действительно используются вместе.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CRP в NewNote: пакет interfaces/ содержит исключительно INoteReader и INoteWriter — два интерфейса, которые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 (notes/router.py и notes/repository.py) использует вместе как единое целое. Не включены в interfaces/ никакие конкретные реализации, модели, схемы или утилиты. Клиент, зависящий от interfaces/, не притягивает нежелательных транзитивных зависимостей.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10.2 Принципы сочетаемости компонентов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ацикли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ческих зависимостей (ADP — Acyclic Dependencies Principle): в графе зависимостей между компонентами не должно быть циклов. Цикл приводит к тому, что компоненты становятся неразрывно связаны и не могут быть собраны, протестированы или задеплоены независимо.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ADP в NewNote: граф зависимостей между пакетами образует направленный ациклический граф (DAG):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interfaces/ (repository.py реализует INoteReader, INoteWriter);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interfaces/ (опционально, для расширения);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database/ (получение Session);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database/ (получение Session).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Циклов нет: interfaces/ ни от кого не зависит; notes/ зависит от interfaces/, но не наоборот; auth/ зависит от database/, но не от notes/. Каждый пакет можно скомпилировать, протестировать и задеплоить независимо, что соответствует требованию ADP.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стабильных зависимостей (SDP — Stable Depend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encies Principle): компоненты должны зависеть только от более стабильных компонентов. Стабильность определяется как отношение входящих зависимостей к суммарным: I = Fan-out / (Fan-in + Fan-out), где I=0 — максимально стабилен, I=1 — максимально нестабилен.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SDP в NewNote: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interfaces/ — наиболее стабильный компонент (I≈0): на него ссылаются notes/ и auth/, но сам он ни от кого не зависит. Именно от этого компонента зависят все volatile-компоненты;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notes/router.py — наиболее нестабильный модуль (I≈1): зависит от interfaces/, database/, auth/, schemas. Зависит только в направлении более стабильных компонентов, что соответствует SDP;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database.py — стабильный компонент (I≈0): ни от кого не зависит внутри проекта, зависит только от внешней библиотеки SQLAlchemy.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11 Диаграммы кода и компонентов нотации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8 представлена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компонентов нотации C4 (Level 3). Диаграмма отображает компоненты внутри контейнера NewNote Backend, их ответственности и зависимости. Каждый компонент соответствует пакету Python. В скобках рядом с каждым модулем указаны реализованные принципы.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531600"/>
                <wp:effectExtent l="0" t="0" r="0" b="0"/>
                <wp:docPr id="8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15000" cy="353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0.00pt;height:278.0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8 – Диаграмма компонентов C4 (Level 3)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выделены четыре компонента. Пакет auth/ (CCP) содержит все классы аутентификации, изменяющиеся вместе. Пакет interfaces/ (SAP, SDP, CRP) содержит только стабильные абстракции INoteReader и INoteWriter. Пакет notes/ (CCP)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содержит всё, связанное с заметками. Компонент database.py является стабильной инфраструктурной зависимостью. Стрелки показывают направление зависимостей, соответствующее принципам ADP и SDP: зависимости направлены от нестабильных компонентов к стабильным.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9 представлена диаграмма кода C4 (Level 4) для компонента auth/. Диаграмма показывает ключевые классы внутри компонента, их иерархию и взаимосвязи.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2000" cy="3327600"/>
                <wp:effectExtent l="0" t="0" r="0" b="0"/>
                <wp:docPr id="9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562000" cy="332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7.95pt;height:262.0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9 – Диаграмма кода C4 (Level 4) – компонент auth/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видно, что абстрактный класс AuthStrategy является единственной точкой расширения (OCP): добавление нового способа аутентификации означает создание нового подкласса. EmailAuthStrategy и SmsAuthStrategy полностью заменяемы в AuthCon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text (LSP). Три сервисных класса — PasswordService, TokenService, OtpService — изолированы по ответственностям (SRP) и не знают друг о друге. Класс auth.router зависит от этих сервисов и от AuthContext, но не от стратегий напрямую, что снижает связанность.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данной лабораторной работы является повышение безопасности системы NewNote не менее чем тремя способами, обоснование выбранных подходов, анализ компромиссов с нефункциональными требованиями и обновление диаграмм C4.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реализовать три аспекта безопасности;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обосновать выбор каждого из них;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проанализировать компромиссы с нефункциональными требованиями;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обновить диаграммы контейнеров и компонентов C4.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12 Реализация аспектов безопасности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Заказчик системы NewNote озаботился безопасностью решения. Реализованы три 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пекта безопасности: ограничение частоты запросов (Rate Limiting), заголовки безопасности HTTP (Security Headers Middleware) и ролевая модель авторизации (RBAC). Все изменения выполнены в новом пакете security/ и интегрированы без нарушения принципов SOLID.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12.1 Аспект безопасности №1: Rate Limiting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Атака перебором пароля (brute-force) на /auth/login позволяет злоумышленнику методично подбирать пароль. Атака SMS-флудинга на /auth/sms/send приводит к финансовым потерям и отказу в обслуживании легитимных пользователей.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Модуль security/rate_limiter.py реализует функцию check_rate_limit(request, endpoint). Алгоритм: для каждой пары (IP-адрес, эндпоинт) хранится список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ременных меток запросов за скользящее окно 60 секунд. При достижении порога 5 запросов возвращается HTTP 429 Too Many Requests с заголовком Retry-After. Функция вызывается в начале обработчиков /auth/login, /auth/register, /auth/sms/send, /auth/sms/verify.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Rate Limiting — ста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ндартная мера первого уровня защиты согласно OWASP (A07:2021 Identification and Authentication Failures). Реализация без внешних зависимостей не требует дополнительной инфраструктуры для MVP и соответствует SRP: проверка лимита вынесена в отдельный модуль.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12.2 Аспект безопасности №2: Security Headers Middleware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Без специальных HTTP-заголовков возможны: XSS — кража JWT-токена из памяти страницы; кликджекинг — нежелательные действия через iframe; MIME-sniffing — интерпретация данных как исполняемого кода; downgrade-атака на HTTP при первом соединении.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Класс Secur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ityHeadersMiddleware (security/headers_middleware.py) наследует BaseHTTPMiddleware Starlette. Метод dispatch добавляет к каждому ответу: X-Content-Type-Options: nosniff, X-Frame-Options: DENY, X-XSS-Protection: 1; mode=block, Content-Security-Policy: defau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lt-src 'self', Strict-Transport-Security (в production: max-age=31536000), Referrer-Policy: strict-origin-when-cross-origin, Cache-Control: no-store. Middleware зарегистрирован в main.py через app.add_middleware() — единая точка, покрывающая все эндпоинты.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выбора. Security Headers — рекомендуемая практика OWASP (A05:2021 Security Misconfiguration). Реализация в виде Middleware соответствует DRY: заголовки не нужно добавлять в каждый обработчик. Добавление новых заголовков затрагивает только один файл (OCP).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12.3 Аспект безопасности №3: RBAC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В исходной системе все пользователи обладали одинаковыми правами. Принцип наименьших привилегий нарушен: нет возможности выделить администраторов для модерации и управления данными пользователей.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Модуль security/rbac.py определяет класс Role (константы USER, ADMIN), функцию require_role() и is_admin(). В auth/models.py добавлено поле role. В notes/router.py интегрированы проверки: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GET /notes/?owner_id=X — только администратор может запросить заметки другого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DELETE /notes/{id} — администратор может удалить любую заметку.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RBAC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стандартная модель управления доступом согласно OWASP (A01:2021 Broken Access Control). Масштабируема: новые роли добавляются без изменения архитектуры. Проверка роли — атрибутный доступ к уже загруженному объекту User, без дополнительных запросов к БД.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12.4 Анализ компромиссов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Rate Limiting vs. производительность (НТ: время отклика ≤2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In-memory хранилище добавляет операцию O(n) к каждому запросу аутентификации (n≤5). Overhead — микросекунды, требование не нарушено. Компромисс: при горизонтальном масштабировании счётчики не синхронизированы между инстансами. Решение при росте — Redis.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Rate Limiting vs. доступность (НТ: ≥99,5%). Легитимный пользователь, допустивший 5 ошибок подряд, блокируется на 60 секунд. Компромисс принят: ущерб от кратковременной блокировки одного IP меньше ущерба от компрометации учётной записи.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Security Headers vs. функциональность. Заголовок CSP (default-src 'self') ограничивает источники скриптов. При будущей интеграции внешних CDN потребуется расширение политики. HSTS в разработке отключён (max-age=0), чтобы не блокировать localhost.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RBAC vs. масштабируемость. Роль хранится в таблице users — работает при любом количестве инстансов (общая БД). Компромисс: при росте числа ролей &gt;4 строковое поле потребует рефакторинга в таблицу roles. Для MVP двух ролей достаточно.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12.5 Обновлённые диаграммы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представлена обновлённая диаграмма контейнеров C4 (Level 2). Добавлены три новых контейнера (выделены красным): Security Middleware, Rate Limiter, RBAC Module. Запрос пользователя проходит через них до попадания в Backend. База данных расширена полем role.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302400"/>
                <wp:effectExtent l="0" t="0" r="0" b="0"/>
                <wp:docPr id="10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15000" cy="330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0.00pt;height:260.0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10 – Обновлённая диаграмма контейнеров C4 (Level 2)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11 представлена обновлённая диаграмма компонентов C4 (Level 3). Новый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понент security/ содержит три модуля. Изменённые модули помечены символом ●: auth/router.py (вызов rate limit), auth/models.py (поле role), notes/router.py (RBAC-проверки). Граф зависимостей ациклический (ADP): security/ не зависит от notes/ и interfaces/.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2800" cy="3620400"/>
                <wp:effectExtent l="0" t="0" r="0" b="0"/>
                <wp:docPr id="11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842800" cy="362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0.06pt;height:285.0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11 – Обновлённая диаграмма компонентов C4 (Level 3)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данной лабораторной работы является реструктуризация архитектуры системы NewNote в связи с резким ростом аудитории. Необходимо выбрать 2–3 атрибута качества, перейти к новому архитектурному паттерну и описать архитектуру в нотации 4+1.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проанализировать новые бизнес-требования и выбрать приоритетные атрибуты качества;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обосновать и реализовать переход к новой архитектуре;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привести диаграммы C4 старой и новой архитектуры;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описать новую архитектуру в нотации 4+1.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13 Атрибуты качества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роста популярности NewNote бизнес-требования резко изменились: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число пользователей выросло с 1†00 до 100†00+ за первые шесть месяцев;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заказчик требует доступности 99,9% — текущие 99,5% (≈4 ч/мес простоя) неприемлемы;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пиковая нагрузка в 20–30 раз превышает среднюю: монолит не справляется;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команда выросла с 1 до 5 разработчиков: конфликты при слиянии кода в едином репозитории;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требуется независимая доставка функций: обновление логики заметок не должно затрагивать сервис аутентификации.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Выбраны три приоритетных атрибута качества.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Масштабируемость (Scalability). В монолите масштабирование применяется ко всему приложению, даже если нагружен толь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 один компонент. Notes-service несёт 80% нагрузки (CRUD), тогда как Auth-service загружен равномерно. В новой архитектуре каждый сервис масштабируется независимо. Метрика: notes-service — 2–10 реплик, auth-service — 1–5 реплик, без перезапуска остальных.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 (Availability). В монолите сбой лю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бого модуля вызывает полную недоступность системы. В микросервисной архитектуре реализована изоляция сбоев: отказ notification-service не влияет на CRUD-операции с заметками. Метрика: доступность повышается с 99,5% до 99,9% (с ≈4 ч до ≈44 мин/мес простоя).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Сопровождаемость (Maintainability). Монолит привёл к тесной связанност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и: изменение в auth/models.py затрагивало notes/router.py. Растущая команда усиливает конфликты. Каждый микросервис имеет чётко определённую ответственность и независимо эволюционирует. Метрика: изменения в auth-service не требуют пересборки notes-service.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14 Новая архитектура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Выбранный паттерн: Микросервисная архитектура с API Gateway. Переход обусловлен тремя атрибутами качества: масштабируемостью, доступностью и сопровождаемостью.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архитектурные решения: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API Gateway — единая точка входа. Маршрутизирует запросы, проверяет JWT-токен, применяет Rate Limiting и Security Headers;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auth-service — микросервис аутентификации: регистрация, вход по e-mail/SMS, JWT, bcrypt, RBAC. Собственная Auth DB (PostgreSQL);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notes-service — микросервис заметок: CRUD, поиск, экспорт. Идентификатор пользователя получает из заголовков Gateway. Собственная Notes DB (PostgreSQL);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notification-service — микросервис уведомлений: SMS и email. Изолирован; сбой не влияет на остальные сервисы;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сервис — отдельный Docker-образ; оркестрация через docker-compose (MVP) или Kubernetes (production).</w:t>
      </w:r>
      <w:r/>
    </w:p>
    <w:p>
      <w:pPr>
        <w:pBdr/>
        <w:spacing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Причины выбора перед альтернативами: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вертикальное масштабирование монолита: ограничено физически и значительно дороже горизонтального;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SOA с ESB: шина становится узким местом; микросервисы взаимодействуют напрямую — меньше латентность;</w:t>
      </w:r>
      <w:r/>
    </w:p>
    <w:p>
      <w:pPr>
        <w:pStyle w:val="93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модульный монолит: решает сопровождаемость, но не позволяет масштабировать компоненты независимо.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Диаграммы контекста C4 для старой (рисунок 12) и новой (рисунок 13) архитектуры: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355000"/>
                <wp:effectExtent l="0" t="0" r="0" b="0"/>
                <wp:docPr id="12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572000" cy="235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0.00pt;height:185.4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12 – Старая архитектура: диаграмма контекста C4 (Level 1)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0000" cy="2540000"/>
                <wp:effectExtent l="0" t="0" r="0" b="0"/>
                <wp:docPr id="13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080000" cy="2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00.00pt;height:200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13 – Новая архитектура: диаграмма контекста C4 (Level 1)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контейнеров новой архитектуры C4 (Level 2) представлена на рисунке 14.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0000" cy="2820000"/>
                <wp:effectExtent l="0" t="0" r="0" b="0"/>
                <wp:docPr id="14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080000" cy="28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00.00pt;height:222.0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14 – Новая архитектура: диаграмма контейнеров C4 (Level 2)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15 Описание архитектуры в нотации 4+1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Архитектурная нотация 4+1 описывает систему через пять взаимосвязанных представлений: Logical View (логическое), Process View (процессное), Physical View (физическое), Development View (представление разработки) и Scenarios (сценарии).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15.1 Logical View (Логическое представление)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Отвечает на вопрос: какова функциональная декомпозиция системы? Система разбита на четыре микросервиса, каждый инкапсулирует собственный поддомен.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api_gateway — маршрутизация и сквозные аспекты: проверка JWT, Rate Limiting (5 запросов / 60 с / IP), Security Headers (CSP, HSTS, X-Frame-Options). Не содержит бизнес-логики.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auth_service — домен идентификации: регистрация, вход по e-mail/паролю, SMS OTP, JWT-токен с полем role (USER/ADMIN). Внутри применены SRP-классы: PasswordService (bcrypt), TokenService (JWT), OtpService (генератор кода).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notes_service — домен заметок: CRUD, поиск по заголовку, экспорт (txt/json). Реализует RBAC через заголовки X-User-Id и X-User-Role от Gateway. Содержит INoteReader и INoteWriter (ISP), NoteRepository (DIP).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notification_service — доставка уведомлений: SMS и email. В MVP — HTTP-эндпоинт POST /notify; в production — потребитель очереди RabbitMQ. Изолирован: его сбой не влияет на остальные сервисы.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15.2 Process View (Процессное представление)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Отвечает на вопрос: как система ведёт себя во время выполнения?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последоват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ельности аутентификации (рисунок 15). Клиент отправляет POST /auth/login. API Gateway применяет Rate Limit, проксирует в auth-service. Auth-service запрашивает пользователя из Auth DB, проверяет bcrypt, генерирует JWT с полями sub и role, возвращает токен.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413200"/>
                <wp:effectExtent l="0" t="0" r="0" b="0"/>
                <wp:docPr id="15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572000" cy="241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60.00pt;height:190.02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15 – Диаграмма последовательности: аутентификация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последовательности создания заме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тки (рисунок 16). Клиент отправляет POST /notes/ с токеном. Gateway проверяет токен, добавляет X-User-Id и X-User-Role, проксирует в notes-service. Notes-service сохраняет заметку в Notes DB, асинхронно уведомляет notification-service, возвращает HTTP 201.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7760" cy="2540000"/>
                <wp:effectExtent l="0" t="0" r="0" b="0"/>
                <wp:docPr id="16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207760" cy="2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0.06pt;height:200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16 – Диаграмма последовательности: создание заметки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15.3 Physical View (Физическое представление)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Отвечает на вопрос: как система развёртывается? Каждый микросервис — Docker-контейнер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Конфигурация описана в docker-compose.yml. В production notes-service масштабируется горизонтально (2–10 реплик) за балансировщиком нагрузки. Stateless-природа сервисов позволяет добавлять реплики без изменения кода. Диаграмма развёртывания — рисунок 17.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7760" cy="2667600"/>
                <wp:effectExtent l="0" t="0" r="0" b="0"/>
                <wp:docPr id="17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207760" cy="266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10.06pt;height:210.0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17 – Диаграмма развёртывания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15.4 Development View (Представление разработки)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Отвечает на вопрос: как организован исходный код? Каждый микросервис — отдельный Python-пакет (принцип Package by Feature / CCP). Каждый сервис имеет собственный Dockerfile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requirements.txt. Разработчики работают в изолированных ветках: изменения в auth_service/ не вызывают конфликтов в notes_service/. Принципы SOLID и паттерны проектирования, реализованные ранее, сохранены внутри каждого сервиса. Структура кода — рисунок 18.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600" cy="2413200"/>
                <wp:effectExtent l="0" t="0" r="0" b="0"/>
                <wp:docPr id="18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953600" cy="241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90.05pt;height:190.0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18 – Структура кода (Development View)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15.5 Scenarios (Сценарии использования)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Связывает все представления через ключевые сценарии.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UC-01: Регистрация пользователя. Предусловие: не зарегистрирован. Поток: клиент POST /auth/register → API Gateway (Rate Limit) → auth-service (check email unique, bcrypt hash, save to Auth DB) → JWT-токен. Альтернативный поток: email занят → HTTP 400.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UC-02: Аутентификация по e-mail. Предусловие: зарегистрирован. Поток: POST /auth/login → Rate Limit → auth-service (SELECT user, bcrypt.verify, jwt.encode) → токен. Альтернативный: неверный пароль → 401; превышен лимит → 429.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UC-0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3: Создание заметки. Предусловие: аутентифицирован. Поток: POST /notes/ + Bearer token → Gateway (jwt.decode, add X-User-Id/Role) → notes-service (validate, INSERT Notes DB, notify) → 201 Created. Альтернативный: пустой title → 422; невалидный токен → 401.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UC-04: Просмотр заметок администратором. Предусловие: role=admin. Поток: GET /notes/?owner_id=X → Gateway (role=admin) → notes-service (фильтр по owner_id разрешён) → список заметок. Альтернативный: role=user → 403 Forbidden.</w:t>
      </w:r>
      <w:r/>
    </w:p>
    <w:p>
      <w:pPr>
        <w:pBdr/>
        <w:spacing w:after="0" w:before="0" w:line="360" w:lineRule="auto"/>
        <w:ind/>
        <w:rPr/>
      </w:pPr>
      <w:r/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восьми лабораторных 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была полностью спроектирована и реализована система NewNote. В рамках работы 8 выполнен переход от монолита к микросервисной архитектуре. Причины перехода: рост аудитории с 1†00 до 100†00+ пользователей, невозможность горизонтального масштабирования мон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олита, единая точка отказа (доступность только 99,5%) и конфликты в растущей команде. Приоритетные атрибуты качества: масштабируемость (независимые реплики сервисов), доступность (с 99,5% до 99,9% за счёт изоляции сбоев), сопровождаемость (независимые паке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ты и CI/CD). Реализованы четыре сервиса: api_gateway, auth_service, notes_service, notification_service. Архитектура описана в нотации 4+1 с семью диаграммами: контекст (old/new), контейнеры, две диаграммы последовательности, развёртывание, структура кода.</w:t>
      </w:r>
      <w:r/>
    </w:p>
    <w:sectPr>
      <w:footerReference w:type="default" r:id="rId14"/>
      <w:footnotePr/>
      <w:endnotePr/>
      <w:type w:val="continuous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pStyle w:val="937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 w:default="1">
    <w:name w:val="Normal"/>
    <w:qFormat/>
    <w:pPr>
      <w:pBdr/>
      <w:spacing/>
      <w:ind/>
    </w:pPr>
  </w:style>
  <w:style w:type="paragraph" w:styleId="883">
    <w:name w:val="Heading 7"/>
    <w:basedOn w:val="882"/>
    <w:next w:val="882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882"/>
    <w:next w:val="882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882"/>
    <w:next w:val="882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>
    <w:name w:val="Heading 1 Char"/>
    <w:basedOn w:val="886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886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886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886"/>
    <w:link w:val="9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886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886"/>
    <w:link w:val="9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Title Char"/>
    <w:basedOn w:val="886"/>
    <w:link w:val="9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882"/>
    <w:next w:val="882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882"/>
    <w:next w:val="882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882"/>
    <w:next w:val="882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6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907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882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6"/>
    <w:link w:val="911"/>
    <w:uiPriority w:val="99"/>
    <w:pPr>
      <w:pBdr/>
      <w:spacing/>
      <w:ind/>
    </w:pPr>
  </w:style>
  <w:style w:type="paragraph" w:styleId="913">
    <w:name w:val="Footer"/>
    <w:basedOn w:val="882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6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918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919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920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921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922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923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924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925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929">
    <w:name w:val="Title"/>
    <w:qFormat/>
    <w:pPr>
      <w:pBdr/>
      <w:spacing/>
      <w:ind/>
    </w:pPr>
    <w:rPr>
      <w:sz w:val="56"/>
      <w:szCs w:val="56"/>
    </w:rPr>
  </w:style>
  <w:style w:type="paragraph" w:styleId="930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31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3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33">
    <w:name w:val="Heading 4"/>
    <w:qFormat/>
    <w:pPr>
      <w:pBdr/>
      <w:spacing/>
      <w:ind/>
    </w:pPr>
    <w:rPr>
      <w:i/>
      <w:iCs/>
      <w:color w:val="2e74b5"/>
    </w:rPr>
  </w:style>
  <w:style w:type="paragraph" w:styleId="934">
    <w:name w:val="Heading 5"/>
    <w:qFormat/>
    <w:pPr>
      <w:pBdr/>
      <w:spacing/>
      <w:ind/>
    </w:pPr>
    <w:rPr>
      <w:color w:val="2e74b5"/>
    </w:rPr>
  </w:style>
  <w:style w:type="paragraph" w:styleId="935">
    <w:name w:val="Heading 6"/>
    <w:qFormat/>
    <w:pPr>
      <w:pBdr/>
      <w:spacing/>
      <w:ind/>
    </w:pPr>
    <w:rPr>
      <w:color w:val="1f4d78"/>
    </w:rPr>
  </w:style>
  <w:style w:type="paragraph" w:styleId="936">
    <w:name w:val="Strong"/>
    <w:qFormat/>
    <w:pPr>
      <w:pBdr/>
      <w:spacing/>
      <w:ind/>
    </w:pPr>
    <w:rPr>
      <w:b/>
      <w:bCs/>
    </w:rPr>
  </w:style>
  <w:style w:type="paragraph" w:styleId="937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3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3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footnote text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link w:val="94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link w:val="94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f6fc0ab545eb4e0fad69b56ce82ef5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2794FF7D">
          <w:pPr>
            <w:pBdr/>
            <w:spacing/>
            <w:ind/>
            <w:rPr/>
          </w:pPr>
          <w:r>
            <w:t xml:space="preserve">Пересунько Е. О.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Table Grid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Table Grid Light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1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Plain Table 2"/>
    <w:basedOn w:val="14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Plain Table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1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2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3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4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5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 - Accent 6"/>
    <w:basedOn w:val="14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1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2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3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4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5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 6"/>
    <w:basedOn w:val="14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1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2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3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4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5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- Accent 6"/>
    <w:basedOn w:val="14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8" w:default="1">
    <w:name w:val="Normal"/>
    <w:qFormat/>
    <w:pPr>
      <w:pBdr/>
      <w:spacing/>
      <w:ind/>
    </w:pPr>
  </w:style>
  <w:style w:type="paragraph" w:styleId="1539">
    <w:name w:val="Heading 1"/>
    <w:basedOn w:val="1538"/>
    <w:next w:val="1538"/>
    <w:link w:val="15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0">
    <w:name w:val="Heading 2"/>
    <w:basedOn w:val="1538"/>
    <w:next w:val="1538"/>
    <w:link w:val="15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1">
    <w:name w:val="Heading 3"/>
    <w:basedOn w:val="1538"/>
    <w:next w:val="1538"/>
    <w:link w:val="15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2">
    <w:name w:val="Heading 4"/>
    <w:basedOn w:val="1538"/>
    <w:next w:val="1538"/>
    <w:link w:val="15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3">
    <w:name w:val="Heading 5"/>
    <w:basedOn w:val="1538"/>
    <w:next w:val="1538"/>
    <w:link w:val="15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4">
    <w:name w:val="Heading 6"/>
    <w:basedOn w:val="1538"/>
    <w:next w:val="1538"/>
    <w:link w:val="15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5">
    <w:name w:val="Heading 7"/>
    <w:basedOn w:val="1538"/>
    <w:next w:val="1538"/>
    <w:link w:val="15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6">
    <w:name w:val="Heading 8"/>
    <w:basedOn w:val="1538"/>
    <w:next w:val="1538"/>
    <w:link w:val="15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7">
    <w:name w:val="Heading 9"/>
    <w:basedOn w:val="1538"/>
    <w:next w:val="1538"/>
    <w:link w:val="15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8" w:default="1">
    <w:name w:val="Default Paragraph Font"/>
    <w:uiPriority w:val="1"/>
    <w:semiHidden/>
    <w:unhideWhenUsed/>
    <w:pPr>
      <w:pBdr/>
      <w:spacing/>
      <w:ind/>
    </w:pPr>
  </w:style>
  <w:style w:type="numbering" w:styleId="1549" w:default="1">
    <w:name w:val="No List"/>
    <w:uiPriority w:val="99"/>
    <w:semiHidden/>
    <w:unhideWhenUsed/>
    <w:pPr>
      <w:pBdr/>
      <w:spacing/>
      <w:ind/>
    </w:pPr>
  </w:style>
  <w:style w:type="character" w:styleId="1550">
    <w:name w:val="Heading 1 Char"/>
    <w:basedOn w:val="1548"/>
    <w:link w:val="15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1">
    <w:name w:val="Heading 2 Char"/>
    <w:basedOn w:val="1548"/>
    <w:link w:val="15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2">
    <w:name w:val="Heading 3 Char"/>
    <w:basedOn w:val="1548"/>
    <w:link w:val="15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3">
    <w:name w:val="Heading 4 Char"/>
    <w:basedOn w:val="1548"/>
    <w:link w:val="15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4">
    <w:name w:val="Heading 5 Char"/>
    <w:basedOn w:val="1548"/>
    <w:link w:val="15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5">
    <w:name w:val="Heading 6 Char"/>
    <w:basedOn w:val="1548"/>
    <w:link w:val="15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6">
    <w:name w:val="Heading 7 Char"/>
    <w:basedOn w:val="1548"/>
    <w:link w:val="15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7">
    <w:name w:val="Heading 8 Char"/>
    <w:basedOn w:val="1548"/>
    <w:link w:val="15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8">
    <w:name w:val="Heading 9 Char"/>
    <w:basedOn w:val="1548"/>
    <w:link w:val="15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9">
    <w:name w:val="Title"/>
    <w:basedOn w:val="1538"/>
    <w:next w:val="1538"/>
    <w:link w:val="15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0">
    <w:name w:val="Title Char"/>
    <w:basedOn w:val="1548"/>
    <w:link w:val="15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1">
    <w:name w:val="Subtitle"/>
    <w:basedOn w:val="1538"/>
    <w:next w:val="1538"/>
    <w:link w:val="15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2">
    <w:name w:val="Subtitle Char"/>
    <w:basedOn w:val="1548"/>
    <w:link w:val="15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3">
    <w:name w:val="Quote"/>
    <w:basedOn w:val="1538"/>
    <w:next w:val="1538"/>
    <w:link w:val="15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4">
    <w:name w:val="Quote Char"/>
    <w:basedOn w:val="1548"/>
    <w:link w:val="15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5">
    <w:name w:val="List Paragraph"/>
    <w:basedOn w:val="1538"/>
    <w:uiPriority w:val="34"/>
    <w:qFormat/>
    <w:pPr>
      <w:pBdr/>
      <w:spacing/>
      <w:ind w:left="720"/>
      <w:contextualSpacing w:val="true"/>
    </w:pPr>
  </w:style>
  <w:style w:type="character" w:styleId="1566">
    <w:name w:val="Intense Emphasis"/>
    <w:basedOn w:val="15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7">
    <w:name w:val="Intense Quote"/>
    <w:basedOn w:val="1538"/>
    <w:next w:val="1538"/>
    <w:link w:val="15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8">
    <w:name w:val="Intense Quote Char"/>
    <w:basedOn w:val="1548"/>
    <w:link w:val="15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9">
    <w:name w:val="Intense Reference"/>
    <w:basedOn w:val="15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0">
    <w:name w:val="No Spacing"/>
    <w:basedOn w:val="1538"/>
    <w:uiPriority w:val="1"/>
    <w:qFormat/>
    <w:pPr>
      <w:pBdr/>
      <w:spacing w:after="0" w:line="240" w:lineRule="auto"/>
      <w:ind/>
    </w:pPr>
  </w:style>
  <w:style w:type="character" w:styleId="1571">
    <w:name w:val="Subtle Emphasis"/>
    <w:basedOn w:val="15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2">
    <w:name w:val="Emphasis"/>
    <w:basedOn w:val="1548"/>
    <w:uiPriority w:val="20"/>
    <w:qFormat/>
    <w:pPr>
      <w:pBdr/>
      <w:spacing/>
      <w:ind/>
    </w:pPr>
    <w:rPr>
      <w:i/>
      <w:iCs/>
    </w:rPr>
  </w:style>
  <w:style w:type="character" w:styleId="1573">
    <w:name w:val="Strong"/>
    <w:basedOn w:val="1548"/>
    <w:uiPriority w:val="22"/>
    <w:qFormat/>
    <w:pPr>
      <w:pBdr/>
      <w:spacing/>
      <w:ind/>
    </w:pPr>
    <w:rPr>
      <w:b/>
      <w:bCs/>
    </w:rPr>
  </w:style>
  <w:style w:type="character" w:styleId="1574">
    <w:name w:val="Subtle Reference"/>
    <w:basedOn w:val="15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5">
    <w:name w:val="Book Title"/>
    <w:basedOn w:val="15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6">
    <w:name w:val="Header"/>
    <w:basedOn w:val="1538"/>
    <w:link w:val="15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7">
    <w:name w:val="Header Char"/>
    <w:basedOn w:val="1548"/>
    <w:link w:val="1576"/>
    <w:uiPriority w:val="99"/>
    <w:pPr>
      <w:pBdr/>
      <w:spacing/>
      <w:ind/>
    </w:pPr>
  </w:style>
  <w:style w:type="paragraph" w:styleId="1578">
    <w:name w:val="Footer"/>
    <w:basedOn w:val="1538"/>
    <w:link w:val="15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9">
    <w:name w:val="Footer Char"/>
    <w:basedOn w:val="1548"/>
    <w:link w:val="1578"/>
    <w:uiPriority w:val="99"/>
    <w:pPr>
      <w:pBdr/>
      <w:spacing/>
      <w:ind/>
    </w:pPr>
  </w:style>
  <w:style w:type="paragraph" w:styleId="1580">
    <w:name w:val="Caption"/>
    <w:basedOn w:val="1538"/>
    <w:next w:val="15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1">
    <w:name w:val="footnote text"/>
    <w:basedOn w:val="1538"/>
    <w:link w:val="15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2">
    <w:name w:val="Footnote Text Char"/>
    <w:basedOn w:val="1548"/>
    <w:link w:val="1581"/>
    <w:uiPriority w:val="99"/>
    <w:semiHidden/>
    <w:pPr>
      <w:pBdr/>
      <w:spacing/>
      <w:ind/>
    </w:pPr>
    <w:rPr>
      <w:sz w:val="20"/>
      <w:szCs w:val="20"/>
    </w:rPr>
  </w:style>
  <w:style w:type="character" w:styleId="1583">
    <w:name w:val="footnote reference"/>
    <w:basedOn w:val="1548"/>
    <w:uiPriority w:val="99"/>
    <w:semiHidden/>
    <w:unhideWhenUsed/>
    <w:pPr>
      <w:pBdr/>
      <w:spacing/>
      <w:ind/>
    </w:pPr>
    <w:rPr>
      <w:vertAlign w:val="superscript"/>
    </w:rPr>
  </w:style>
  <w:style w:type="paragraph" w:styleId="1584">
    <w:name w:val="endnote text"/>
    <w:basedOn w:val="1538"/>
    <w:link w:val="15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5">
    <w:name w:val="Endnote Text Char"/>
    <w:basedOn w:val="1548"/>
    <w:link w:val="1584"/>
    <w:uiPriority w:val="99"/>
    <w:semiHidden/>
    <w:pPr>
      <w:pBdr/>
      <w:spacing/>
      <w:ind/>
    </w:pPr>
    <w:rPr>
      <w:sz w:val="20"/>
      <w:szCs w:val="20"/>
    </w:rPr>
  </w:style>
  <w:style w:type="character" w:styleId="1586">
    <w:name w:val="endnote reference"/>
    <w:basedOn w:val="1548"/>
    <w:uiPriority w:val="99"/>
    <w:semiHidden/>
    <w:unhideWhenUsed/>
    <w:pPr>
      <w:pBdr/>
      <w:spacing/>
      <w:ind/>
    </w:pPr>
    <w:rPr>
      <w:vertAlign w:val="superscript"/>
    </w:rPr>
  </w:style>
  <w:style w:type="character" w:styleId="1587">
    <w:name w:val="Hyperlink"/>
    <w:basedOn w:val="15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8">
    <w:name w:val="FollowedHyperlink"/>
    <w:basedOn w:val="15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9">
    <w:name w:val="toc 1"/>
    <w:basedOn w:val="1538"/>
    <w:next w:val="1538"/>
    <w:uiPriority w:val="39"/>
    <w:unhideWhenUsed/>
    <w:pPr>
      <w:pBdr/>
      <w:spacing w:after="100"/>
      <w:ind/>
    </w:pPr>
  </w:style>
  <w:style w:type="paragraph" w:styleId="1590">
    <w:name w:val="toc 2"/>
    <w:basedOn w:val="1538"/>
    <w:next w:val="1538"/>
    <w:uiPriority w:val="39"/>
    <w:unhideWhenUsed/>
    <w:pPr>
      <w:pBdr/>
      <w:spacing w:after="100"/>
      <w:ind w:left="220"/>
    </w:pPr>
  </w:style>
  <w:style w:type="paragraph" w:styleId="1591">
    <w:name w:val="toc 3"/>
    <w:basedOn w:val="1538"/>
    <w:next w:val="1538"/>
    <w:uiPriority w:val="39"/>
    <w:unhideWhenUsed/>
    <w:pPr>
      <w:pBdr/>
      <w:spacing w:after="100"/>
      <w:ind w:left="440"/>
    </w:pPr>
  </w:style>
  <w:style w:type="paragraph" w:styleId="1592">
    <w:name w:val="toc 4"/>
    <w:basedOn w:val="1538"/>
    <w:next w:val="1538"/>
    <w:uiPriority w:val="39"/>
    <w:unhideWhenUsed/>
    <w:pPr>
      <w:pBdr/>
      <w:spacing w:after="100"/>
      <w:ind w:left="660"/>
    </w:pPr>
  </w:style>
  <w:style w:type="paragraph" w:styleId="1593">
    <w:name w:val="toc 5"/>
    <w:basedOn w:val="1538"/>
    <w:next w:val="1538"/>
    <w:uiPriority w:val="39"/>
    <w:unhideWhenUsed/>
    <w:pPr>
      <w:pBdr/>
      <w:spacing w:after="100"/>
      <w:ind w:left="880"/>
    </w:pPr>
  </w:style>
  <w:style w:type="paragraph" w:styleId="1594">
    <w:name w:val="toc 6"/>
    <w:basedOn w:val="1538"/>
    <w:next w:val="1538"/>
    <w:uiPriority w:val="39"/>
    <w:unhideWhenUsed/>
    <w:pPr>
      <w:pBdr/>
      <w:spacing w:after="100"/>
      <w:ind w:left="1100"/>
    </w:pPr>
  </w:style>
  <w:style w:type="paragraph" w:styleId="1595">
    <w:name w:val="toc 7"/>
    <w:basedOn w:val="1538"/>
    <w:next w:val="1538"/>
    <w:uiPriority w:val="39"/>
    <w:unhideWhenUsed/>
    <w:pPr>
      <w:pBdr/>
      <w:spacing w:after="100"/>
      <w:ind w:left="1320"/>
    </w:pPr>
  </w:style>
  <w:style w:type="paragraph" w:styleId="1596">
    <w:name w:val="toc 8"/>
    <w:basedOn w:val="1538"/>
    <w:next w:val="1538"/>
    <w:uiPriority w:val="39"/>
    <w:unhideWhenUsed/>
    <w:pPr>
      <w:pBdr/>
      <w:spacing w:after="100"/>
      <w:ind w:left="1540"/>
    </w:pPr>
  </w:style>
  <w:style w:type="paragraph" w:styleId="1597">
    <w:name w:val="toc 9"/>
    <w:basedOn w:val="1538"/>
    <w:next w:val="1538"/>
    <w:uiPriority w:val="39"/>
    <w:unhideWhenUsed/>
    <w:pPr>
      <w:pBdr/>
      <w:spacing w:after="100"/>
      <w:ind w:left="1760"/>
    </w:pPr>
  </w:style>
  <w:style w:type="character" w:styleId="1598">
    <w:name w:val="Placeholder Text"/>
    <w:basedOn w:val="1548"/>
    <w:uiPriority w:val="99"/>
    <w:semiHidden/>
    <w:pPr>
      <w:pBdr/>
      <w:spacing/>
      <w:ind/>
    </w:pPr>
    <w:rPr>
      <w:color w:val="666666"/>
    </w:rPr>
  </w:style>
  <w:style w:type="paragraph" w:styleId="1599">
    <w:name w:val="TOC Heading"/>
    <w:uiPriority w:val="39"/>
    <w:unhideWhenUsed/>
    <w:pPr>
      <w:pBdr/>
      <w:spacing/>
      <w:ind/>
    </w:pPr>
  </w:style>
  <w:style w:type="paragraph" w:styleId="1600">
    <w:name w:val="table of figures"/>
    <w:basedOn w:val="1538"/>
    <w:next w:val="153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2026-04-23T13:45:30Z</dcterms:created>
  <dcterms:modified xsi:type="dcterms:W3CDTF">2026-04-25T09:07:37Z</dcterms:modified>
</cp:coreProperties>
</file>