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AA96549">
      <w:pPr>
        <w:pStyle w:val="896"/>
        <w:suppressLineNumbers w:val="false"/>
        <w:pBdr/>
        <w:spacing/>
        <w:ind w:firstLine="0"/>
        <w:jc w:val="center"/>
        <w:rPr>
          <w:rFonts w:eastAsia="Times New Roman" w:cs="Times New Roman"/>
          <w:color w:val="auto"/>
        </w:rPr>
      </w:pPr>
      <w:r>
        <w:rPr>
          <w:rFonts w:eastAsia="Times New Roman" w:cs="Times New Roman"/>
          <w:color w:val="auto"/>
        </w:rPr>
        <w:t xml:space="preserve">Министерство науки и высшего образования РФ</w:t>
      </w:r>
      <w:r>
        <w:rPr>
          <w:rFonts w:eastAsia="Times New Roman" w:cs="Times New Roman"/>
          <w:color w:val="auto"/>
        </w:rPr>
      </w:r>
      <w:r>
        <w:rPr>
          <w:rFonts w:eastAsia="Times New Roman" w:cs="Times New Roman"/>
          <w:color w:val="auto"/>
        </w:rPr>
      </w:r>
    </w:p>
    <w:p w14:paraId="38004277">
      <w:pPr>
        <w:pStyle w:val="896"/>
        <w:suppressLineNumbers w:val="false"/>
        <w:pBdr/>
        <w:spacing/>
        <w:ind w:firstLine="0"/>
        <w:jc w:val="center"/>
        <w:rPr>
          <w:rFonts w:eastAsia="Times New Roman" w:cs="Times New Roman"/>
          <w:color w:val="auto"/>
        </w:rPr>
      </w:pPr>
      <w:r>
        <w:rPr>
          <w:rFonts w:eastAsia="Times New Roman" w:cs="Times New Roman"/>
          <w:color w:val="auto"/>
        </w:rPr>
        <w:t xml:space="preserve">Федеральное государственное автономное</w:t>
      </w:r>
      <w:r>
        <w:rPr>
          <w:rFonts w:eastAsia="Times New Roman" w:cs="Times New Roman"/>
          <w:color w:val="auto"/>
        </w:rPr>
      </w:r>
      <w:r>
        <w:rPr>
          <w:rFonts w:eastAsia="Times New Roman" w:cs="Times New Roman"/>
          <w:color w:val="auto"/>
        </w:rPr>
      </w:r>
    </w:p>
    <w:p w14:paraId="6FFAAE9A">
      <w:pPr>
        <w:pStyle w:val="896"/>
        <w:suppressLineNumbers w:val="false"/>
        <w:pBdr/>
        <w:spacing/>
        <w:ind w:firstLine="0"/>
        <w:jc w:val="center"/>
        <w:rPr>
          <w:rFonts w:eastAsia="Times New Roman" w:cs="Times New Roman"/>
          <w:color w:val="auto"/>
        </w:rPr>
      </w:pPr>
      <w:r>
        <w:rPr>
          <w:rFonts w:eastAsia="Times New Roman" w:cs="Times New Roman"/>
          <w:color w:val="auto"/>
        </w:rPr>
        <w:t xml:space="preserve">образовательное учреждение высшего образования</w:t>
      </w:r>
      <w:r>
        <w:rPr>
          <w:rFonts w:eastAsia="Times New Roman" w:cs="Times New Roman"/>
          <w:color w:val="auto"/>
        </w:rPr>
      </w:r>
      <w:r>
        <w:rPr>
          <w:rFonts w:eastAsia="Times New Roman" w:cs="Times New Roman"/>
          <w:color w:val="auto"/>
        </w:rPr>
      </w:r>
    </w:p>
    <w:p w14:paraId="61BF036C">
      <w:pPr>
        <w:pStyle w:val="896"/>
        <w:suppressLineNumbers w:val="false"/>
        <w:pBdr/>
        <w:spacing/>
        <w:ind w:firstLine="0"/>
        <w:jc w:val="center"/>
        <w:rPr>
          <w:rFonts w:eastAsia="Times New Roman" w:cs="Times New Roman"/>
          <w:b/>
          <w:bCs/>
          <w:color w:val="auto"/>
        </w:rPr>
      </w:pPr>
      <w:r>
        <w:rPr>
          <w:rFonts w:eastAsia="Times New Roman" w:cs="Times New Roman"/>
          <w:b/>
          <w:bCs/>
          <w:color w:val="auto"/>
        </w:rPr>
        <w:t xml:space="preserve">«СИБИРСКИЙ ФЕДЕРАЛЬНЫЙ УНИВЕРСИТЕТ»</w:t>
      </w:r>
      <w:r>
        <w:rPr>
          <w:rFonts w:eastAsia="Times New Roman" w:cs="Times New Roman"/>
          <w:b/>
          <w:bCs/>
          <w:color w:val="auto"/>
        </w:rPr>
      </w:r>
      <w:r>
        <w:rPr>
          <w:rFonts w:eastAsia="Times New Roman" w:cs="Times New Roman"/>
          <w:b/>
          <w:bCs/>
          <w:color w:val="auto"/>
        </w:rPr>
      </w:r>
    </w:p>
    <w:p w14:paraId="10FA253D">
      <w:pPr>
        <w:pStyle w:val="896"/>
        <w:suppressLineNumbers w:val="false"/>
        <w:pBdr/>
        <w:spacing/>
        <w:ind w:firstLine="0"/>
        <w:jc w:val="center"/>
        <w:rPr>
          <w:rFonts w:eastAsia="Times New Roman" w:cs="Times New Roman"/>
          <w:b/>
          <w:bCs/>
          <w:color w:val="auto"/>
        </w:rPr>
      </w:pPr>
      <w:r>
        <w:rPr>
          <w:rFonts w:eastAsia="Times New Roman" w:cs="Times New Roman"/>
          <w:b/>
          <w:bCs/>
          <w:color w:val="auto"/>
        </w:rPr>
      </w:r>
      <w:r>
        <w:rPr>
          <w:rFonts w:eastAsia="Times New Roman" w:cs="Times New Roman"/>
          <w:b/>
          <w:bCs/>
          <w:color w:val="auto"/>
        </w:rPr>
      </w:r>
      <w:r>
        <w:rPr>
          <w:rFonts w:eastAsia="Times New Roman" w:cs="Times New Roman"/>
          <w:b/>
          <w:bCs/>
          <w:color w:val="auto"/>
        </w:rPr>
      </w:r>
    </w:p>
    <w:tbl>
      <w:tblPr>
        <w:jc w:val="center"/>
        <w:tblW w:w="100" w:type="auto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00" w:firstRow="0" w:lastRow="0" w:firstColumn="0" w:lastColumn="0" w:noHBand="0" w:noVBand="0"/>
      </w:tblPr>
      <w:tblGrid>
        <w:gridCol w:w="9637"/>
      </w:tblGrid>
      <w:tr>
        <w:trPr>
          <w:jc w:val="center"/>
        </w:trPr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9637" w:type="dxa"/>
          </w:tcPr>
          <w:p w14:paraId="541FB19B">
            <w:pPr>
              <w:pStyle w:val="896"/>
              <w:suppressLineNumbers w:val="false"/>
              <w:pBdr/>
              <w:spacing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  <w:t xml:space="preserve">Институт космических и информационных технологий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>
          <w:jc w:val="center"/>
        </w:trPr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9637" w:type="dxa"/>
          </w:tcPr>
          <w:p w14:paraId="21DB0A5D">
            <w:pPr>
              <w:pStyle w:val="896"/>
              <w:suppressLineNumbers w:val="false"/>
              <w:pBdr/>
              <w:spacing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  <w:t xml:space="preserve">институт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>
          <w:jc w:val="center"/>
        </w:trPr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9637" w:type="dxa"/>
          </w:tcPr>
          <w:p w14:paraId="10480AF2">
            <w:pPr>
              <w:pStyle w:val="896"/>
              <w:suppressLineNumbers w:val="false"/>
              <w:pBdr/>
              <w:spacing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  <w:t xml:space="preserve">Программная инженерия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>
          <w:jc w:val="center"/>
        </w:trPr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9637" w:type="dxa"/>
          </w:tcPr>
          <w:p w14:paraId="2E781A01">
            <w:pPr>
              <w:pStyle w:val="896"/>
              <w:suppressLineNumbers w:val="false"/>
              <w:pBdr/>
              <w:spacing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  <w:t xml:space="preserve">кафедра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</w:tbl>
    <w:p w14:paraId="31342743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szCs w:val="28"/>
          <w:lang w:eastAsia="ru-RU"/>
        </w:rPr>
      </w:pP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</w:r>
      <w:r>
        <w:rPr>
          <w:rFonts w:eastAsia="Times New Roman" w:cs="Times New Roman"/>
          <w:color w:val="auto"/>
          <w:szCs w:val="28"/>
          <w:lang w:eastAsia="ru-RU"/>
        </w:rPr>
      </w:r>
    </w:p>
    <w:p w14:paraId="4C63B6A6">
      <w:pPr>
        <w:pStyle w:val="896"/>
        <w:suppressLineNumbers w:val="false"/>
        <w:pBdr/>
        <w:spacing w:line="300" w:lineRule="auto"/>
        <w:ind w:firstLine="0"/>
        <w:jc w:val="center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b/>
          <w:bCs/>
          <w:color w:val="auto"/>
          <w:szCs w:val="28"/>
          <w:lang w:eastAsia="ru-RU"/>
        </w:rPr>
        <w:t xml:space="preserve">ОТЧЕТ О ПРАКТИЧЕСКОЙ РАБОТЕ</w:t>
      </w:r>
      <w:r>
        <w:rPr>
          <w:rFonts w:eastAsia="Times New Roman" w:cs="Times New Roman"/>
          <w:b/>
          <w:bCs/>
          <w:color w:val="auto"/>
          <w:szCs w:val="28"/>
          <w:lang w:val="en-US" w:eastAsia="ru-RU"/>
        </w:rPr>
        <w:t xml:space="preserve"> </w:t>
      </w:r>
      <w:r>
        <w:rPr>
          <w:rFonts w:eastAsia="Times New Roman" w:cs="Times New Roman"/>
          <w:b/>
          <w:bCs/>
          <w:color w:val="auto"/>
          <w:szCs w:val="28"/>
          <w:lang w:eastAsia="ru-RU"/>
        </w:rPr>
        <w:t xml:space="preserve">№</w:t>
      </w:r>
      <w:r>
        <w:rPr>
          <w:rFonts w:eastAsia="Times New Roman" w:cs="Times New Roman"/>
          <w:color w:val="auto"/>
          <w:szCs w:val="28"/>
        </w:rPr>
        <w:t xml:space="preserve">7</w:t>
      </w:r>
      <w:r>
        <w:rPr>
          <w:rFonts w:eastAsia="Times New Roman" w:cs="Times New Roman"/>
          <w:color w:val="auto"/>
          <w:szCs w:val="28"/>
        </w:rPr>
      </w:r>
    </w:p>
    <w:tbl>
      <w:tblPr>
        <w:jc w:val="center"/>
        <w:tblW w:w="100" w:type="auto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00" w:firstRow="0" w:lastRow="0" w:firstColumn="0" w:lastColumn="0" w:noHBand="0" w:noVBand="0"/>
      </w:tblPr>
      <w:tblGrid>
        <w:gridCol w:w="9637"/>
      </w:tblGrid>
      <w:tr>
        <w:trPr>
          <w:jc w:val="center"/>
          <w:trHeight w:val="420"/>
        </w:trPr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9637" w:type="dxa"/>
          </w:tcPr>
          <w:p w14:paraId="73B817F1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val="ru-RU"/>
              </w:rPr>
              <w:t xml:space="preserve">Работа с требованиями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>
          <w:jc w:val="center"/>
        </w:trPr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9637" w:type="dxa"/>
          </w:tcPr>
          <w:p w14:paraId="24D7EF9B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:rFonts w:eastAsia="Times New Roman" w:cs="Times New Roman"/>
                <w:color w:val="auto"/>
                <w:sz w:val="20"/>
                <w:szCs w:val="20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  <w:t xml:space="preserve">тема</w:t>
            </w:r>
            <w:r>
              <w:rPr>
                <w:rFonts w:eastAsia="Times New Roman" w:cs="Times New Roman"/>
                <w:color w:val="auto"/>
                <w:sz w:val="20"/>
                <w:szCs w:val="20"/>
              </w:rPr>
            </w:r>
            <w:r>
              <w:rPr>
                <w:rFonts w:eastAsia="Times New Roman" w:cs="Times New Roman"/>
                <w:color w:val="auto"/>
                <w:sz w:val="20"/>
                <w:szCs w:val="20"/>
              </w:rPr>
            </w:r>
          </w:p>
        </w:tc>
      </w:tr>
    </w:tbl>
    <w:p w14:paraId="240F0534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lang w:eastAsia="ru-RU"/>
        </w:rPr>
      </w:pP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lang w:eastAsia="ru-RU"/>
        </w:rPr>
      </w:r>
      <w:r>
        <w:rPr>
          <w:rFonts w:eastAsia="Times New Roman" w:cs="Times New Roman"/>
          <w:color w:val="auto"/>
          <w:lang w:eastAsia="ru-RU"/>
        </w:rPr>
      </w:r>
    </w:p>
    <w:p w14:paraId="0C87CC01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lang w:eastAsia="ru-RU"/>
        </w:rPr>
      </w:pPr>
      <w:r>
        <w:rPr>
          <w:rFonts w:eastAsia="Times New Roman" w:cs="Times New Roman"/>
          <w:color w:val="auto"/>
          <w:szCs w:val="28"/>
          <w:highlight w:val="none"/>
          <w:lang w:eastAsia="ru-RU"/>
        </w:rPr>
      </w:r>
      <w:r>
        <w:rPr>
          <w:rFonts w:eastAsia="Times New Roman" w:cs="Times New Roman"/>
          <w:color w:val="auto"/>
          <w:lang w:eastAsia="ru-RU"/>
        </w:rPr>
      </w:r>
      <w:r>
        <w:rPr>
          <w:rFonts w:eastAsia="Times New Roman" w:cs="Times New Roman"/>
          <w:color w:val="auto"/>
          <w:lang w:eastAsia="ru-RU"/>
        </w:rPr>
      </w:r>
    </w:p>
    <w:p w14:paraId="4F195359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highlight w:val="none"/>
          <w:lang w:eastAsia="ru-RU"/>
        </w:rPr>
      </w:pPr>
      <w:r>
        <w:rPr>
          <w:rFonts w:eastAsia="Times New Roman" w:cs="Times New Roman"/>
          <w:color w:val="auto"/>
          <w:szCs w:val="28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</w:p>
    <w:p w14:paraId="59F5A734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highlight w:val="none"/>
          <w:lang w:eastAsia="ru-RU"/>
        </w:rPr>
      </w:pPr>
      <w:r>
        <w:rPr>
          <w:rFonts w:eastAsia="Times New Roman" w:cs="Times New Roman"/>
          <w:color w:val="auto"/>
          <w:szCs w:val="28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</w:p>
    <w:tbl>
      <w:tblPr>
        <w:jc w:val="center"/>
        <w:tblW w:w="100" w:type="auto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00" w:firstRow="0" w:lastRow="0" w:firstColumn="0" w:lastColumn="0" w:noHBand="0" w:noVBand="0"/>
      </w:tblPr>
      <w:tblGrid>
        <w:gridCol w:w="1417"/>
        <w:gridCol w:w="3118"/>
        <w:gridCol w:w="283"/>
        <w:gridCol w:w="1700"/>
        <w:gridCol w:w="283"/>
        <w:gridCol w:w="2834"/>
      </w:tblGrid>
      <w:tr>
        <w:trPr>
          <w:jc w:val="center"/>
        </w:trPr>
        <w:tc>
          <w:tcPr>
            <w:gridSpan w:val="2"/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4535" w:type="dxa"/>
          </w:tcPr>
          <w:p w14:paraId="3A9E2883">
            <w:pPr>
              <w:pStyle w:val="896"/>
              <w:suppressLineNumbers w:val="false"/>
              <w:pBdr/>
              <w:spacing w:line="300" w:lineRule="auto"/>
              <w:ind w:firstLine="0"/>
              <w:jc w:val="left"/>
              <w:rPr>
                <w14:ligatures w14:val="none"/>
              </w:rPr>
            </w:pPr>
            <w:r>
              <w:rPr>
                <w:lang w:eastAsia="ru-RU"/>
              </w:rPr>
              <w:t xml:space="preserve">Преподаватель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48EAAD99">
            <w:pPr>
              <w:pStyle w:val="896"/>
              <w:suppressLineNumbers w:val="false"/>
              <w:pBdr/>
              <w:spacing w:line="300" w:lineRule="auto"/>
              <w:ind w:firstLine="0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1700" w:type="dxa"/>
          </w:tcPr>
          <w:p w14:paraId="467458E6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54EC6FE5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2834" w:type="dxa"/>
          </w:tcPr>
          <w:p w14:paraId="15378056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  <w:t xml:space="preserve">Д</w:t>
            </w:r>
            <w:r>
              <w:rPr>
                <w:lang w:eastAsia="ru-RU"/>
              </w:rPr>
              <w:t xml:space="preserve">. В. </w:t>
            </w:r>
            <w:r>
              <w:rPr>
                <w:lang w:eastAsia="ru-RU"/>
              </w:rPr>
              <w:t xml:space="preserve">Грузенкин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>
          <w:jc w:val="center"/>
        </w:trPr>
        <w:tc>
          <w:tcPr>
            <w:gridSpan w:val="2"/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4535" w:type="dxa"/>
          </w:tcPr>
          <w:p w14:paraId="5892E175">
            <w:pPr>
              <w:pStyle w:val="896"/>
              <w:suppressLineNumbers w:val="false"/>
              <w:pBdr/>
              <w:spacing w:line="300" w:lineRule="auto"/>
              <w:ind w:firstLine="0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753E7F74">
            <w:pPr>
              <w:pStyle w:val="896"/>
              <w:suppressLineNumbers w:val="false"/>
              <w:pBdr/>
              <w:spacing w:line="300" w:lineRule="auto"/>
              <w:ind w:firstLine="0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1700" w:type="dxa"/>
          </w:tcPr>
          <w:p w14:paraId="0A6A0031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  <w:lang w:eastAsia="ru-RU"/>
              </w:rPr>
              <w:t xml:space="preserve">подпись, дата</w:t>
            </w:r>
            <w:r>
              <w:rPr>
                <w:sz w:val="20"/>
                <w:szCs w:val="20"/>
                <w14:ligatures w14:val="none"/>
              </w:rPr>
            </w:r>
            <w:r>
              <w:rPr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51990C4F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14:ligatures w14:val="none"/>
              </w:rPr>
            </w:r>
            <w:r>
              <w:rPr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4" w:type="dxa"/>
          </w:tcPr>
          <w:p w14:paraId="5E0C422D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  <w:lang w:eastAsia="ru-RU"/>
              </w:rPr>
              <w:t xml:space="preserve">инициалы, фамилия</w:t>
            </w:r>
            <w:r>
              <w:rPr>
                <w:sz w:val="20"/>
                <w:szCs w:val="20"/>
                <w14:ligatures w14:val="none"/>
              </w:rPr>
            </w:r>
            <w:r>
              <w:rPr>
                <w:sz w:val="20"/>
                <w:szCs w:val="20"/>
                <w14:ligatures w14:val="none"/>
              </w:rPr>
            </w:r>
          </w:p>
        </w:tc>
      </w:tr>
      <w:tr>
        <w:trPr>
          <w:jc w:val="center"/>
        </w:trPr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1417" w:type="dxa"/>
          </w:tcPr>
          <w:p w14:paraId="2E0256A6">
            <w:pPr>
              <w:pStyle w:val="896"/>
              <w:suppressLineNumbers w:val="false"/>
              <w:pBdr/>
              <w:spacing w:line="300" w:lineRule="auto"/>
              <w:ind w:firstLine="0"/>
              <w:jc w:val="left"/>
              <w:rPr>
                <w14:ligatures w14:val="none"/>
              </w:rPr>
            </w:pPr>
            <w:r>
              <w:rPr>
                <w:lang w:eastAsia="ru-RU"/>
              </w:rPr>
              <w:t xml:space="preserve">Студент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3118" w:type="dxa"/>
          </w:tcPr>
          <w:p w14:paraId="3A44769A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  <w:t xml:space="preserve">КИ23-1</w:t>
            </w:r>
            <w:r>
              <w:rPr>
                <w:lang w:val="ru-RU"/>
              </w:rPr>
              <w:t xml:space="preserve">6</w:t>
            </w:r>
            <w:r>
              <w:rPr>
                <w:lang w:eastAsia="ru-RU"/>
              </w:rPr>
              <w:t xml:space="preserve">/1б, </w:t>
            </w:r>
            <w:r>
              <w:rPr>
                <w:lang w:val="ru-RU"/>
              </w:rPr>
              <w:t xml:space="preserve">32322546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1732419A">
            <w:pPr>
              <w:pStyle w:val="896"/>
              <w:suppressLineNumbers w:val="false"/>
              <w:pBdr/>
              <w:spacing w:line="300" w:lineRule="auto"/>
              <w:ind w:firstLine="0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1700" w:type="dxa"/>
          </w:tcPr>
          <w:p w14:paraId="014FEC34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1AD04786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2834" w:type="dxa"/>
          </w:tcPr>
          <w:p w14:paraId="077B6E56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val="ru-RU"/>
              </w:rPr>
              <w:t xml:space="preserve">Е. А. Гуртякин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>
          <w:jc w:val="center"/>
        </w:trPr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1417" w:type="dxa"/>
          </w:tcPr>
          <w:p w14:paraId="32786815">
            <w:pPr>
              <w:pStyle w:val="896"/>
              <w:suppressLineNumbers w:val="false"/>
              <w:pBdr/>
              <w:spacing w:line="300" w:lineRule="auto"/>
              <w:ind w:firstLine="0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3118" w:type="dxa"/>
          </w:tcPr>
          <w:p w14:paraId="75D7249A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  <w:lang w:eastAsia="ru-RU"/>
              </w:rPr>
              <w:t xml:space="preserve">номер группы, зачётной книжки</w:t>
            </w:r>
            <w:r>
              <w:rPr>
                <w:sz w:val="20"/>
                <w:szCs w:val="20"/>
                <w14:ligatures w14:val="none"/>
              </w:rPr>
            </w:r>
            <w:r>
              <w:rPr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6254B384">
            <w:pPr>
              <w:pStyle w:val="896"/>
              <w:suppressLineNumbers w:val="false"/>
              <w:pBdr/>
              <w:spacing w:line="300" w:lineRule="auto"/>
              <w:ind w:firstLine="0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1700" w:type="dxa"/>
          </w:tcPr>
          <w:p w14:paraId="2B3C8FEF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  <w:lang w:eastAsia="ru-RU"/>
              </w:rPr>
              <w:t xml:space="preserve">подпись, дата</w:t>
            </w:r>
            <w:r>
              <w:rPr>
                <w:sz w:val="20"/>
                <w:szCs w:val="20"/>
                <w14:ligatures w14:val="none"/>
              </w:rPr>
            </w:r>
            <w:r>
              <w:rPr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61FD50D6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14:ligatures w14:val="none"/>
              </w:rPr>
            </w:r>
            <w:r>
              <w:rPr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4" w:type="dxa"/>
          </w:tcPr>
          <w:p w14:paraId="62B6603D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  <w:lang w:eastAsia="ru-RU"/>
              </w:rPr>
              <w:t xml:space="preserve">инициалы, фамилия</w:t>
            </w:r>
            <w:r>
              <w:rPr>
                <w:sz w:val="20"/>
                <w:szCs w:val="20"/>
                <w14:ligatures w14:val="none"/>
              </w:rPr>
            </w:r>
            <w:r>
              <w:rPr>
                <w:sz w:val="20"/>
                <w:szCs w:val="20"/>
                <w14:ligatures w14:val="none"/>
              </w:rPr>
            </w:r>
          </w:p>
        </w:tc>
      </w:tr>
    </w:tbl>
    <w:p w14:paraId="442F5CA5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highlight w:val="none"/>
          <w:lang w:eastAsia="ru-RU"/>
        </w:rPr>
      </w:pPr>
      <w:r>
        <w:rPr>
          <w:rFonts w:eastAsia="Times New Roman" w:cs="Times New Roman"/>
          <w:color w:val="auto"/>
          <w:szCs w:val="28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</w:p>
    <w:p w14:paraId="4D463FA1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highlight w:val="none"/>
          <w:lang w:eastAsia="ru-RU"/>
        </w:rPr>
      </w:pPr>
      <w:r>
        <w:rPr>
          <w:rFonts w:eastAsia="Times New Roman" w:cs="Times New Roman"/>
          <w:color w:val="auto"/>
          <w:szCs w:val="28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</w:p>
    <w:p w14:paraId="6B3D61C4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highlight w:val="none"/>
          <w:lang w:eastAsia="ru-RU"/>
        </w:rPr>
      </w:pPr>
      <w:r>
        <w:rPr>
          <w:rFonts w:eastAsia="Times New Roman" w:cs="Times New Roman"/>
          <w:color w:val="auto"/>
          <w:szCs w:val="28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</w:p>
    <w:p w14:paraId="7E756502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highlight w:val="none"/>
          <w:lang w:eastAsia="ru-RU"/>
        </w:rPr>
      </w:pPr>
      <w:r>
        <w:rPr>
          <w:rFonts w:eastAsia="Times New Roman" w:cs="Times New Roman"/>
          <w:color w:val="auto"/>
          <w:szCs w:val="28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</w:p>
    <w:p w14:paraId="6E0D0BE5">
      <w:pPr>
        <w:pBdr/>
        <w:spacing w:line="276" w:lineRule="auto"/>
        <w:ind w:firstLine="0"/>
        <w:contextualSpacing w:val="false"/>
        <w:jc w:val="center"/>
        <w:rPr>
          <w:rFonts w:eastAsia="Times New Roman" w:cs="Times New Roman"/>
          <w:color w:val="auto"/>
          <w:highlight w:val="none"/>
          <w:lang w:eastAsia="ru-RU"/>
        </w:rPr>
      </w:pPr>
      <w:r>
        <w:rPr>
          <w:rFonts w:eastAsia="Times New Roman" w:cs="Times New Roman"/>
          <w:color w:val="auto"/>
          <w:szCs w:val="28"/>
          <w:lang w:eastAsia="ru-RU"/>
        </w:rPr>
        <w:t xml:space="preserve">Красноярск 202</w:t>
      </w:r>
      <w:r>
        <w:rPr>
          <w:rFonts w:eastAsia="Times New Roman" w:cs="Times New Roman"/>
          <w:color w:val="auto"/>
          <w:szCs w:val="28"/>
          <w:lang w:eastAsia="ru-RU"/>
        </w:rPr>
        <w:t xml:space="preserve">6</w:t>
      </w:r>
      <w:r>
        <w:rPr>
          <w:rFonts w:eastAsia="Times New Roman" w:cs="Times New Roman"/>
          <w:color w:val="auto"/>
          <w:lang w:eastAsia="ru-RU"/>
        </w:rPr>
        <w:br w:type="page" w:clear="all"/>
      </w:r>
      <w:r>
        <w:rPr>
          <w:rFonts w:eastAsia="Times New Roman" w:cs="Times New Roman"/>
          <w:color w:val="auto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</w:p>
    <w:p w14:paraId="3D407A3A">
      <w:pPr>
        <w:pStyle w:val="920"/>
        <w:suppressLineNumbers w:val="false"/>
        <w:pBdr/>
        <w:spacing/>
        <w:ind/>
        <w:rPr>
          <w:b/>
          <w:bCs/>
          <w:color w:val="000000" w:themeColor="text1"/>
          <w:sz w:val="28"/>
          <w:szCs w:val="28"/>
        </w:rPr>
      </w:pPr>
      <w:r/>
      <w:bookmarkStart w:id="1" w:name="_Toc1"/>
      <w:r>
        <w:rPr>
          <w:b/>
          <w:bCs/>
          <w:color w:val="000000" w:themeColor="text1"/>
          <w:sz w:val="28"/>
          <w:szCs w:val="28"/>
        </w:rPr>
        <w:t xml:space="preserve">Цели</w:t>
      </w:r>
      <w:bookmarkEnd w:id="1"/>
      <w:r>
        <w:rPr>
          <w:b/>
          <w:bCs/>
          <w:color w:val="000000" w:themeColor="text1"/>
          <w:sz w:val="28"/>
          <w:szCs w:val="28"/>
        </w:rPr>
      </w:r>
      <w:r>
        <w:rPr>
          <w:b/>
          <w:bCs/>
          <w:color w:val="000000" w:themeColor="text1"/>
          <w:sz w:val="28"/>
          <w:szCs w:val="28"/>
        </w:rPr>
      </w:r>
    </w:p>
    <w:p w14:paraId="63200D3C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Придумать систему, архитектура которой будет разрабатываться в течение семестра, дать ей название и описать назначение.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239CBC0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Составить список требований для проектирования на следующих уровнях: бизнес-требования, требования пользователей, функциональные требования, нефункциональные требования.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338D084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Выбрать архитектурный паттерн и реализовать в коде (реализовать только связи между классами и модулями, для сервисной и микросервисной архитекторы будет достаточно только структуры проектов (приложений/сервисов) и связей между ними, бизнес логику писать не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нужно). В отчёте необходимо обосновать выбор реализованного шаблона в виде ADR (Architecture Decision Record).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748510C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Реализовать карту контекстов по методологии DDD, в соответствии с выбранным архитектурным шаблоном. Для смыслового ядра и одной вспомогательные подобласти необходимо привести диаграмму контекста нотации C4.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CC0D3D1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Реализовать в коде минимум три паттерна проектирования (по меньшей мере по одному для каждого вида). Построить UML-диаграмму классов для написанного кода и поместить в отчёт. Также в отчёте необходимо обосновать выбор реализованных паттернов проектирования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 привести 3 примера паттернов, которые в данном случае было бы использовать нецелесообразно (по одному примеру на каждый вид паттернов).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75B7259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Реализовать не менее 3-х (трёх) принципов SOLID и не менее 4-х принципов организации компонентов (т.е. не менее 2-х из каждой группы).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586951C">
      <w:pPr>
        <w:pBdr/>
        <w:spacing w:after="0" w:before="0" w:line="360" w:lineRule="auto"/>
        <w:ind w:firstLine="705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 меньшей мере тремя способами обеспечить повышение безопасности проекта.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54593FC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еструктуризация архитектуры системы NewNote в связи с резким ростом аудитории. Необходимо выбрать 2–3 атрибута качества, перейти к новому архитектурному паттерну и описать архитектуру в нотации 4+1.</w:t>
      </w:r>
      <w:r/>
      <w:r/>
    </w:p>
    <w:p w14:paraId="75810037">
      <w:pPr>
        <w:pStyle w:val="920"/>
        <w:suppressLineNumbers w:val="false"/>
        <w:pBdr/>
        <w:spacing/>
        <w:ind/>
        <w:rPr/>
      </w:pPr>
      <w:r/>
      <w:bookmarkStart w:id="2" w:name="_Toc2"/>
      <w:r>
        <w:t xml:space="preserve">Задачи</w:t>
      </w:r>
      <w:bookmarkEnd w:id="2"/>
      <w:r/>
      <w:r/>
    </w:p>
    <w:p w14:paraId="2F7F049A">
      <w:pPr>
        <w:pBdr/>
        <w:spacing/>
        <w:ind/>
        <w:rPr/>
      </w:pPr>
      <w:r>
        <w:t xml:space="preserve">Для выполнения практической работы необходимо выполнить следующие задачи:</w:t>
      </w:r>
      <w:r/>
    </w:p>
    <w:p w14:paraId="2F0D45EB"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придумать систему, ее название и назначение</w:t>
      </w:r>
      <w:r>
        <w:t xml:space="preserve">;</w:t>
      </w:r>
      <w:r/>
    </w:p>
    <w:p w14:paraId="2BA88A57"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построить </w:t>
      </w:r>
      <w:r>
        <w:rPr>
          <w:lang w:val="en-US"/>
        </w:rPr>
        <w:t xml:space="preserve">UML</w:t>
      </w:r>
      <w:r>
        <w:t xml:space="preserve">-</w:t>
      </w:r>
      <w:r>
        <w:t xml:space="preserve">диаграмму вариантов использования</w:t>
      </w:r>
      <w:r>
        <w:t xml:space="preserve">;</w:t>
      </w:r>
      <w:r/>
    </w:p>
    <w:p w14:paraId="4B67829F"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составить список требований для проектирования на следующих уровнях: бизнес-требования, требования пользователей, функциональные требования, нефункциональные требования</w:t>
      </w:r>
      <w:r>
        <w:t xml:space="preserve">;</w:t>
      </w:r>
      <w:r/>
    </w:p>
    <w:p w14:paraId="0EBB63DC"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выбрать архитектурный паттерн, обосновать в виде </w:t>
      </w:r>
      <w:r>
        <w:rPr>
          <w:lang w:val="en-US"/>
        </w:rPr>
        <w:t xml:space="preserve">ADR</w:t>
      </w:r>
      <w:r>
        <w:t xml:space="preserve">, </w:t>
      </w:r>
      <w:r>
        <w:t xml:space="preserve">реализовать паттерн в коде</w:t>
      </w:r>
      <w:r>
        <w:t xml:space="preserve">;</w:t>
      </w:r>
      <w:r/>
    </w:p>
    <w:p w14:paraId="6216984F"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реализовать карту контекстов по методологии DDD, в соответствии с выбранным архитектурным шаблоном</w:t>
      </w:r>
      <w:r>
        <w:t xml:space="preserve">, д</w:t>
      </w:r>
      <w:r>
        <w:t xml:space="preserve">ля смыслового ядра и одной вспомогательные подобласти </w:t>
      </w:r>
      <w:r>
        <w:t xml:space="preserve">привести диаграмму</w:t>
      </w:r>
      <w:r>
        <w:t xml:space="preserve"> контекста нотации C4;</w:t>
      </w:r>
      <w:r/>
    </w:p>
    <w:p w14:paraId="6565E113"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р</w:t>
      </w:r>
      <w:r>
        <w:t xml:space="preserve">еализовать в коде минимум три паттерна проектирования (по меньшей мере по одному для каждого вида)</w:t>
      </w:r>
      <w:r>
        <w:t xml:space="preserve">, п</w:t>
      </w:r>
      <w:r>
        <w:t xml:space="preserve">остроить UML-диаграмму классов для написанного кода</w:t>
      </w:r>
      <w:r>
        <w:t xml:space="preserve">, </w:t>
      </w:r>
      <w:r>
        <w:t xml:space="preserve">обосновать выбор реализованных паттернов проектирования и привести 3 примера паттернов, которые в данном случае было бы использовать нецелесообразно;</w:t>
      </w:r>
      <w:r/>
    </w:p>
    <w:p w14:paraId="73F906E9"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реализовать </w:t>
      </w:r>
      <w:r>
        <w:t xml:space="preserve">не менее 3-х (трёх) принципов SOLID</w:t>
      </w:r>
      <w:r>
        <w:t xml:space="preserve"> и не менее 4-х </w:t>
      </w:r>
      <w:r>
        <w:t xml:space="preserve">принципов организации </w:t>
      </w:r>
      <w:r>
        <w:t xml:space="preserve">компонентов (т.е. не менее 2-х </w:t>
      </w:r>
      <w:r>
        <w:t xml:space="preserve">из каждой группы)</w:t>
      </w:r>
      <w:r>
        <w:t xml:space="preserve">;</w:t>
      </w:r>
      <w:r/>
    </w:p>
    <w:p w14:paraId="4430B6A5"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реструктурировать архитектуру проекта таким образом, чтобы она отвечала возросшим требованиям бизнеса</w:t>
      </w:r>
      <w:r>
        <w:t xml:space="preserve">;</w:t>
      </w:r>
      <w:r/>
    </w:p>
    <w:p w14:paraId="3BA37D18"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по меньшей мере тремя способами обеспечить повышение безопасности проекта;</w:t>
      </w:r>
      <w:r/>
    </w:p>
    <w:p w14:paraId="02B409FA"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выбрать 2-3 атрибута качества, представляющих наибольшую важность в новых реалиях и реструктурировать архитектуру своего проекта таким образом, чтобы привести эти атрибуты качества к наиболее оптимальным значениям</w:t>
      </w:r>
      <w:r>
        <w:t xml:space="preserve">;</w:t>
      </w:r>
      <w:r/>
    </w:p>
    <w:p w14:paraId="22D65837"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п</w:t>
      </w:r>
      <w:r>
        <w:t xml:space="preserve">редоставить отчет, программу и скрипты на проверку, ответить на вопросы и выполнить дополнительные задания по усмотрению преподавателя.</w:t>
      </w:r>
      <w:r/>
    </w:p>
    <w:p w14:paraId="53791B8A">
      <w:pPr>
        <w:pStyle w:val="927"/>
        <w:numPr>
          <w:ilvl w:val="0"/>
          <w:numId w:val="13"/>
        </w:numPr>
        <w:pBdr/>
        <w:spacing/>
        <w:ind/>
        <w:rPr/>
      </w:pPr>
      <w:r>
        <w:t xml:space="preserve">реализовать </w:t>
      </w:r>
      <w:r>
        <w:t xml:space="preserve">не менее 3-х (трёх) принципов SOLID</w:t>
      </w:r>
      <w:r>
        <w:t xml:space="preserve"> и не менее 4-х </w:t>
      </w:r>
      <w:r>
        <w:t xml:space="preserve">принципов организации </w:t>
      </w:r>
      <w:r>
        <w:t xml:space="preserve">компонентов (т.е. не менее 2-х </w:t>
      </w:r>
      <w:r>
        <w:t xml:space="preserve">из каждой группы)</w:t>
      </w:r>
      <w:r>
        <w:t xml:space="preserve">;</w:t>
      </w:r>
      <w:r/>
      <w:r/>
    </w:p>
    <w:p w14:paraId="068D4BA5">
      <w:pPr>
        <w:pStyle w:val="927"/>
        <w:numPr>
          <w:ilvl w:val="0"/>
          <w:numId w:val="13"/>
        </w:numPr>
        <w:pBdr/>
        <w:spacing/>
        <w:ind/>
        <w:rPr/>
      </w:pPr>
      <w:r>
        <w:t xml:space="preserve">реструктурировать архитектуру проекта таким образом, чтобы она отвечала возросшим требованиям бизнеса</w:t>
      </w:r>
      <w:r>
        <w:t xml:space="preserve">;</w:t>
      </w:r>
      <w:r/>
      <w:r/>
    </w:p>
    <w:p w14:paraId="72BA114E">
      <w:pPr>
        <w:pStyle w:val="927"/>
        <w:numPr>
          <w:ilvl w:val="0"/>
          <w:numId w:val="13"/>
        </w:numPr>
        <w:pBdr/>
        <w:spacing/>
        <w:ind/>
        <w:rPr/>
      </w:pPr>
      <w:r>
        <w:t xml:space="preserve">по меньшей мере тремя способами обеспечить повышение безопасности проекта;</w:t>
      </w:r>
      <w:r/>
      <w:r/>
    </w:p>
    <w:p w14:paraId="371D7C86">
      <w:pPr>
        <w:pStyle w:val="927"/>
        <w:numPr>
          <w:ilvl w:val="0"/>
          <w:numId w:val="13"/>
        </w:numPr>
        <w:pBdr/>
        <w:spacing/>
        <w:ind/>
        <w:rPr/>
      </w:pPr>
      <w:r>
        <w:t xml:space="preserve">выбрать 2-3 атрибута качества, представляющих наибольшую важность в новых реалиях и реструктурировать архитектуру своего проекта таким образом, чтобы привести эти атрибуты качества к наиболее оптимальным значениям</w:t>
      </w:r>
      <w:r>
        <w:t xml:space="preserve">;</w:t>
      </w:r>
      <w:r/>
      <w:r/>
    </w:p>
    <w:p w14:paraId="082F4564">
      <w:pPr>
        <w:pStyle w:val="927"/>
        <w:numPr>
          <w:ilvl w:val="0"/>
          <w:numId w:val="4"/>
        </w:num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продумать название и задачи, которые оно выполняет;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C290EAA">
      <w:pPr>
        <w:pStyle w:val="927"/>
        <w:numPr>
          <w:ilvl w:val="0"/>
          <w:numId w:val="4"/>
        </w:num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составить краткое описание системы и её характеристик;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B06823E">
      <w:pPr>
        <w:pStyle w:val="927"/>
        <w:numPr>
          <w:ilvl w:val="0"/>
          <w:numId w:val="4"/>
        </w:num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построить UML-диаграмму вариантов использования описываемой системы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;</w:t>
      </w:r>
      <w:r/>
    </w:p>
    <w:p w14:paraId="0CC428C1">
      <w:pPr>
        <w:pStyle w:val="927"/>
        <w:numPr>
          <w:ilvl w:val="0"/>
          <w:numId w:val="4"/>
        </w:num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проанализировать новые бизнес-требования и выбрать приоритетные атрибуты качества;</w:t>
      </w:r>
      <w:r/>
    </w:p>
    <w:p w14:paraId="478CB312">
      <w:pPr>
        <w:pStyle w:val="927"/>
        <w:numPr>
          <w:ilvl w:val="0"/>
          <w:numId w:val="4"/>
        </w:num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обосновать и реализовать переход к новой архитектуре;</w:t>
      </w:r>
      <w:r/>
    </w:p>
    <w:p w14:paraId="55D1DC3D">
      <w:pPr>
        <w:pStyle w:val="927"/>
        <w:numPr>
          <w:ilvl w:val="0"/>
          <w:numId w:val="4"/>
        </w:num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привести диаграммы C4 старой и новой архитектуры;</w:t>
      </w:r>
      <w:r/>
    </w:p>
    <w:p w14:paraId="5738F38A">
      <w:pPr>
        <w:pStyle w:val="927"/>
        <w:numPr>
          <w:ilvl w:val="0"/>
          <w:numId w:val="4"/>
        </w:num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описать новую архитектуру в нотации 4+1.</w:t>
      </w:r>
      <w:r/>
      <w:r/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/>
    </w:p>
    <w:p>
      <w:pPr>
        <w:pStyle w:val="920"/>
        <w:pBdr/>
        <w:spacing/>
        <w:ind/>
        <w:rPr/>
      </w:pPr>
      <w:r/>
      <w:bookmarkStart w:id="3" w:name="_Toc3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Описание системы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  <w:bookmarkEnd w:id="3"/>
      <w:r/>
      <w:r/>
    </w:p>
    <w:p w14:paraId="20E11B7E">
      <w:pPr>
        <w:pStyle w:val="920"/>
        <w:numPr>
          <w:ilvl w:val="1"/>
          <w:numId w:val="6"/>
        </w:numPr>
        <w:pBdr/>
        <w:spacing/>
        <w:ind/>
        <w:rPr>
          <w:b/>
          <w:bCs/>
          <w:color w:val="000000" w:themeColor="text1"/>
          <w:sz w:val="28"/>
          <w:szCs w:val="28"/>
        </w:rPr>
      </w:pPr>
      <w:r/>
      <w:bookmarkStart w:id="4" w:name="_Toc4"/>
      <w:r>
        <w:rPr>
          <w:b/>
          <w:bCs/>
          <w:color w:val="000000" w:themeColor="text1"/>
          <w:sz w:val="28"/>
          <w:szCs w:val="28"/>
        </w:rPr>
        <w:t xml:space="preserve">Бизнес</w:t>
      </w:r>
      <w:r>
        <w:rPr>
          <w:b/>
          <w:bCs/>
          <w:color w:val="000000" w:themeColor="text1"/>
          <w:sz w:val="28"/>
          <w:szCs w:val="28"/>
        </w:rPr>
        <w:t xml:space="preserve">-требования</w:t>
      </w:r>
      <w:r>
        <w:rPr>
          <w:b/>
          <w:bCs/>
          <w:color w:val="000000" w:themeColor="text1"/>
          <w:sz w:val="28"/>
          <w:szCs w:val="28"/>
          <w:highlight w:val="none"/>
        </w:rPr>
      </w:r>
      <w:bookmarkEnd w:id="4"/>
      <w:r>
        <w:rPr>
          <w:b/>
          <w:bCs/>
          <w:color w:val="000000" w:themeColor="text1"/>
          <w:sz w:val="28"/>
          <w:szCs w:val="28"/>
        </w:rPr>
      </w:r>
      <w:r>
        <w:rPr>
          <w:b/>
          <w:bCs/>
          <w:color w:val="000000" w:themeColor="text1"/>
          <w:sz w:val="28"/>
          <w:szCs w:val="28"/>
        </w:rPr>
      </w:r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NewNote – веб-приложение для создания, хранения и управления текстовыми заметками. Система предоставляет пользователю простой и быстрый способ фиксировать мысли, идеи и задачи в личном пространстве с возможностью доступа с любого устройства через браузер.</w:t>
      </w:r>
      <w:r/>
    </w:p>
    <w:p>
      <w:pPr>
        <w:pStyle w:val="920"/>
        <w:numPr>
          <w:ilvl w:val="1"/>
          <w:numId w:val="6"/>
        </w:numPr>
        <w:pBdr/>
        <w:spacing/>
        <w:ind/>
        <w:rPr/>
      </w:pPr>
      <w:r/>
      <w:bookmarkStart w:id="5" w:name="_Toc5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Основные характеристики системы</w:t>
      </w:r>
      <w:bookmarkEnd w:id="5"/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Система обладает следующими основными характеристиками: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тип системы – клиент-серверное веб-приложение;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платформа – браузерная (доступна с любого устройства);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аутентификация – двухканальная: по адресу электронной почты и по SMS-коду;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хранилище заметок – персональное, привязанное к учётной записи пользователя;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операции с заметками – создание, просмотр, редактирование, удаление, поиск;</w:t>
      </w:r>
      <w:r/>
    </w:p>
    <w:p>
      <w:pPr>
        <w:pStyle w:val="921"/>
        <w:numPr>
          <w:ilvl w:val="1"/>
          <w:numId w:val="6"/>
        </w:numPr>
        <w:pBdr/>
        <w:spacing/>
        <w:ind/>
        <w:rPr/>
      </w:pPr>
      <w:r/>
      <w:bookmarkStart w:id="6" w:name="_Toc6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Участники системы</w:t>
      </w:r>
      <w:bookmarkEnd w:id="6"/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 системе выделяются две категории участников:</w:t>
      </w:r>
      <w:r/>
    </w:p>
    <w:p>
      <w:pPr>
        <w:pStyle w:val="927"/>
        <w:pBdr/>
        <w:spacing w:after="0" w:before="0" w:line="360" w:lineRule="auto"/>
        <w:ind w:right="0" w:firstLine="735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незарегистрированный пользователь (гость) – может пройти регистрацию или войти в существующую учётную запись;</w:t>
      </w:r>
      <w:r/>
    </w:p>
    <w:p>
      <w:pPr>
        <w:pStyle w:val="927"/>
        <w:pBdr/>
        <w:spacing w:after="0" w:before="0" w:line="360" w:lineRule="auto"/>
        <w:ind w:right="0" w:firstLine="735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зарегистрированный пользователь – имеет доступ ко всем функциям управления заметками после успешной аутентификации.</w:t>
      </w:r>
      <w:r/>
    </w:p>
    <w:p>
      <w:pPr>
        <w:pStyle w:val="920"/>
        <w:pBdr/>
        <w:spacing/>
        <w:ind/>
        <w:rPr/>
      </w:pPr>
      <w:r/>
      <w:bookmarkStart w:id="7" w:name="_Toc7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UML-диаграмма вариантов использования</w:t>
      </w:r>
      <w:bookmarkEnd w:id="7"/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Диаграмма вариантов использования (Use Case Diagram) отражает взаимодействие участников системы NewNote с её функциональными возможностями. Диаграмма представлена на рисунке 1.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На диаграмме выделены следующие участники: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незарегистрированный пользователь (гость) – может зарегистрироваться в системе и пройти аутентификацию одним из двух способов;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зарегистрированный пользователь – может пройти аутентификацию, выполнять операции с заметками и завершить сеанс работы.</w:t>
      </w:r>
      <w:r/>
    </w:p>
    <w:p>
      <w:pPr>
        <w:suppressLineNumbers w:val="false"/>
        <w:pBdr/>
        <w:spacing w:after="0" w:before="120" w:line="360" w:lineRule="auto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38668" cy="557861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56985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rot="0" flipH="0" flipV="0">
                          <a:off x="0" y="0"/>
                          <a:ext cx="5538667" cy="55786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6.12pt;height:439.26pt;mso-wrap-distance-left:0.00pt;mso-wrap-distance-top:0.00pt;mso-wrap-distance-right:0.00pt;mso-wrap-distance-bottom:0.00pt;rotation:0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 w:after="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 – Use-case диаграмма системы NewNote</w:t>
      </w:r>
      <w:r/>
    </w:p>
    <w:p>
      <w:pPr>
        <w:pStyle w:val="920"/>
        <w:pBdr/>
        <w:spacing/>
        <w:ind/>
        <w:rPr/>
      </w:pPr>
      <w:r/>
      <w:bookmarkStart w:id="8" w:name="_Toc8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Требования к системе NewNote</w:t>
      </w:r>
      <w:bookmarkEnd w:id="8"/>
      <w:r/>
      <w:r/>
    </w:p>
    <w:p w14:paraId="07BEB82B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Вырезка из интервью с заказчиком (ИП Иванов И.И.):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9DA2EE2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для чего вы разрабатываете этот продукт? Какую проблему он решает?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250D078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Ответ: я сам давно пользуюсь заметками — то в телефоне, то в браузере, то в блокноте. В итоге всё разбросано. Хочется один простой инструмент, без лишнего: написал, сохранил, нашёл. Notion — огромный, Bear — только для Apple, Google Keep — неудобный на д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есктопе. Вот и решили сделать что-то своё, минималистичное, для обычных людей.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467A2DF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на кого ориентирован сервис?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DB9DFB7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Ответ: на частных пользователей — студентов, фрилансеров, людей, которым нужно просто хранить мысли и списки. Не корпоративный инструмент, не командная работа — именно личные заметки.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F4C4DED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как планируете зарабатывать?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309D303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Ответ: сначала — бесплатно, набираем аудиторию. Потом вводим платный тариф: больше заметок, возможно экспорт, теги, может быть синхронизация с несколькими устройствами. Конкретную цену ещё не определили, но ориентир — рублей 150–200 в месяц.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06BDFF8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какие сроки вас устраивают?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8935D37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Ответ: MVP хочу через три месяца. Базовый функционал: регистрация, вход, создание и редактирование заметок, поиск. Остальное — потом.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B216B07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сколько пользователей ожидаете за первые полгода?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4D6568E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Ответ: реалистичная цель — тысяча зарегистрированных за шесть месяцев. Это минимум, который интересен для дальнейшего развития.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1840A9C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какие требования по безопасности?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3812DAD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Ответ: пароли — только в виде хэша, никаких открытых строк в базе. Передача данных — только по HTTPS. Пароль должен быть нормальным: минимум восемь символов, буквы и цифры обязательно.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2494E80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какая нагрузка допустима и какова требуемая доступность?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09B68C2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Ответ: на старте много не будет, но хочу, чтобы система держала хотя бы 500 человек одновременно без тормозов. По доступности — допускаю не более 3–4 часов простоя в месяц, то есть где-то 99,5%.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C5F3C5D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есть ли требования к скорости отклика?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C1274A1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Ответ: страница должна реагировать быстро. Если пользователь жмёт «сохранить» и ждёт три секунды — он уйдёт. Думаю, две секунды — это максимум.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F87313F">
      <w:pPr>
        <w:pBdr/>
        <w:spacing/>
        <w:ind/>
        <w:rPr>
          <w:b w:val="0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8"/>
          <w:szCs w:val="28"/>
        </w:rPr>
        <w:t xml:space="preserve">Часть ответов из опроса потенциальных пользователей сервиса заметок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(анкета из 10 вопросов, распространена среди 20 студентов направления «Программная инженерия»)</w:t>
      </w:r>
      <w:r>
        <w:rPr>
          <w:b w:val="0"/>
          <w:bCs w:val="0"/>
          <w:i w:val="0"/>
          <w:sz w:val="28"/>
          <w:szCs w:val="28"/>
        </w:rPr>
      </w:r>
      <w:r>
        <w:rPr>
          <w:b w:val="0"/>
          <w:bCs w:val="0"/>
          <w:i w:val="0"/>
          <w:sz w:val="28"/>
          <w:szCs w:val="28"/>
        </w:rPr>
      </w:r>
    </w:p>
    <w:p w14:paraId="69E24B34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Вопрос: каким способом вы чаще всего входите в веб-сервисы?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93AC61E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Ответы: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AFEB1D4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 e-mail и паролю (68%);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3C96F35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через аккаунт Google или другой OAuth-провайдер (22%);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CA3BA79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 номеру телефона и SMS-коду (10%).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60A8332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Вопрос: какое максимальное время отклика интерфейса вы считаете приемлемым?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30BE173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Ответы: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ED97617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до 1 секунды (15%);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21AC37F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1–2 секунды (55%);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306B43F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2–3 секунды (25%);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EA6DB3F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более 3 секунд (5%).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E066987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Вопрос: какой функционал для работы с заметками для вас наиболее важен?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BCE85B6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Ответы: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DA33990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создание и редактирование текстовых заметок (78%);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04071EC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поиск по заголовку или тексту (62%);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1C1A578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удаление заметок (54%);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89439F2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сортировка по дате изменения (41%);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42E30DA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теги и категории (29%);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5989712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прикрепление файлов и изображений (18%).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2C9B6E6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Вопрос: насколько важна для вас возможность войти по SMS-коду без пароля?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79F3C21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Ответы: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C238312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удобно, использовал бы (45%);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BEC2220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не нужно, предпочитаю пароль (40%);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C1ACFF7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мне всё равно (15%).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9DFFFDC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Вопрос: готовы ли вы платить за расширенные возможности сервиса заметок?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E274417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Ответы: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036C38F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нет, только бесплатный вариант (52%);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61CDB90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да, до 150 рублей в месяц (31%);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C122D34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да, до 300 рублей в месяц (12%);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7CE971B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готов платить больше, если функционал того стоит (5%).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02FCC97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Вопрос: как быстро вы оцениваете новый сервис после первого входа?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2C58A2A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Ответы: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467848D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ухожу, если не разобрался за 30–60 секунд (58%);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E28F7B1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ухожу, если не разобрался за 1–2 минуты (32%);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31C55D2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готов изучать интерфейс дольше двух минут (10%).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20"/>
        <w:numPr>
          <w:ilvl w:val="1"/>
          <w:numId w:val="6"/>
        </w:numPr>
        <w:pBdr/>
        <w:spacing/>
        <w:ind/>
        <w:rPr/>
      </w:pPr>
      <w:r/>
      <w:bookmarkStart w:id="9" w:name="_Toc9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Бизнес-требования</w:t>
      </w:r>
      <w:bookmarkEnd w:id="9"/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качестве за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казчика системы выступает индивидуальный предприниматель Серебряков А.В. – владелец небольшой IT-компании, планирующий запустить публичный сервис заметок для частных пользователей. На основании проведённых интервью сформированы следующие бизнес-требования: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 конкурентоспособный минималистичный сервис для ведения заметок, ориентированный на частных пользователей;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обеспечить стабильный рост аудитории до 1 000 зарегистрированных пользователей в течение первых шести месяцев после запуска;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сформировать базу для будущей монетизации за счёт введения платных тарифов с расширенными возможностями;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запустить MVP (минимально жизнеспособный продукт) в течение трёх месяцев с начала разработки;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обеспечить удобство использования: новый пользователь должен освоить основные функции без дополнительного обучения.</w:t>
      </w:r>
      <w:r/>
    </w:p>
    <w:p>
      <w:pPr>
        <w:pStyle w:val="920"/>
        <w:numPr>
          <w:ilvl w:val="1"/>
          <w:numId w:val="6"/>
        </w:numPr>
        <w:pBdr/>
        <w:spacing/>
        <w:ind/>
        <w:rPr/>
      </w:pPr>
      <w:r/>
      <w:bookmarkStart w:id="10" w:name="_Toc10"/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Т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ребования пользователей</w:t>
      </w:r>
      <w:bookmarkEnd w:id="10"/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основании анкетирования потенциальных пользователей сформированы следующие пользовательские требования: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зарегистрироваться, указав адрес электронной почты и номер телефона;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войти в систему как по e-mail и паролю, так и с помощью одноразового SMS-кода;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создавать текстовые заметки с заголовком и произвольным текстом;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видеть список всех своих заметок на главной странице после входа;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открыть и отредактировать любую свою заметку;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удалить заметку;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найти нужную заметку по ключевому слову в заголовке;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выйти из системы с любой страницы.</w:t>
      </w:r>
      <w:r/>
    </w:p>
    <w:p>
      <w:pPr>
        <w:pStyle w:val="920"/>
        <w:numPr>
          <w:ilvl w:val="1"/>
          <w:numId w:val="6"/>
        </w:numPr>
        <w:pBdr/>
        <w:spacing/>
        <w:ind/>
        <w:rPr/>
      </w:pPr>
      <w:r/>
      <w:bookmarkStart w:id="11" w:name="_Toc11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Функциональные требования</w:t>
      </w:r>
      <w:bookmarkEnd w:id="11"/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основании требований пользователей и анализа конкурентов сформированы следующие функциональные требования: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предоставлять форму регистрации с полями: e-mail, пароль, номер телефона;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проверять уникальность e-mail при регистрации и сообщать об ошибке, если адрес уже зарегистрирован;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предоставлять форму входа по e-mail и паролю;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отправлять одноразовый SMS-код при запросе аутентификации по номеру телефона;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считать SMS-код недействительным по истечении 5 минут с момента его отправки;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отображать список заметок текущего пользователя, отсортированный по дате последнего изменения;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предоставлять форму создания заметки с обязательным полем «Заголовок» и необязательным полем «Текст»;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сохранять заметки с привязкой к учётной записи пользователя;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предоставлять форму редактирования заметки с сохранением внесённых изменений;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удалять заметку после явного подтверждения пользователем;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фильтровать список заметок по введённому ключевому слову в заголовке в режиме реального времени;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завершать сеанс пользователя и перенаправлять его на страницу входа при нажатии кнопки «Выйти».</w:t>
      </w:r>
      <w:r/>
    </w:p>
    <w:p>
      <w:pPr>
        <w:pStyle w:val="920"/>
        <w:numPr>
          <w:ilvl w:val="1"/>
          <w:numId w:val="6"/>
        </w:numPr>
        <w:pBdr/>
        <w:spacing/>
        <w:ind/>
        <w:rPr/>
      </w:pPr>
      <w:r/>
      <w:bookmarkStart w:id="12" w:name="_Toc12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Нефункциональные требования</w:t>
      </w:r>
      <w:bookmarkEnd w:id="12"/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 проектировании системы необходимо учитывать следующие нефункциональные требования: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доступность: система должна обеспечивать доступность не менее 99,5 % в месяц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~4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часа простоя в месяц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безопасность: пароли должны храниться исключительно в виде хэша (bcrypt); передача данных осуществляется только по HTTPS;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совместимость: система должна корректно работать в актуальных версиях браузеров Chrome, Firefox, Safari и Edge;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E17A163">
      <w:pPr>
        <w:pStyle w:val="920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Выбор архитектурного паттерна</w:t>
      </w:r>
      <w:r/>
    </w:p>
    <w:p w14:paraId="1C6DC2EA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обоснования выбора архитектурного решения был составлен ADR (Architecture Decision Record) – структурированный документ, фиксирующий принятое архитектурное решение, его контекст, обоснование и рассмотренные альтернативы.</w:t>
      </w:r>
      <w:r/>
    </w:p>
    <w:p w14:paraId="574336CA"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Запись принятого решения № 1: Выбор архитектурного паттерна для системы NewNote</w:t>
      </w:r>
      <w:r/>
    </w:p>
    <w:p w14:paraId="0190D6F1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Дата: 2026-04-23</w:t>
      </w:r>
      <w:r/>
    </w:p>
    <w:p w14:paraId="15CF5D05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Контекст:</w:t>
      </w:r>
      <w:r/>
    </w:p>
    <w:p w14:paraId="561E08AA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Разрабатывается веб-приложение NewNote – минималистичный сервис для создания и хранения текстовых заметок. Основные функциональные домены системы: управление пользователями (регистрация, ау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тентификация по e-mail и SMS), управление заметками (создание, просмотр, редактирование, удаление, поиск). Команда разработки: 1 разработчик. Срок разработки: один учебный семестр. Ожидаемая нагрузка на этапе MVP – не более 100 одновременных пользователей.</w:t>
      </w:r>
      <w:r/>
    </w:p>
    <w:p w14:paraId="297C3FC2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Решение:</w:t>
      </w:r>
      <w:r/>
    </w:p>
    <w:p w14:paraId="26964523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Принято решение реализовать систему NewNote в виде монолита с c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лоистую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(layered) структурой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Vertical Sliced Architecture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Проект разбит на 3 слоя: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domain, features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infrasturecutre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Domain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отвечает за хранение сущностей (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entities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) </w:t>
      </w:r>
      <w:r>
        <w:rPr>
          <w:lang w:val="ru-RU"/>
        </w:rPr>
        <w:t xml:space="preserve">и</w:t>
      </w:r>
      <w:r>
        <w:rPr>
          <w:lang w:val="en-US"/>
        </w:rPr>
        <w:t xml:space="preserve"> </w:t>
      </w:r>
      <w:r>
        <w:rPr>
          <w:lang w:val="ru-RU"/>
        </w:rPr>
        <w:t xml:space="preserve">значения </w:t>
      </w:r>
      <w:r>
        <w:rPr>
          <w:lang w:val="en-US"/>
        </w:rPr>
        <w:t xml:space="preserve">(value objects</w:t>
      </w:r>
      <w:r>
        <w:rPr>
          <w:lang w:val="ru-RU"/>
        </w:rPr>
        <w:t xml:space="preserve">). </w:t>
      </w:r>
      <w:r>
        <w:rPr>
          <w:lang w:val="en-US"/>
        </w:rPr>
        <w:t xml:space="preserve">Features </w:t>
      </w:r>
      <w:r>
        <w:rPr>
          <w:lang w:val="ru-RU"/>
        </w:rPr>
        <w:t xml:space="preserve">делится на фичи по контексту выполняемой бизнес-логики</w:t>
      </w:r>
      <w:r>
        <w:rPr>
          <w:lang w:val="ru-RU"/>
        </w:rPr>
        <w:t xml:space="preserve">. </w:t>
      </w:r>
      <w:r>
        <w:rPr>
          <w:lang w:val="ru-RU"/>
        </w:rPr>
        <w:t xml:space="preserve">Например фича </w:t>
      </w:r>
      <w:r>
        <w:rPr>
          <w:lang w:val="en-US"/>
        </w:rPr>
        <w:t xml:space="preserve">login_user</w:t>
      </w:r>
      <w:r>
        <w:rPr>
          <w:lang w:val="ru-RU"/>
        </w:rPr>
        <w:t xml:space="preserve"> отвечает за вход пользователя. Каждая фича содержит в себе срез слоёв необходимых для её функционирования: </w:t>
      </w:r>
      <w:r>
        <w:rPr>
          <w:lang w:val="en-US"/>
        </w:rPr>
        <w:t xml:space="preserve">controller – </w:t>
      </w:r>
      <w:r>
        <w:rPr>
          <w:lang w:val="en-US"/>
        </w:rPr>
        <w:t xml:space="preserve">presentation </w:t>
      </w:r>
      <w:r>
        <w:rPr>
          <w:lang w:val="ru-RU"/>
        </w:rPr>
        <w:t xml:space="preserve">фичи</w:t>
      </w:r>
      <w:r>
        <w:rPr>
          <w:lang w:val="en-US"/>
        </w:rPr>
        <w:t xml:space="preserve">, </w:t>
      </w:r>
      <w:r>
        <w:rPr>
          <w:lang w:val="en-US"/>
        </w:rPr>
        <w:t xml:space="preserve">handler </w:t>
      </w:r>
      <w:r>
        <w:rPr>
          <w:lang w:val="ru-RU"/>
        </w:rPr>
        <w:t xml:space="preserve">– </w:t>
      </w:r>
      <w:r>
        <w:rPr>
          <w:lang w:val="ru-RU"/>
        </w:rPr>
        <w:t xml:space="preserve">связывание домена и инраструктуры и вызов бизнес логики</w:t>
      </w:r>
      <w:r>
        <w:rPr>
          <w:lang w:val="en-US"/>
        </w:rPr>
        <w:t xml:space="preserve">, </w:t>
      </w:r>
      <w:r>
        <w:rPr>
          <w:lang w:val="en-US"/>
        </w:rPr>
        <w:t xml:space="preserve">repository </w:t>
      </w:r>
      <w:r>
        <w:rPr>
          <w:lang w:val="ru-RU"/>
        </w:rPr>
        <w:t xml:space="preserve">– </w:t>
      </w:r>
      <w:r>
        <w:rPr>
          <w:lang w:val="en-US"/>
        </w:rPr>
        <w:t xml:space="preserve">infrastucture </w:t>
      </w:r>
      <w:r>
        <w:rPr>
          <w:lang w:val="ru-RU"/>
        </w:rPr>
        <w:t xml:space="preserve">необходимый для этой фичи. </w:t>
      </w:r>
      <w:r>
        <w:rPr>
          <w:lang w:val="ru-RU"/>
        </w:rPr>
        <w:t xml:space="preserve">Общие зависимости для фич вынесенены на соответствующие слои </w:t>
      </w:r>
      <w:r>
        <w:rPr>
          <w:lang w:val="en-US"/>
        </w:rPr>
        <w:t xml:space="preserve">infrastructure </w:t>
      </w:r>
      <w:r>
        <w:rPr>
          <w:lang w:val="ru-RU"/>
        </w:rPr>
        <w:t xml:space="preserve">и </w:t>
      </w:r>
      <w:r>
        <w:rPr>
          <w:lang w:val="en-US"/>
        </w:rPr>
        <w:t xml:space="preserve">domain</w:t>
      </w:r>
      <w:r>
        <w:rPr>
          <w:lang w:val="ru-RU"/>
        </w:rPr>
        <w:t xml:space="preserve">.</w:t>
      </w:r>
      <w:r/>
    </w:p>
    <w:p w14:paraId="17440233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Последствия:</w:t>
      </w:r>
      <w:r/>
    </w:p>
    <w:p w14:paraId="468BFE5C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Преимущества:</w:t>
      </w:r>
      <w:r/>
    </w:p>
    <w:p w14:paraId="2394F2E4">
      <w:pPr>
        <w:pStyle w:val="927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минимальная инфраструктура – один контейнер/процесс;</w:t>
      </w:r>
      <w:r/>
    </w:p>
    <w:p w14:paraId="411E2F48">
      <w:pPr>
        <w:pStyle w:val="927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быстрый старт разработки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для 1 разработчика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highlight w:val="none"/>
        </w:rPr>
      </w:r>
      <w:r/>
    </w:p>
    <w:p w14:paraId="4F1DA85B">
      <w:pPr>
        <w:pStyle w:val="927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единое логирование и обработка ошибок;</w:t>
      </w:r>
      <w:r/>
    </w:p>
    <w:p w14:paraId="409EA09D">
      <w:pPr>
        <w:pStyle w:val="927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простая схема развёртывания (uvicorn + SQLite или PostgreSQL).</w:t>
      </w:r>
      <w:r/>
    </w:p>
    <w:p w14:paraId="0CB80758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Недостатки и риски:</w:t>
      </w:r>
      <w:r/>
    </w:p>
    <w:p w14:paraId="275CCE97">
      <w:pPr>
        <w:pStyle w:val="927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единая точка отказа: при падении процесса недоступна вся система;</w:t>
      </w:r>
      <w:r/>
    </w:p>
    <w:p w14:paraId="5A37C0E3">
      <w:pPr>
        <w:pStyle w:val="927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 росте нагрузки потребуется рефакторинг в микросервисы;</w:t>
      </w:r>
      <w:r/>
    </w:p>
    <w:p w14:paraId="3FA22485">
      <w:pPr>
        <w:pStyle w:val="927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риск нарастания связанности модулей при расширении функциональности.</w:t>
      </w:r>
      <w:r/>
    </w:p>
    <w:p w14:paraId="7E3CBD33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Альтернативы:</w:t>
      </w:r>
      <w:r/>
    </w:p>
    <w:p w14:paraId="46DDE4C1">
      <w:pPr>
        <w:pBdr/>
        <w:spacing w:after="0" w:before="0" w:line="360" w:lineRule="auto"/>
        <w:ind w:firstLine="705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Микросервисная архитектура была отклонена по следующим причинам: ожидаемая нагрузка не оправдывает затраты на DevOps-инфраструктуру (оркестрация, service mesh, распределённые транзакции); малый размер ком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анды и учебные сроки делают порог входа неприемлемым. Событийно-ориентированная архитектура избыточна для простого CRUD-приложения без асинхронных бизнес-процессов. SOA неприменима, так как система не интегрируется со сторонними сервисами через общую шину.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5762CBB">
      <w:pPr>
        <w:pStyle w:val="920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Карта контекстов по методологии DDD</w:t>
      </w:r>
      <w:r/>
    </w:p>
    <w:p w14:paraId="12EDF057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Domain-Driven Design (DDD) – методология проектирования программных систем,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 которой в основу архитектуры кладётся модель предметной области. Карта контекстов (Context Map) – один из стратегических артефактов DDD, который описывает все ограниченные контексты (Bounded Contexts) системы, их границы и виды взаимодействия между ними.</w:t>
      </w:r>
      <w:r/>
    </w:p>
    <w:p w14:paraId="0F47D1B7">
      <w:pPr>
        <w:pStyle w:val="92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Определение подобластей</w:t>
      </w:r>
      <w:r/>
    </w:p>
    <w:p w14:paraId="21D7A9D1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системы NewNote выделены следующие подобласти:</w:t>
      </w:r>
      <w:r/>
    </w:p>
    <w:p w14:paraId="12F9B2C3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Смысловое ядро (Core Domain) – Управление заметками (Note Management). Это основная бизнес-ценность системы: создание, хранение, редактирование, удален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ие и поиск текстовых заметок. Именно эта функциональность отличает NewNote от остальных систем и составляет конкурентное преимущество приложения. Ключевые агрегаты: Note (заметка с заголовком и текстом), NoteList (коллекция заметок пользователя с поиском).</w:t>
      </w:r>
      <w:r/>
    </w:p>
    <w:p w14:paraId="6FFC9D48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Вспомогательная подобласть (Supporting Subdomain) – Профиль пользоват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еля (User Profile). Хранит персональные данные учётной записи: адрес электронной почты, номер телефона, дату регистрации. Необходима для корректной работы смыслового ядра, поскольку каждая заметка привязана к конкретному пользователю. Агрегат: UserProfile.</w:t>
      </w:r>
      <w:r/>
    </w:p>
    <w:p w14:paraId="62A8CDE6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Общие подобласти (Generic Subdomains) – функциональность, не являющаяся уникальной для системы:</w:t>
      </w:r>
      <w:r/>
    </w:p>
    <w:p w14:paraId="5E314285"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Идентификация (User Identity) – регистрация учётных записей, аутентификация по e-mail и паролю, аутентификация по одноразовому SMS-коду (OTP), управление JWT-сессиями;</w:t>
      </w:r>
      <w:r/>
    </w:p>
    <w:p w14:paraId="2325E63F"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Уведомления (Notification) – генерация и отправка SMS-кодов через внешний SMS-шлюз.</w:t>
      </w:r>
      <w:r/>
    </w:p>
    <w:p w14:paraId="1BB890F6">
      <w:pPr>
        <w:pStyle w:val="92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Ограниченные контексты и связи</w:t>
      </w:r>
      <w:r/>
    </w:p>
    <w:p w14:paraId="01A4E0B3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основе выделенных подобластей определены следующие ограниченные контексты и отношения между ними:</w:t>
      </w:r>
      <w:r/>
    </w:p>
    <w:p w14:paraId="307AA954"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Note Management Context (Core) – обрабатывает всю логику работы с заметками; зависит от User Identity Context для получения идентификатора текущего пользователя.</w:t>
      </w:r>
      <w:r/>
    </w:p>
    <w:p w14:paraId="3015F703"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User Identity Context (Generic) – управляет учётными записями и аутентификацией; зависит от Notification Context для отправки OTP-кодов.</w:t>
      </w:r>
      <w:r/>
    </w:p>
    <w:p w14:paraId="4068C180"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Notification Context (Generic) – предоставляет возможность отправки SMS; является поставщиком (Upstream) для User Identity Context.</w:t>
      </w:r>
      <w:r/>
    </w:p>
    <w:p w14:paraId="7FBF441F"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User Profile Context (Supporting) – хранит дополнительные данные профиля; предоставляет информацию о пользователе контексту Note Management.</w:t>
      </w:r>
      <w:r/>
    </w:p>
    <w:p w14:paraId="07ED44DB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Тип связи между всеми контекстами – Customer-Supplier (C-S): один контекст (Upstream, поставщик) предоставляет данные или сервис, другой (Downstream, клиент) его использует. Изменения в поставщике влекут адаптацию у клиента.</w:t>
      </w:r>
      <w:r/>
    </w:p>
    <w:p w14:paraId="4F61CCC0">
      <w:pPr>
        <w:pStyle w:val="92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Карта контекстов</w:t>
      </w:r>
      <w:r/>
    </w:p>
    <w:p w14:paraId="26DEEB82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Карта контекстов системы NewNote представлена на рисунке 2. На карте стрелки показывают направление зависимости: стрелка от поставщика (U – Upstream) к клиенту (D – Downstream). Обозначение C-S (Customer-Supplier) указывает тип отношения.</w:t>
      </w:r>
      <w:r/>
    </w:p>
    <w:p w14:paraId="0FEBD055">
      <w:pPr>
        <w:pBdr/>
        <w:spacing w:after="0" w:before="120" w:line="360" w:lineRule="auto"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22861" cy="402504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7095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522860" cy="40250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34.87pt;height:316.9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/>
    </w:p>
    <w:p w14:paraId="783B1DE1"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2 – Карта контекстов системы NewNote по методологии DDD</w:t>
      </w:r>
      <w:r/>
    </w:p>
    <w:p w14:paraId="7E323808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Смысловое ядро (Note Management Context) выделено жёлтым фоном и является центральным элементом карты. Слева расположен User Identity Context (голубой), который выступает поставщиком идентификационных данных для Notes и одновременно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клиентом для Notification Context (жёлтый, внизу). Справа – User Profile Context (зелёный), предоставляющий дополнительные данные профиля. Внизу слева отображён внешний по отношению ко всей системе SMS-шлюз, с которым взаимодействует Notification Context.</w:t>
      </w:r>
      <w:r/>
    </w:p>
    <w:p w14:paraId="6B261A76">
      <w:pPr>
        <w:pStyle w:val="92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Диаграммы контекста нотации C4</w:t>
      </w:r>
      <w:r/>
    </w:p>
    <w:p w14:paraId="307CA8EA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Нотация C4 (Context, Con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tainers, Components, Code) – иерархическая система диаграмм для визуализации архитектуры программного обеспечения, предложенная Саймоном Брауном. Название нотации отражает четыре уровня детализации: Level 1 – диаграмма контекста (System Context), Level 2 –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диаграмма контейнеров (Container), Level 3 – диаграмма компонентов (Component), Level 4 – диаграмма кода (Code). В данной работе используется уровень 1 – System Context Diagram: показывает людей и внешние системы, взаимодействующие с описываемой системой.</w:t>
      </w:r>
      <w:r/>
    </w:p>
    <w:p w14:paraId="72C33219">
      <w:pPr>
        <w:pStyle w:val="92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Диаграмма контекста C4 для смыслового ядра</w:t>
      </w:r>
      <w:r/>
    </w:p>
    <w:p w14:paraId="6381B8BE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рисунке 3 представлена диаграмма контекста нотации C4 для смыслового ядра системы NewNote – контекста управления заметками (Note Management Context).</w:t>
      </w:r>
      <w:r/>
    </w:p>
    <w:p w14:paraId="1DE6A94D">
      <w:pPr>
        <w:pBdr/>
        <w:spacing w:after="0" w:before="120" w:line="360" w:lineRule="auto"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68640" cy="285349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89055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568639" cy="28534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8.48pt;height:224.6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</w:p>
    <w:p w14:paraId="23878689"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3 – Диаграмма контекста C4 для смыслового ядра (Note Management Context)</w:t>
      </w:r>
      <w:r/>
    </w:p>
    <w:p w14:paraId="60505A5F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диаграмме присутствуют следующие элементы. Зарегистрированный пользователь (Person) – конечный пользователь системы, который после аутентификации создаёт, прос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матривает, редактирует, удаляет и ищет заметки. Система NewNote (Software System) – монолитное веб-приложение на Python FastAPI, реализующее CRUD-операции с заметками. REST API защищён JWT-токеном; данные сохраняются в SQLite (разработка) или PostgreSQL (п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родакшн). База данных (Software System, внешняя) – реляционное хранилище, с которым система взаимодействует через ORM SQLAlchemy. Веб-браузер (Software System, внешний) – клиентская часть: пользователь обращается к системе через браузер по протоколу HTTPS.</w:t>
      </w:r>
      <w:r/>
    </w:p>
    <w:p w14:paraId="14E617F2">
      <w:pPr>
        <w:pStyle w:val="92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Диаграмма контекста C4 для вспомогательной подобласти</w:t>
      </w:r>
      <w:r/>
    </w:p>
    <w:p w14:paraId="1941F400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рисунке 4 представлена диаграмма контекста нотации C4 для вспомогательной подобласти – контекста идентификации и аутентификации (User Identity Context).</w:t>
      </w:r>
      <w:r/>
    </w:p>
    <w:p w14:paraId="40D099ED">
      <w:pPr>
        <w:pBdr/>
        <w:spacing w:after="0" w:before="120" w:line="360" w:lineRule="auto"/>
        <w:ind w:firstLine="0"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63935" cy="293985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649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663935" cy="29398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45.98pt;height:231.4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  <w:r/>
    </w:p>
    <w:p w14:paraId="24578F6A"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4 – Диаграмма контекста C4 для вспомогательной подобласти (User Identity Context)</w:t>
      </w:r>
      <w:r/>
    </w:p>
    <w:p w14:paraId="05092F05">
      <w:pPr>
        <w:pBdr/>
        <w:spacing w:after="0" w:before="0" w:line="360" w:lineRule="auto"/>
        <w:ind w:firstLine="705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диаграмме присутствуют следующие элементы. Незарегистрированный пользователь (Person) – посетитель, который впервые открывает приложение. Он может зарегистрироваться по e-mail и паролю, либо запросить вход по SMS-коду. Зар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егистрированный пользователь (Person) – существующий пользователь, который входит в систему по одному из двух каналов: e-mail/пароль или одноразовый SMS-код (OTP). После успешной аутентификации система выдаёт JWT-токен со сроком действия 6 часов. Система 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ewNote (Software System) – основная система: принимает запросы на регистрацию и аутентификацию, хэширует пароли с помощью bcrypt, управляет OTP-кодами и JWT-токенами. SMS-провайдер (External Software System) – сторонний сервис (например, Twilio или СМС.ру)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через HTTPS API которого система отправляет одноразовые коды при SMS-аутентификации. SMTP-сервер (External Software System) – почтовый сервер, используемый для отправки письма с подтверждением адреса электронной почты при регистрации нового пользователя.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52722124">
      <w:pPr>
        <w:pStyle w:val="920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Паттерны проектирования</w:t>
      </w:r>
      <w:r/>
      <w:r/>
    </w:p>
    <w:p w14:paraId="25BCAAE1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Паттерн проектирования (Design Pattern) – типовое решение часто встречающейся задачи при проект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ировании программного обеспечения. Паттерны не являются конкретным кодом, а представляют собой описание подхода, который можно адаптировать под нужды конкретного проекта. В системе NewNote реализованы три паттерна: поведенческий, структурный и порождающий.</w:t>
      </w:r>
      <w:r/>
      <w:r/>
    </w:p>
    <w:p w14:paraId="1FAA8E2E">
      <w:pPr>
        <w:pStyle w:val="92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Поведенческий паттерн: Стратегия (Strategy)</w:t>
      </w:r>
      <w:r/>
      <w:r/>
    </w:p>
    <w:p w14:paraId="72B22E80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Паттерн Стратегия применён для реализации аутентификации пользователей. Система NewNote поддерживает два способа входа: по e-mail и паролю,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 по одноразовому SMS-коду (OTP). Оба способа имеют общий интерфейс (метод authenticate), но принципиально разные алгоритмы проверки. Паттерн Стратегия позволяет инкапсулировать каждый алгоритм в отдельный класс и переключать их без изменения кода роутера.</w:t>
      </w:r>
      <w:r/>
      <w:r/>
    </w:p>
    <w:p w14:paraId="606D25C9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Обоснование выбора. Паттерн Стратегия выбран, так как в системе присутствует несколько взаимозаменяемых алгоритмов аутентификации, которые не имеют общих пошаговых операций. Роутер (клиент) не должен зависеть от деталей реализации каждого способа входа.</w:t>
      </w:r>
      <w:r/>
      <w:r/>
    </w:p>
    <w:p w14:paraId="06403F82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Почему не Шаблонный метод (Template Method). Шаблонный метод предполагает, что у всех вариантов алгоритма есть фиксированная последовательность шагов, которые частично переопределяются в подклассах. У ema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il-аутентификации (проверка пароля bcrypt) и SMS-аутентификации (проверка OTP-кода и срока его действия) нет общей последовательности шагов, поэтому Шаблонный метод неприменим. Стратегия корректнее, так как алгоритмы независимы и полностью взаимозаменяемы.</w:t>
      </w:r>
      <w:r/>
      <w:r/>
    </w:p>
    <w:p w14:paraId="41B71AAC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Почему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не Команда (Command). Паттерн Команда предназначен для инкапсуляции запроса как объекта с поддержкой отмены, очереди и журналирования. Аутентификация является немедленным действием без необходимости откладывать его или отменять, поэтому Команда избыточна.</w:t>
      </w:r>
      <w:r/>
      <w:r/>
    </w:p>
    <w:p w14:paraId="6DE82EB7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Структура реализ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ации: абстрактный класс AuthStrategy с методом authenticate(db, **kwargs), конкретные классы EmailAuthStrategy и SmsAuthStrategy, класс-контекст AuthContext, хранящий ссылку на стратегию и вызывающий её через метод login(). Файл: patterns/auth_strategy.py.</w:t>
      </w:r>
      <w:r/>
      <w:r/>
    </w:p>
    <w:p w14:paraId="4912176E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Диаграмма классов для паттерна Стратегия представлена на рисунке 5.</w:t>
      </w:r>
      <w:r/>
      <w:r/>
    </w:p>
    <w:p w14:paraId="5D1CBF41">
      <w:pPr>
        <w:pBdr/>
        <w:spacing w:after="0" w:before="120" w:line="360" w:lineRule="auto"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83038" cy="292833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03928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583038" cy="29283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39.61pt;height:230.5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/>
      <w:r/>
      <w:r/>
      <w:r/>
    </w:p>
    <w:p w14:paraId="0C090128"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5 – Диаграмма классов: паттерн Стратегия (Strategy)</w:t>
      </w:r>
      <w:r/>
      <w:r/>
    </w:p>
    <w:p w14:paraId="0E3B816B">
      <w:pPr>
        <w:pStyle w:val="92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Структурный паттерн: Репозиторий (Repository)</w:t>
      </w:r>
      <w:r/>
      <w:r/>
    </w:p>
    <w:p w14:paraId="3D62BC09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Паттерн Репозиторий применён для изоляции логики доступа к данн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ым от бизнес-логики роутеров. До применения паттерна роутеры напрямую обращались к объекту Session SQLAlchemy, смешивая работу с базой данных и обработку HTTP-запросов. Это затрудняло тестирование: для unit-тестов роутеров требовалась реальная база данных.</w:t>
      </w:r>
      <w:r/>
      <w:r/>
    </w:p>
    <w:p w14:paraId="66A18FE0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Обоснование выбора. Репозиторий предоставляет 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диный интерфейс для работы с коллекцией объектов модели, скрывая детали хранилища. При необходимости реальный NoteRepository можно подменить тестовой заглушкой (InMemoryNoteRepository), реализующей тот же абстрактный интерфейс, без изменения кода роутеров.</w:t>
      </w:r>
      <w:r/>
      <w:r/>
    </w:p>
    <w:p w14:paraId="252FAFDF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Почему не Фасад (Facade). Фа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сад предоставляет упрощённый интерфейс к сложной подсистеме, состоящей из нескольких классов. В данном случае подсистема одна (SQLAlchemy + модель Note), и цель – абстракция хранилища, а не упрощение сложной подсистемы. Это задача Репозитория, а не Фасада.</w:t>
      </w:r>
      <w:r/>
      <w:r/>
    </w:p>
    <w:p w14:paraId="410C3802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Почему не Декоратор (Decorator). Декоратор добавляет новое поведение существующему объекту, оборачивая его. Цель здесь – не расширить объект Session, а полностью скрыть его за стабильным интерфейсом. Декоратор не решает задачу изоляции хранилища.</w:t>
      </w:r>
      <w:r/>
      <w:r/>
    </w:p>
    <w:p w14:paraId="4EDF7989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Структура реализации: абстрактный класс AbstractNoteRepository с методами get_all, get_by_id, create, update, delete, конкретный класс NoteRepository, принимающий в конструктор объект Session. Файл: patterns/note_repository.py.</w:t>
      </w:r>
      <w:r/>
      <w:r/>
    </w:p>
    <w:p w14:paraId="2B5539E8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Диаграмма классов для паттерна Репозиторий представлена на рисунке 6.</w:t>
      </w:r>
      <w:r/>
      <w:r/>
    </w:p>
    <w:p w14:paraId="4861DE83">
      <w:pPr>
        <w:pBdr/>
        <w:spacing w:after="0" w:before="120" w:line="360" w:lineRule="auto"/>
        <w:ind w:firstLine="0"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3626788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83093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120764" cy="36267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81.95pt;height:285.57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  <w:r/>
      <w:r/>
      <w:r/>
      <w:r/>
      <w:r/>
      <w:r/>
    </w:p>
    <w:p w14:paraId="35737F4F">
      <w:pPr>
        <w:suppressLineNumbers w:val="false"/>
        <w:pBdr/>
        <w:spacing w:after="120" w:before="80" w:line="360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6 – Диаграмма классов: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паттерн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Репозиторий (Repository)</w:t>
      </w:r>
      <w:r/>
      <w:r/>
    </w:p>
    <w:p w14:paraId="4A062C8F">
      <w:pPr>
        <w:pStyle w:val="92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Порождающий паттерн: Фабричный метод (Factory Method)</w:t>
      </w:r>
      <w:r/>
      <w:r/>
    </w:p>
    <w:p w14:paraId="53326E43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Паттерн Фабричный метод применён для создания объектов-экспортёров заметок. Система NewNote поддерживает экспор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 заметки в разные форматы (plain text, JSON) через endpoint GET /notes/{id}/export?fmt=txt|json. С появлением новых форматов (например, Markdown) необходимо добавлять новые экспортёры без изменения существующего кода роутера, соблюдая принцип Open/Closed.</w:t>
      </w:r>
      <w:r/>
      <w:r/>
    </w:p>
    <w:p w14:paraId="727342C2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Обоснование выбора. Фабричный метод выносит ло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гику создания конкретного экспортёра из роутера в специализированные фабрики. Добавление нового формата требует только создания нового класса-экспортёра и новой фабрики, и регистрации её в реестре _FACTORIES, без изменения роутера или существующих классов.</w:t>
      </w:r>
      <w:r/>
      <w:r/>
    </w:p>
    <w:p w14:paraId="7E52CE63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Почему не Абстрактная фабрика (Abstract Factory). Абстрактная фабрика нужна для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создания семейств взаимосвязанных объектов (например, кнопка + форма + диалог одной темы UI). Здесь порождается только один тип объекта — экспортёр — без семейства связанных продуктов. Абстрактная фабрика создаёт излишнюю иерархию без практической пользы.</w:t>
      </w:r>
      <w:r/>
      <w:r/>
    </w:p>
    <w:p w14:paraId="06F3AEFD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Почему не Строитель (Builder). Строитель предназначен для пошагового конструирования сложных объектов с множеством параметров. Экспортёры просты (не требуют пошаговой сборки), поэтому Строитель был бы избыточным усложнением.</w:t>
      </w:r>
      <w:r/>
      <w:r/>
    </w:p>
    <w:p w14:paraId="74EF35C7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Структура реализации: абстрактный продукт NoteExporter (методы export и content_type), конкретные продукты PlainTextExporter и JsonExporter,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абстрактный создатель NoteExporterFactory (фабричный метод create_exporter), конкретные создатели PlainTextExporterFactory и JsonExporterFactory, реестр фабрик _FACTORIES и вспомогательная функция get_exporter_factory(fmt). Файл: patterns/note_exporter.py.</w:t>
      </w:r>
      <w:r/>
      <w:r/>
    </w:p>
    <w:p w14:paraId="2AF92606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Диаграмма классов для паттерна Фабричный метод представлена на рисунке 7.</w:t>
      </w:r>
      <w:r/>
      <w:r/>
    </w:p>
    <w:p w14:paraId="60E236AE">
      <w:pPr>
        <w:pBdr/>
        <w:spacing w:after="0" w:before="120" w:line="360" w:lineRule="auto"/>
        <w:ind w:firstLine="0"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317973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04226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120764" cy="31797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81.95pt;height:250.37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  <w:r/>
      <w:r/>
    </w:p>
    <w:p w14:paraId="55A2AEA8">
      <w:pPr>
        <w:suppressLineNumbers w:val="false"/>
        <w:pBdr/>
        <w:spacing w:after="120" w:before="80" w:line="360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7 – Диаграмма классов: паттерн Фабричный метод (Factory Method)</w:t>
      </w:r>
      <w:r/>
      <w:r/>
    </w:p>
    <w:p w14:paraId="432FFB0A">
      <w:pPr>
        <w:pStyle w:val="920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Реализация принципов SOLID</w:t>
      </w:r>
      <w:r/>
      <w:r/>
    </w:p>
    <w:p w14:paraId="6472F156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Принципы SOLID — пять принципов объектно-ориентированного проектирования, сформулированных Робертом Мартином. Их соблюдение делает код более гибким, тес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тируемым и сопровождаемым. В ходе рефакторинга кода NewNote реализованы пять принципов SOLID. Структура проекта была реорганизована: вместо плоской папки с файлами введены пакеты auth/, notes/ и interfaces/, что позволило явно разграничить ответственности.</w:t>
      </w:r>
      <w:r/>
      <w:r/>
    </w:p>
    <w:p w14:paraId="632EBEE6">
      <w:pPr>
        <w:pStyle w:val="92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Принцип единственной ответственности (SRP)</w:t>
      </w:r>
      <w:r/>
      <w:r/>
    </w:p>
    <w:p w14:paraId="1E4C1E12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 единственной ответственности (Single Responsibility Principle): каждый класс (модуль) должен иметь только одну причину для изменения.</w:t>
      </w:r>
      <w:r/>
      <w:r/>
    </w:p>
    <w:p w14:paraId="6F011E43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 рефакторинга: файл auth_utils.py нарушал SRP, объединяя три несвязанные обязанности в одном модуле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— хэширование паролей, создание JWT-токенов и генерацию OTP-кодов. Каждая из этих функций имела свою причину для изменения: смена алгоритма хэширования не должна затрагивать логику токенов, а изменение длины OTP-кода не должно затрагивать ни то, ни другое.</w:t>
      </w:r>
      <w:r/>
      <w:r/>
    </w:p>
    <w:p w14:paraId="75351B40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После рефакторинга: auth_utils.py разбит на три специализированных класса:</w:t>
      </w:r>
      <w:r/>
      <w:r/>
    </w:p>
    <w:p w14:paraId="69E5D24D">
      <w:pPr>
        <w:pStyle w:val="927"/>
        <w:pBdr/>
        <w:spacing w:after="0" w:before="0" w:line="360" w:lineRule="auto"/>
        <w:ind w:right="0" w:firstLine="720" w:left="0"/>
        <w:jc w:val="both"/>
        <w:rPr>
          <w14:ligatures w14:val="none"/>
        </w:rPr>
      </w:pPr>
      <w:r>
        <w:t xml:space="preserve">auth/password_service.py — класс PasswordService: методы hash() и verify(). Единственная причина для изменения — смена алгоритма хэширования (bcrypt → Argon2 и т.п.);</w:t>
      </w:r>
      <w:r>
        <w:rPr>
          <w14:ligatures w14:val="none"/>
        </w:rPr>
      </w:r>
      <w:r>
        <w:rPr>
          <w14:ligatures w14:val="none"/>
        </w:rPr>
      </w:r>
    </w:p>
    <w:p w14:paraId="7A4E2BCD">
      <w:pPr>
        <w:pStyle w:val="927"/>
        <w:pBdr/>
        <w:spacing w:after="0" w:before="0" w:line="360" w:lineRule="auto"/>
        <w:ind w:right="0" w:firstLine="720" w:left="0"/>
        <w:jc w:val="both"/>
        <w:rPr>
          <w14:ligatures w14:val="none"/>
        </w:rPr>
      </w:pPr>
      <w:r>
        <w:t xml:space="preserve">auth/token_service.py — класс TokenService: методы create() и decode(). Единственная причина для изменения — смена алгоритма или формата JWT-токена;</w:t>
      </w:r>
      <w:r>
        <w:rPr>
          <w14:ligatures w14:val="none"/>
        </w:rPr>
      </w:r>
      <w:r>
        <w:rPr>
          <w14:ligatures w14:val="none"/>
        </w:rPr>
      </w:r>
    </w:p>
    <w:p w14:paraId="01153525">
      <w:pPr>
        <w:pStyle w:val="927"/>
        <w:pBdr/>
        <w:spacing w:after="0" w:before="0" w:line="360" w:lineRule="auto"/>
        <w:ind w:right="0" w:firstLine="720" w:left="0"/>
        <w:jc w:val="both"/>
        <w:rPr>
          <w14:ligatures w14:val="none"/>
        </w:rPr>
      </w:pPr>
      <w:r>
        <w:t xml:space="preserve">auth/otp_service.py — класс OtpService: метод generate(). Единственная причина для</w:t>
      </w:r>
      <w:r>
        <w:rPr>
          <w:lang w:val="ru-RU"/>
        </w:rPr>
        <w:t xml:space="preserve"> </w:t>
      </w:r>
      <w:r>
        <w:t xml:space="preserve">изменения — смена формата или длины кода.</w:t>
      </w:r>
      <w:r>
        <w:rPr>
          <w14:ligatures w14:val="none"/>
        </w:rPr>
      </w:r>
      <w:r>
        <w:rPr>
          <w14:ligatures w14:val="none"/>
        </w:rPr>
      </w:r>
    </w:p>
    <w:p w14:paraId="66E91741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Аналогично, модели User и Note разнесены по пакетам (auth/models.py и notes/models.py), а каждый роутер (auth/router.py, notes/router.py) отвечает исключительно за маршрутизацию HTTP-запросов, делегируя всю логику сервисам и репозиторию.</w:t>
      </w:r>
      <w:r/>
      <w:r/>
    </w:p>
    <w:p w14:paraId="4BE2245D">
      <w:pPr>
        <w:pStyle w:val="92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Принцип открытости/закрытости (OCP)</w:t>
      </w:r>
      <w:r/>
      <w:r/>
    </w:p>
    <w:p w14:paraId="1D2B34AA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 открытости/закрытости (Open/Closed Principle): программные сущности должны быть открыты для расширения, но закрыты для модификации.</w:t>
      </w:r>
      <w:r/>
      <w:r/>
    </w:p>
    <w:p w14:paraId="46DD8A7B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Реализация: иерархия AuthStrategy в модуле auth/strategies.py. Абстрактный класс AuthStrategy определяет контракт — метод authenticate(db, **kwargs). Конкретные стратегии EmailAuthStrategy и SmsAuthStrategy реализуют этот контракт для двух каналов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аутентификации. При добавлении нового способа входа (например, OAuth2) необходимо лишь создать новый подкласс AuthStrategy — существующий код роутера и класса AuthContext остаётся неизменным, что и означает «закрыт для модификации, открыт для расширения».</w:t>
      </w:r>
      <w:r/>
      <w:r/>
    </w:p>
    <w:p w14:paraId="444708F7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Аналогично реализованы NoteExporter и NoteExporterFactory из предыдущей работы (patterns/): добавление нового формата экспорта (например, Markdown) требует только нового класса, не изменяя существующих.</w:t>
      </w:r>
      <w:r/>
      <w:r/>
    </w:p>
    <w:p w14:paraId="7325C5E9">
      <w:pPr>
        <w:pStyle w:val="92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Принцип подстановки Лисков (LSP)</w:t>
      </w:r>
      <w:r/>
      <w:r/>
    </w:p>
    <w:p w14:paraId="2BF0E236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 подстановки Лисков (Liskov Substitution Principle): объекты подклассов должны быть полностью взаимозаменяемы с объектами базового класса без нарушения корректности программы.</w:t>
      </w:r>
      <w:r/>
      <w:r/>
    </w:p>
    <w:p w14:paraId="2E3426FA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Реализация: классы EmailAuthStrategy и SmsAuthStrategy полностью реализуют контракт AuthStrategy. Класс AuthContext работает с переменной типа AuthStrategy и вызывает authenticate() — не зная и не завися от того, какая конкрет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ная стратегия передана. Подстановка одной стратегии другой не меняет поведения AuthContext. Аналогично, NoteRepository реализует интерфейсы INoteReader и INoteWriter и может быть заменён тестовой заглушкой InMemoryNoteRepository без изменения кода роутера.</w:t>
      </w:r>
      <w:r/>
      <w:r/>
    </w:p>
    <w:p w14:paraId="2836CE03">
      <w:pPr>
        <w:pStyle w:val="92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Принцип разделения интерфейсов (ISP)</w:t>
      </w:r>
      <w:r/>
      <w:r/>
    </w:p>
    <w:p w14:paraId="6B80BC88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 разделения интерфейсов (Interface Segregation Principle): клиенты не должны зависеть от методов, которые они не используют.</w:t>
      </w:r>
      <w:r/>
      <w:r/>
    </w:p>
    <w:p w14:paraId="7D61E3A1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 рефакторинга: AbstractNoteRepository объединял все методы — get_all, get_by_id, create, update, delete — в одном интерфейсе. Клиент, которому нужно только читать заметки (например, функция экспорта), всё равно зависел от методов записи.</w:t>
      </w:r>
      <w:r/>
      <w:r/>
    </w:p>
    <w:p w14:paraId="261A3059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После рефакторинга: интерфейс разделён на два в пакете interfaces/:</w:t>
      </w:r>
      <w:r/>
      <w:r/>
    </w:p>
    <w:p w14:paraId="3435E4CB"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INoteReader (interfaces/i_note_reader.py) — только get_all() и get_by_id(). Клиенты, которым нужно только чтение, зависят исключительно от этого интерфейса;</w:t>
      </w:r>
      <w:r/>
      <w:r/>
    </w:p>
    <w:p w14:paraId="7640A1C8"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INoteWriter (interfaces/i_note_writer.py) — только create(), update(), delete(). Клиенты-писатели зависят только от него.</w:t>
      </w:r>
      <w:r/>
      <w:r/>
    </w:p>
    <w:p w14:paraId="1A0D44CE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роутере notes/router.py функции аннотированы типами INoteReader и INoteWriter соответственно: функция list_notes получает INoteReader, функция create_note — INoteWriter. Это явно выражает намерения и исключает нежелательные зависимости.</w:t>
      </w:r>
      <w:r/>
      <w:r/>
    </w:p>
    <w:p w14:paraId="2AA1B327">
      <w:pPr>
        <w:pStyle w:val="92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Принцип инверсии зависимостей (DIP)</w:t>
      </w:r>
      <w:r/>
      <w:r/>
    </w:p>
    <w:p w14:paraId="20DFA852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 инверсии зависимостей (Dependency Inversion Principle): высокоуровневые модули не должны зависеть от низкоуровневых — оба должны зависеть от абстракций.</w:t>
      </w:r>
      <w:r/>
      <w:r/>
    </w:p>
    <w:p w14:paraId="44012AF2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Реализация: высокоуровневый модуль notes/router.py зависит от абстракций INoteReader и INoteWriter (пакет interfaces/), а не от конкретного класса NoteRepository. Конкретная реализация создаётся в вспомогательных функциях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_get_reader() и _get_writer() и «внедряется» через параметры FastAPI-зависимостей. При необходимости конкретный NoteRepository можно заменить тестовой заглушкой или реализацией поверх другого хранилища (Redis, файловая система) без изменения кода роутера.</w:t>
      </w:r>
      <w:r/>
      <w:r/>
    </w:p>
    <w:p w14:paraId="06EFCF37">
      <w:pPr>
        <w:pStyle w:val="920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Реализация принципов организации компонентов</w:t>
      </w:r>
      <w:r/>
      <w:r/>
    </w:p>
    <w:p w14:paraId="534A2D19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Принципы организаци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 компонентов делятся на две группы: принципы связности компонентов (определяют, что входит в компонент) и принципы сочетаемости компонентов (определяют, как компоненты зависят друг от друга). В проекте NewNote реализованы по два принципа из каждой группы.</w:t>
      </w:r>
      <w:r/>
      <w:r/>
    </w:p>
    <w:p w14:paraId="6ED48518">
      <w:pPr>
        <w:pStyle w:val="92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Принципы связности компонентов</w:t>
      </w:r>
      <w:r/>
      <w:r/>
    </w:p>
    <w:p w14:paraId="71FDE15D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 общего замыкания (CCP — Common Closure Principle): в компонент должны входить классы, которые изменяются по одним и тем же причинам и в одно и то же время. Тогда при изменении требований затрагивается минимальное количество компонентов.</w:t>
      </w:r>
      <w:r/>
      <w:r/>
    </w:p>
    <w:p w14:paraId="0A9F27FB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Реализация CCP в NewNote:</w:t>
      </w:r>
      <w:r/>
      <w:r/>
    </w:p>
    <w:p w14:paraId="64251AD0"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пакет auth/ объединяет все классы, изменя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ющиеся при изменении способа аутентификации: router.py, strategies.py, password_service.py, token_service.py, otp_service.py, models.py, schemas.py. Если заказчик попросит добавить OAuth2 или изменить срок действия токена, затронут будет только этот пакет;</w:t>
      </w:r>
      <w:r/>
      <w:r/>
    </w:p>
    <w:p w14:paraId="1C597CE5"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пакет notes/ объединяет всё, что изменяется при изменении функциональности заметок: router.py, repository.py, models.py, schemas.py. Изменение полей заметки или добавление нового эндпоинта затрагивает только notes/.</w:t>
      </w:r>
      <w:r/>
      <w:r/>
    </w:p>
    <w:p w14:paraId="498D247E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 общего повторного использования (CRP —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Common Reuse Principle): классы в компоненте используются вместе. Клиент, использующий один класс из компонента, неявно зависит от всех классов компонента. Поэтому в компоненте должны находиться только те классы, которые действительно используются вместе.</w:t>
      </w:r>
      <w:r/>
      <w:r/>
    </w:p>
    <w:p w14:paraId="0A02DBEB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Реализация CRP в NewNote: пакет interfaces/ содержит исключительно INoteReader и INoteWriter — два интерфейса, которые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клиент (notes/router.py и notes/repository.py) использует вместе как единое целое. Не включены в interfaces/ никакие конкретные реализации, модели, схемы или утилиты. Клиент, зависящий от interfaces/, не притягивает нежелательных транзитивных зависимостей.</w:t>
      </w:r>
      <w:r/>
      <w:r/>
    </w:p>
    <w:p w14:paraId="03D9EFEE">
      <w:pPr>
        <w:pStyle w:val="92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Принципы сочетаемости компонентов</w:t>
      </w:r>
      <w:r/>
      <w:r/>
    </w:p>
    <w:p w14:paraId="2D024CA0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 ацикли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ческих зависимостей (ADP — Acyclic Dependencies Principle): в графе зависимостей между компонентами не должно быть циклов. Цикл приводит к тому, что компоненты становятся неразрывно связаны и не могут быть собраны, протестированы или задеплоены независимо.</w:t>
      </w:r>
      <w:r/>
      <w:r/>
    </w:p>
    <w:p w14:paraId="472BBFA2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Реализация ADP в NewNote: граф зависимостей между пакетами образует направленный ациклический граф (DAG):</w:t>
      </w:r>
      <w:r/>
      <w:r/>
    </w:p>
    <w:p w14:paraId="015CF8FA"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notes/ → interfaces/ (repository.py реализует INoteReader, INoteWriter);</w:t>
      </w:r>
      <w:r/>
      <w:r/>
    </w:p>
    <w:p w14:paraId="3FEDE2F3"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auth/ → interfaces/ (опционально, для расширения);</w:t>
      </w:r>
      <w:r/>
      <w:r/>
    </w:p>
    <w:p w14:paraId="1D32F547"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notes/ → database/ (получение Session);</w:t>
      </w:r>
      <w:r/>
      <w:r/>
    </w:p>
    <w:p w14:paraId="57AD99EA"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auth/ → database/ (получение Session).</w:t>
      </w:r>
      <w:r/>
      <w:r/>
    </w:p>
    <w:p w14:paraId="5842A9A4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Циклов нет: interfaces/ ни от кого не зависит; notes/ зависит от interfaces/, но не наоборот; auth/ зависит от database/, но не от notes/. Каждый пакет можно скомпилировать, протестировать и задеплоить независимо, что соответствует требованию ADP.</w:t>
      </w:r>
      <w:r/>
      <w:r/>
    </w:p>
    <w:p w14:paraId="053BA1D4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 стабильных зависимостей (SDP — Stable Depend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encies Principle): компоненты должны зависеть только от более стабильных компонентов. Стабильность определяется как отношение входящих зависимостей к суммарным: I = Fan-out / (Fan-in + Fan-out), где I=0 — максимально стабилен, I=1 — максимально нестабилен.</w:t>
      </w:r>
      <w:r/>
      <w:r/>
    </w:p>
    <w:p w14:paraId="6DAA0027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Реализация SDP в NewNote:</w:t>
      </w:r>
      <w:r/>
      <w:r/>
    </w:p>
    <w:p w14:paraId="766347B4"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interfaces/ — наиболее стабильный компонент (I≈0): на него ссылаются notes/ и auth/, но сам он ни от кого не зависит. Именно от этого компонента зависят все volatile-компоненты;</w:t>
      </w:r>
      <w:r/>
      <w:r/>
    </w:p>
    <w:p w14:paraId="1EE93E0A"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notes/router.py — наиболее нестабильный модуль (I≈1): зависит от interfaces/, database/, auth/, schemas. Зависит только в направлении более стабильных компонентов, что соответствует SDP;</w:t>
      </w:r>
      <w:r/>
      <w:r/>
    </w:p>
    <w:p w14:paraId="1AB04DE4"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database.py — стабильный компонент (I≈0): ни от кого не зависит внутри проекта, зависит только от внешней библиотеки SQLAlchemy.</w:t>
      </w:r>
      <w:r/>
      <w:r/>
    </w:p>
    <w:p w14:paraId="6234D4D9">
      <w:pPr>
        <w:pStyle w:val="920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Диаграммы кода и компонентов нотации C4</w:t>
      </w:r>
      <w:r/>
      <w:r/>
    </w:p>
    <w:p w14:paraId="5FC99753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рисунке 8 представлена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диаграмма компонентов нотации C4 (Level 3). Диаграмма отображает компоненты внутри контейнера NewNote Backend, их ответственности и зависимости. Каждый компонент соответствует пакету Python. В скобках рядом с каждым модулем указаны реализованные принципы.</w:t>
      </w:r>
      <w:r/>
      <w:r/>
    </w:p>
    <w:p w14:paraId="1E46D95A">
      <w:pPr>
        <w:pBdr/>
        <w:spacing w:after="0" w:before="120" w:line="360" w:lineRule="auto"/>
        <w:ind w:firstLine="0"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3342672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5247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120764" cy="33426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81.95pt;height:263.2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  <w:r/>
      <w:r/>
    </w:p>
    <w:p w14:paraId="2651C745">
      <w:pPr>
        <w:pBdr/>
        <w:spacing w:after="120" w:before="80" w:line="360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8 – Диаграмма компонентов C4 (Level 3)</w:t>
      </w:r>
      <w:r/>
      <w:r/>
    </w:p>
    <w:p w14:paraId="379256B9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диаграмме выделены четыре компонента. Пакет auth/ (CCP) содержит все классы аутентификации, изменяющиеся вместе. Пакет interfaces/ (SAP, SDP, CRP) содержит только стабильные абстракции INoteReader и INoteWriter. Пакет notes/ (CCP)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содержит всё, связанное с заметками. Компонент database.py является стабильной инфраструктурной зависимостью. Стрелки показывают направление зависимостей, соответствующее принципам ADP и SDP: зависимости направлены от нестабильных компонентов к стабильным.</w:t>
      </w:r>
      <w:r/>
      <w:r/>
    </w:p>
    <w:p w14:paraId="4067845F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рисунке 9 представлена диаграмма кода C4 (Level 4) для компонента auth/. Диаграмма показывает ключевые классы внутри компонента, их иерархию и взаимосвязи.</w:t>
      </w:r>
      <w:r/>
      <w:r/>
    </w:p>
    <w:p w14:paraId="0C1C27E0">
      <w:pPr>
        <w:pBdr/>
        <w:spacing w:after="0" w:before="120" w:line="360" w:lineRule="auto"/>
        <w:ind w:firstLine="0"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73982" cy="3140058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68428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5973982" cy="31400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70.39pt;height:247.2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  <w:r/>
      <w:r/>
    </w:p>
    <w:p w14:paraId="1F3FAF0F">
      <w:pPr>
        <w:pBdr/>
        <w:spacing w:after="120" w:before="80" w:line="360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9 – Диаграмма кода C4 (Level 4) – компонент auth/</w:t>
      </w:r>
      <w:r/>
      <w:r/>
    </w:p>
    <w:p w14:paraId="1A92EA75">
      <w:pPr>
        <w:pBdr/>
        <w:spacing w:after="0" w:before="0" w:line="360" w:lineRule="auto"/>
        <w:ind w:firstLine="705"/>
        <w:jc w:val="both"/>
        <w:rPr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диаграмме видно, что абстрактный класс AuthStrategy является единственной точкой расширения (OCP): добавление нового способа аутентификации означает создание нового подкласса. EmailAuthStrategy и SmsAuthStrategy полностью заменяемы в AuthCon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text (LSP). Три сервисных класса — PasswordService, TokenService, OtpService — изолированы по ответственностям (SRP) и не знают друг о друге. Класс auth.router зависит от этих сервисов и от AuthContext, но не от стратегий напрямую, что снижает связанность.</w:t>
      </w:r>
      <w:r/>
      <w:r/>
    </w:p>
    <w:p w14:paraId="08B3465A">
      <w:pPr>
        <w:pStyle w:val="920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Реализация аспектов безопасности</w:t>
      </w:r>
      <w:r/>
      <w:r/>
    </w:p>
    <w:p w14:paraId="14A4A90D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Заказчик системы NewNote озаботился безопасностью решения. Реализованы три ас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пекта безопасности: ограничение частоты запросов (Rate Limiting), заголовки безопасности HTTP (Security Headers Middleware) и ролевая модель авторизации (RBAC). Все изменения выполнены в новом пакете security/ и интегрированы без нарушения принципов SOLID.</w:t>
      </w:r>
      <w:r/>
      <w:r/>
    </w:p>
    <w:p w14:paraId="6AA6F8CA">
      <w:pPr>
        <w:pStyle w:val="920"/>
        <w:numPr>
          <w:ilvl w:val="1"/>
          <w:numId w:val="15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Аспект безопасности №1: Модульность</w:t>
      </w:r>
      <w:r/>
      <w:r/>
    </w:p>
    <w:p w14:paraId="638E55B0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Угроза. В монолите без чёткого разделения на модули компрометация одной части кода (например, уязвимость в обработке аутентификации) открывает злоумышленнику прямой доступ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 данным заметок и учётных записей, поскольку все обязанности сосредоточены в едином, сильно связанном коде без внутренних границ. Отсутствие изоляции между функциональными областями приводит к беспрепятственному распространению уязвимости по всей системе.</w:t>
      </w:r>
      <w:r/>
      <w:r/>
    </w:p>
    <w:p w14:paraId="659569D9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Реализация. Сис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тема разбита на независимые модули (пакеты Python) с явными границами и собственными API: auth/ — аутентификация и управление учётными записями (стратегии входа, сервисы паролей, токенов и OTP); notes/ — управление заметками (CRUD, поиск, экспорт); interfa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ces/ — стабильные абстракции доступа к данным (INoteReader, INoteWriter); admin/ — административные операции, отделённые от пользовательского контура; security/ — аспекты безопасности (RBAC). Взаимодействие между модулями минимизировано и идёт только через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явные интерфейсы: например, модуль notes/ обращается к данным исключительно через интерфейсы из interfaces/, а не напрямую к ORM-сессии. Граф зависимостей между модулями ацикличен (ADP), что позволяет тестировать и развёртывать каждый модуль изолированно.</w:t>
      </w:r>
      <w:r/>
      <w:r/>
    </w:p>
    <w:p w14:paraId="702B2EEC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Обоснование выбора. Модульность ограничивает распространение уязвимостей: компрометация одного модуля не означает автоматического нарушения всей системы. Если уязвимость обнаружена в модуле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аутентификации (auth/), злоумышленник не получает напрямую доступ к данным заметок, так как доступ к ним возможен только через интерфейсы модуля notes/ с проверкой владельца. Соблюдены принципы когерентности (каждый модуль решает одну чётко определённую за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дачу) и независимости (модули слабо связаны, изменение одного не затрагивает другие). Аналогичный подход применяют крупные системы: например, микросервисная архитектура GitHub, где каждый сервис отвечает за отдельный функционал и масштабируется независимо.</w:t>
      </w:r>
      <w:r/>
      <w:r/>
    </w:p>
    <w:p w14:paraId="19858418">
      <w:pPr>
        <w:pStyle w:val="920"/>
        <w:numPr>
          <w:ilvl w:val="1"/>
          <w:numId w:val="15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Аспект безопасности №2: Контейнеризация</w:t>
      </w:r>
      <w:r/>
      <w:r/>
    </w:p>
    <w:p w14:paraId="2264FF97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Угроза. Запуск приложения непосредственно на хостовой ОС означает, что компрометация процесса приложения (напр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имер, через уязвимость в одной из зависимостей) даёт доступ к ресурсам всего хоста: файловой системе, другим процессам и сетевым интерфейсам. Отсутствие изоляции среды выполнения превращает локальную уязвимость в угрозу для всей машины и соседних сервисов.</w:t>
      </w:r>
      <w:r/>
      <w:r/>
    </w:p>
    <w:p w14:paraId="3A328403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Реализация. Приложение упаковано в Docker-контейнер (Dockerfile на базе официального образа python:3.12-slim). Контейнер запускается от имени непривилегированного поль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зователя (appuser), а не root, что реализует принцип наименьших привилегий. Файл docker-compose.yml описывает изолированное окружение: отдельный сервис приложения и отдельный сервис базы данных PostgreSQL, связанные приватной сетью; наружу публикуется толь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ко порт API приложения, а порт БД остаётся внутри сети. Файл .dockerignore исключает из образа лишние и чувствительные файлы. Тем самым каждый компонент работает в собственной изолированной среде с минимальными привилегиями и ограниченным набором ресурсов.</w:t>
      </w:r>
      <w:r/>
      <w:r/>
    </w:p>
    <w:p w14:paraId="53420096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Обоснование выбора. Контейнеризация — один из методов изоляции компонентов. Она ограничивает доступ скомпрометированного компонента к ресурсам и снижает риск распространения атаки за пределы контейнера, в отличие от запуска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всех процессов в общей среде хоста. Подход применяется в промышленных системах: например, в Netflix каждый микросервис работает в собственной изолированной среде на базе Docker, что сохраняет безопасность системы даже при компрометации одного из сервисов.</w:t>
      </w:r>
      <w:r/>
      <w:r/>
    </w:p>
    <w:p w14:paraId="6627BAF5">
      <w:pPr>
        <w:pStyle w:val="92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Аспект безопасности №3: RBAC</w:t>
      </w:r>
      <w:r/>
      <w:r/>
    </w:p>
    <w:p w14:paraId="59420652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Угроза. В исходной системе все пользователи обладали одинаковыми правами. Принцип наименьших привилегий нарушен: нет возможности выделить администраторов для модерации и управления данными пользователей.</w:t>
      </w:r>
      <w:r/>
      <w:r/>
    </w:p>
    <w:p w14:paraId="3B2C08C5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Реализация. Модуль security/rbac.py определяет класс Role (константы USER, ADMIN), функцию require_role() и is_admin(). В auth/models.py добавлено поле role. В notes/router.py интегрированы проверки:</w:t>
      </w:r>
      <w:r/>
      <w:r/>
    </w:p>
    <w:p w14:paraId="3AFD0A02"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GET /notes/?owner_id=X — только администратор может запросить заметки другого пользователя;</w:t>
      </w:r>
      <w:r/>
      <w:r/>
    </w:p>
    <w:p w14:paraId="29B21650"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DELETE /notes/{id} — администратор может удалить любую заметку.</w:t>
      </w:r>
      <w:r/>
      <w:r/>
    </w:p>
    <w:p w14:paraId="726C5E5D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Обоснование выбора. RBAC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— стандартная модель управления доступом согласно OWASP (A01:2021 Broken Access Control). Масштабируема: новые роли добавляются без изменения архитектуры. Проверка роли — атрибутный доступ к уже загруженному объекту User, без дополнительных запросов к БД.</w:t>
      </w:r>
      <w:r/>
      <w:r/>
    </w:p>
    <w:p w14:paraId="71962B31">
      <w:pPr>
        <w:pStyle w:val="920"/>
        <w:numPr>
          <w:ilvl w:val="1"/>
          <w:numId w:val="1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Анализ компромиссов</w:t>
      </w:r>
      <w:r/>
      <w:r/>
    </w:p>
    <w:p w14:paraId="4D1227DF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Модульность vs. производительн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ость (НТ: время отклика ≤2 с). Разделение системы на модули с взаимодействием только через интерфейсы добавляет уровни косвенности (абстрактные интерфейсы, внедрение зависимостей). В монолите все вызовы остаются внутрипроцессными, поэтому накладные расходы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пренебрежимо малы и требование времени отклика не нарушается. Компромисс проявился бы при выделении модулей в отдельные сервисы: межсервисные сетевые вызовы увеличивают задержку — в этом случае применяются кэширование и оптимизация сетевых взаимодействий.</w:t>
      </w:r>
      <w:r/>
      <w:r/>
    </w:p>
    <w:p w14:paraId="681E77A9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Контейнеризация vs. сложность эксплуатации. Изоляция в контейнерах усложняет конфигурацию: требуется описывать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сетевые политики, тома и переменные окружения. Для текущего масштаба (один сервис приложения и одна БД) сложность невелика. При росте числа контейнеров управление сетевыми политиками усложнится — решением станут средства оркестрации, такие как Kubernetes.</w:t>
      </w:r>
      <w:r/>
      <w:r/>
    </w:p>
    <w:p w14:paraId="6117CE88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Контейнеризация vs. доступность (НТ: ≥99,5%). Запуск БД в отдельном контейнере добавляет сетевой слой между приложением 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хранилищем и формально ещё одну точку отказа. Компромисс принят: изоляция БД повышает безопасность (хранилище недоступно напрямую снаружи), а отказоустойчивость обеспечивается политикой перезапуска контейнеров (restart) и, при росте нагрузки, оркестрацией.</w:t>
      </w:r>
      <w:r/>
      <w:r/>
    </w:p>
    <w:p w14:paraId="32038A76">
      <w:pPr>
        <w:pBdr/>
        <w:spacing w:after="0" w:before="0" w:line="360" w:lineRule="auto"/>
        <w:ind w:firstLine="705"/>
        <w:jc w:val="both"/>
        <w:rPr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RBAC vs. масштабируемость. Роль хранится в таблице users — работает при любом количестве инстансов (общая БД). Компромисс: при росте числа ролей &gt;4 строковое поле потребует рефакторинга в таблицу roles. Для MVP двух ролей достаточно.</w:t>
      </w:r>
      <w:r>
        <w:rPr>
          <w:highlight w:val="none"/>
        </w:rPr>
      </w:r>
      <w:r>
        <w:rPr>
          <w:highlight w:val="none"/>
        </w:rPr>
      </w:r>
    </w:p>
    <w:p w14:paraId="6A6824AC">
      <w:pPr>
        <w:pStyle w:val="92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Обновлённые диаграммы C4</w:t>
      </w:r>
      <w:r>
        <w:t xml:space="preserve">-</w:t>
      </w:r>
      <w:r/>
    </w:p>
    <w:p w14:paraId="466151EC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рисунке 10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представлена обновлённая диаграмма контейнеров C4 (Level 2). </w:t>
      </w:r>
      <w:r/>
    </w:p>
    <w:p w14:paraId="2808C511">
      <w:pPr>
        <w:pBdr/>
        <w:spacing w:after="0" w:before="120" w:line="360" w:lineRule="auto"/>
        <w:ind w:firstLine="0"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333659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40711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120764" cy="33365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81.95pt;height:262.72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  <w:r/>
      <w:r/>
      <w:r/>
      <w:r/>
      <w:r/>
      <w:r/>
      <w:r/>
      <w:r/>
      <w:r/>
      <w:r/>
      <w:r/>
    </w:p>
    <w:p w14:paraId="2A2A57D9">
      <w:pPr>
        <w:pBdr/>
        <w:spacing w:after="120" w:before="80" w:line="360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10 – Обновлённая диаграмма контейнеров C4</w:t>
      </w:r>
      <w:r/>
      <w:r/>
    </w:p>
    <w:p w14:paraId="04B07428">
      <w:pPr>
        <w:pBdr/>
        <w:spacing w:after="0" w:before="0" w:line="360" w:lineRule="auto"/>
        <w:ind w:firstLine="705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рисунке 11 представлена диаграмма компонентов C4. 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2B5F2ACB">
      <w:pPr>
        <w:pStyle w:val="920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Атрибуты качества</w:t>
      </w:r>
      <w:r/>
      <w:r/>
    </w:p>
    <w:p w14:paraId="23F741AE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результате роста популярности NewNote бизнес-требования резко изменились:</w:t>
      </w:r>
      <w:r/>
      <w:r/>
    </w:p>
    <w:p w14:paraId="6C4F9AC9"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число пользователей выросло с 1†00 до 100†00+ за первые шесть месяцев;</w:t>
      </w:r>
      <w:r/>
      <w:r/>
    </w:p>
    <w:p w14:paraId="30015EFF"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заказчик требует доступности 99,9% — текущие 99,5% (≈4 ч/мес простоя) неприемлемы;</w:t>
      </w:r>
      <w:r/>
      <w:r/>
    </w:p>
    <w:p w14:paraId="57CB1917"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пиковая нагрузка в 20–30 раз превышает среднюю: монолит не справляется;</w:t>
      </w:r>
      <w:r/>
      <w:r/>
    </w:p>
    <w:p w14:paraId="525C006B"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команда выросла с 1 до 5 разработчиков: конфликты при слиянии кода в едином репозитории;</w:t>
      </w:r>
      <w:r/>
      <w:r/>
    </w:p>
    <w:p w14:paraId="0DBDBC10"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требуется независимая доставка функций: обновление логики заметок не должно затрагивать сервис аутентификации.</w:t>
      </w:r>
      <w:r/>
      <w:r/>
    </w:p>
    <w:p w14:paraId="10EA6178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Выбраны три приоритетных атрибута качества.</w:t>
      </w:r>
      <w:r/>
      <w:r/>
    </w:p>
    <w:p w14:paraId="783ADA3E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Масштабируемость (Scalability). В монолите масштабирование применяется ко всему приложению, даже если нагружен толь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ко один компонент. Notes-service несёт 80% нагрузки (CRUD), тогда как Auth-service загружен равномерно. В новой архитектуре каждый сервис масштабируется независимо. Метрика: notes-service — 2–10 реплик, auth-service — 1–5 реплик, без перезапуска остальных.</w:t>
      </w:r>
      <w:r/>
      <w:r/>
    </w:p>
    <w:p w14:paraId="26EF7EE7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Доступность (Availability). В монолите сбой лю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бого модуля вызывает полную недоступность системы. В микросервисной архитектуре реализована изоляция сбоев: отказ notification-service не влияет на CRUD-операции с заметками. Метрика: доступность повышается с 99,5% до 99,9% (с ≈4 ч до ≈44 мин/мес простоя).</w:t>
      </w:r>
      <w:r/>
      <w:r/>
    </w:p>
    <w:p w14:paraId="7DB97C0B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Сопровождаемость (Maintainability). Монолит привёл к тесной связанност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и: изменение в auth/models.py затрагивало notes/router.py. Растущая команда усиливает конфликты. Каждый микросервис имеет чётко определённую ответственность и независимо эволюционирует. Метрика: изменения в auth-service не требуют пересборки notes-service.</w:t>
      </w:r>
      <w:r/>
      <w:r/>
    </w:p>
    <w:p w14:paraId="4295E0FD">
      <w:pPr>
        <w:pStyle w:val="920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Новая архитектура</w:t>
      </w:r>
      <w:r/>
      <w:r/>
    </w:p>
    <w:p w14:paraId="09440614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Выбранный паттерн: Микросервисная архитектура с API Gateway. Переход обусловлен тремя атрибутами качества: масштабируемостью, доступностью и сопровождаемостью.</w:t>
      </w:r>
      <w:r/>
      <w:r/>
    </w:p>
    <w:p w14:paraId="2E88334A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Ключевые архитектурные решения:</w:t>
      </w:r>
      <w:r/>
      <w:r/>
    </w:p>
    <w:p w14:paraId="37A0CC37"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API Gateway — единая точка входа. Маршрутизирует запросы, проверяет JWT-токен, применяет Rate Limiting и Security Headers;</w:t>
      </w:r>
      <w:r/>
      <w:r/>
    </w:p>
    <w:p w14:paraId="405C82B2"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auth-service — микросервис аутентификации: регистрация, вход по e-mail/SMS, JWT, bcrypt, RBAC. Собственная Auth DB (PostgreSQL);</w:t>
      </w:r>
      <w:r/>
      <w:r/>
    </w:p>
    <w:p w14:paraId="40BB096E"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notes-service — микросервис заметок: CRUD, поиск, экспорт. Идентификатор пользователя получает из заголовков Gateway. Собственная Notes DB (PostgreSQL);</w:t>
      </w:r>
      <w:r/>
      <w:r/>
    </w:p>
    <w:p w14:paraId="01C18002"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notification-service — микросервис уведомлений: SMS и email. Изолирован; сбой не влияет на остальные сервисы;</w:t>
      </w:r>
      <w:r/>
      <w:r/>
    </w:p>
    <w:p w14:paraId="4D63DA18"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каждый сервис — отдельный Docker-образ; оркестрация через docker-compose (MVP) или Kubernetes (production).</w:t>
      </w:r>
      <w:r/>
      <w:r/>
    </w:p>
    <w:p w14:paraId="7C30E161">
      <w:pPr>
        <w:pBdr/>
        <w:spacing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Причины выбора перед альтернативами:</w:t>
      </w:r>
      <w:r/>
      <w:r/>
    </w:p>
    <w:p w14:paraId="5DA0E2D9"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вертикальное масштабирование монолита: ограничено физически и значительно дороже горизонтального;</w:t>
      </w:r>
      <w:r/>
      <w:r/>
    </w:p>
    <w:p w14:paraId="5803C2F3"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SOA с ESB: шина становится узким местом; микросервисы взаимодействуют напрямую — меньше латентность;</w:t>
      </w:r>
      <w:r/>
      <w:r/>
    </w:p>
    <w:p w14:paraId="377BF965"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модульный монолит: решает сопровождаемость, но не позволяет масштабировать компоненты независимо.</w:t>
      </w:r>
      <w:r/>
      <w:r/>
    </w:p>
    <w:p w14:paraId="163FBF78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Диаграммы контекста C4 для старой (рисунок 12) и новой (рисунок 13) архитектуры:</w:t>
      </w:r>
      <w:r/>
      <w:r/>
    </w:p>
    <w:p w14:paraId="687315CE">
      <w:pPr>
        <w:pBdr/>
        <w:spacing w:after="0" w:before="120" w:line="360" w:lineRule="auto"/>
        <w:ind w:firstLine="0"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5709" cy="4832177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4035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5405709" cy="48321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25.65pt;height:380.49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  <w:r/>
      <w:r/>
    </w:p>
    <w:p w14:paraId="60BA669C">
      <w:pPr>
        <w:pBdr/>
        <w:spacing w:after="120" w:before="80" w:line="360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12 – Старая архитектура: диаграмма контекста C4 (Level 1)</w:t>
      </w:r>
      <w:r/>
      <w:r/>
    </w:p>
    <w:p w14:paraId="7C450CDB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Диаграмма контейнеров новой архитектуры C4 (Level 2) представлена на рисунке 1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/>
      <w:r/>
    </w:p>
    <w:p w14:paraId="69B2320E">
      <w:pPr>
        <w:pBdr/>
        <w:spacing w:after="0" w:before="12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80000" cy="2820000"/>
                <wp:effectExtent l="0" t="0" r="0" b="0"/>
                <wp:docPr id="12" name="im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4464111" name="im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079999" cy="2819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00.00pt;height:222.0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  <w:r/>
    </w:p>
    <w:p w14:paraId="59925774"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Новая архитектура: диаграмма контейнеров C4 (Level 2)</w:t>
      </w:r>
      <w:r/>
      <w:r/>
    </w:p>
    <w:p w14:paraId="02469A98">
      <w:pPr>
        <w:pStyle w:val="920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Описание архитектуры в нотации 4+1</w:t>
      </w:r>
      <w:r/>
      <w:r/>
    </w:p>
    <w:p w14:paraId="26E24966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Архитектурная нотация 4+1 описывает систему через пять взаимосвязанных представлений: Logical View (логическое), Process View (процессное), Physical View (физическое), Development View (представление разработки) и Scenarios (сценарии).</w:t>
      </w:r>
      <w:r/>
      <w:r/>
    </w:p>
    <w:p w14:paraId="2DE75A12">
      <w:pPr>
        <w:pBdr/>
        <w:spacing w:after="0" w:before="0" w:line="360" w:lineRule="auto"/>
        <w:ind/>
        <w:rPr/>
      </w:pPr>
      <w:r/>
      <w:r/>
      <w:r/>
    </w:p>
    <w:p w14:paraId="35BDCB7D">
      <w:pPr>
        <w:pStyle w:val="92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Logical View (Логическое представление)</w:t>
      </w:r>
      <w:r/>
      <w:r/>
    </w:p>
    <w:p w14:paraId="792AF9C2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Отвечает на вопрос: какова функциональная декомпозиция системы? Система разбита на четыре микросервиса, каждый инкапсулирует собственный поддомен.</w:t>
      </w:r>
      <w:r/>
      <w:r/>
    </w:p>
    <w:p w14:paraId="59FC09B3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api_gateway — маршрутизация и сквозные аспекты: проверка JWT, Rate Limiting (5 запросов / 60 с / IP), Security Headers (CSP, HSTS, X-Frame-Options). Не содержит бизнес-логики.</w:t>
      </w:r>
      <w:r/>
      <w:r/>
    </w:p>
    <w:p w14:paraId="11B2EE7B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auth_service — домен идентификации: регистрация, вход по e-mail/паролю, SMS OTP, JWT-токен с полем role (USER/ADMIN). Внутри применены SRP-классы: PasswordService (bcrypt), TokenService (JWT), OtpService (генератор кода).</w:t>
      </w:r>
      <w:r/>
      <w:r/>
    </w:p>
    <w:p w14:paraId="03DC8A7E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notes_service — домен заметок: CRUD, поиск по заголовку, экспорт (txt/json). Реализует RBAC через заголовки X-User-Id и X-User-Role от Gateway. Содержит INoteReader и INoteWriter (ISP), NoteRepository (DIP).</w:t>
      </w:r>
      <w:r/>
      <w:r/>
    </w:p>
    <w:p w14:paraId="14A5FC55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notification_service — доставка уведомлений: SMS и email. В MVP — HTTP-эндпоинт POST /notify; в production — потребитель очереди RabbitMQ. Изолирован: его сбой не влияет на остальные сервисы.</w:t>
      </w:r>
      <w:r/>
      <w:r/>
    </w:p>
    <w:p w14:paraId="6347E9E5">
      <w:pPr>
        <w:pStyle w:val="92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Process View (Процессное представление)</w:t>
      </w:r>
      <w:r/>
      <w:r/>
    </w:p>
    <w:p w14:paraId="0E082FD0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Отвечает на вопрос: как система ведёт себя во время выполнения?</w:t>
      </w:r>
      <w:r/>
      <w:r/>
    </w:p>
    <w:p w14:paraId="0BC57CBF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Диаграмма последоват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ельности аутентификации (рисунок 15). Клиент отправляет POST /auth/login. API Gateway применяет Rate Limit, проксирует в auth-service. Auth-service запрашивает пользователя из Auth DB, проверяет bcrypt, генерирует JWT с полями sub и role, возвращает токен.</w:t>
      </w:r>
      <w:r/>
      <w:r/>
    </w:p>
    <w:p w14:paraId="23539871">
      <w:pPr>
        <w:pBdr/>
        <w:spacing w:after="0" w:before="12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2413200"/>
                <wp:effectExtent l="0" t="0" r="0" b="0"/>
                <wp:docPr id="13" name="im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1706849" name="im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4572000" cy="2413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60.00pt;height:190.02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  <w:r/>
    </w:p>
    <w:p w14:paraId="5DFBD4AD"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15 – Диаграмма последовательности: аутентификация</w:t>
      </w:r>
      <w:r/>
      <w:r/>
    </w:p>
    <w:p w14:paraId="64F5AB6D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Диаграмма последовательности создания заме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тки (рисунок 16). Клиент отправляет POST /notes/ с токеном. Gateway проверяет токен, добавляет X-User-Id и X-User-Role, проксирует в notes-service. Notes-service сохраняет заметку в Notes DB, асинхронно уведомляет notification-service, возвращает HTTP 201.</w:t>
      </w:r>
      <w:r/>
      <w:r/>
    </w:p>
    <w:p w14:paraId="133B9A2B">
      <w:pPr>
        <w:pBdr/>
        <w:spacing w:after="0" w:before="12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07760" cy="2540000"/>
                <wp:effectExtent l="0" t="0" r="0" b="0"/>
                <wp:docPr id="14" name="im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3213199" name="im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207760" cy="2539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10.06pt;height:200.0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/>
      <w:r/>
    </w:p>
    <w:p w14:paraId="4E04E2D3"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16 – Диаграмма последовательности: создание заметки</w:t>
      </w:r>
      <w:r/>
      <w:r/>
    </w:p>
    <w:p w14:paraId="2C66B44E">
      <w:pPr>
        <w:pStyle w:val="92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Physical View (Физическое представление)</w:t>
      </w:r>
      <w:r/>
      <w:r/>
    </w:p>
    <w:p w14:paraId="15554FF8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Отвечает на вопрос: как система развёртывается? Каждый микросервис — Docker-контейнер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Конфигурация описана в docker-compose.yml. В production notes-service масштабируется горизонтально (2–10 реплик) за балансировщиком нагрузки. Stateless-природа сервисов позволяет добавлять реплики без изменения кода. Диаграмма развёртывания — рисунок 17.</w:t>
      </w:r>
      <w:r/>
      <w:r/>
    </w:p>
    <w:p w14:paraId="7C4280D4">
      <w:pPr>
        <w:pBdr/>
        <w:spacing w:after="0" w:before="12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07760" cy="2667600"/>
                <wp:effectExtent l="0" t="0" r="0" b="0"/>
                <wp:docPr id="15" name="im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8173045" name="im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207760" cy="2667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10.06pt;height:210.05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/>
      <w:r/>
    </w:p>
    <w:p w14:paraId="3132DB2A"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17 – Диаграмма развёртывания</w:t>
      </w:r>
      <w:r/>
      <w:r/>
    </w:p>
    <w:p w14:paraId="0D891E32">
      <w:pPr>
        <w:pStyle w:val="92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Development View (Представление разработки)</w:t>
      </w:r>
      <w:r/>
      <w:r/>
    </w:p>
    <w:p w14:paraId="371A4B3E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Отвечает на вопрос: как организован исходный код? Каждый микросервис — отдельный Python-пакет (принцип Package by Feature / CCP). Каждый сервис имеет собственный Dockerfile 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requirements.txt. Разработчики работают в изолированных ветках: изменения в auth_service/ не вызывают конфликтов в notes_service/. Принципы SOLID и паттерны проектирования, реализованные ранее, сохранены внутри каждого сервиса. Структура кода — рисунок 18.</w:t>
      </w:r>
      <w:r/>
      <w:r/>
    </w:p>
    <w:p w14:paraId="0305715D">
      <w:pPr>
        <w:pBdr/>
        <w:spacing w:after="0" w:before="12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53600" cy="2413200"/>
                <wp:effectExtent l="0" t="0" r="0" b="0"/>
                <wp:docPr id="16" name="im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1281981" name="im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4953600" cy="2413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90.05pt;height:190.02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/>
      <w:r/>
    </w:p>
    <w:p w14:paraId="0D19FD2A"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18 – Структура кода (Development View)</w:t>
      </w:r>
      <w:r/>
      <w:r/>
    </w:p>
    <w:p w14:paraId="7D6B9702">
      <w:pPr>
        <w:pStyle w:val="92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Scenarios (Сценарии использования)</w:t>
      </w:r>
      <w:r/>
      <w:r/>
    </w:p>
    <w:p w14:paraId="2430BC50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Связывает все представления через ключевые сценарии.</w:t>
      </w:r>
      <w:r/>
      <w:r/>
    </w:p>
    <w:p w14:paraId="77073E88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Регистрация пользователя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Предусловие: не зарегистрирован. Поток: клиент POST /auth/register → API Gateway (Rate Limit) → auth-service (check email unique, bcrypt hash, save to Auth DB) → JWT-токен. Альтернативный поток: email занят → HTTP 400.</w:t>
      </w:r>
      <w:r/>
      <w:r/>
    </w:p>
    <w:p w14:paraId="7D034CF3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Аутентификация по e-mail.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Предусловие: зарегистрирован. Поток: POST /auth/login → Rate Limit → auth-service (SELECT user, bcrypt.verify, jwt.encode) → токен. Альтернативный: неверный пароль → 401; превышен лимит → 429.</w:t>
      </w:r>
      <w:r/>
      <w:r/>
    </w:p>
    <w:p w14:paraId="4DE44181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Создание заметки.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Предусловие: аутентифицирован. Поток: POST /notes/ + Bearer token → Gateway (jwt.decode, add X-User-Id/Role) → notes-service (validate, INSERT Notes DB, notify) → 201 Created. Альтернативный: пустой title → 422; невалидный токен → 401.</w:t>
      </w:r>
      <w:r/>
      <w:r/>
    </w:p>
    <w:p w14:paraId="218EC8BD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Просмотр заметок администратором.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Предусловие: role=admin. Поток: GET /notes/?owner_id=X → Gateway (role=admin) → notes-service (фильтр по owner_id разрешён) → список заметок. Альтернативный: role=user → 403 Forbidden.</w:t>
      </w:r>
      <w:r/>
      <w:r/>
    </w:p>
    <w:p>
      <w:pPr>
        <w:suppressLineNumbers w:val="false"/>
        <w:pBdr/>
        <w:spacing w:after="240" w:before="240" w:line="360" w:lineRule="auto"/>
        <w:ind w:firstLine="72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Заключение</w:t>
      </w:r>
      <w:r/>
    </w:p>
    <w:p w14:paraId="2AADBA62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ходе выполнения восьми лабораторных раб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от была полностью спроектирована и реализована система NewNote. </w:t>
      </w:r>
      <w:r>
        <w:t xml:space="preserve">Для </w:t>
      </w:r>
      <w:r>
        <w:t xml:space="preserve">визуализации взаимодействия пользователей с системой была построена UML-диаграмма вариантов использования</w:t>
      </w:r>
      <w:r>
        <w:t xml:space="preserve">.</w:t>
      </w:r>
      <w:r>
        <w:t xml:space="preserve"> </w:t>
      </w:r>
      <w:r/>
    </w:p>
    <w:p w14:paraId="3FE0EBB1">
      <w:pPr>
        <w:pBdr/>
        <w:spacing/>
        <w:ind/>
        <w:rPr>
          <w:highlight w:val="none"/>
        </w:rPr>
      </w:pPr>
      <w:r>
        <w:t xml:space="preserve">Был составлен список требований для проектирования на следующих уровнях: бизнес-требования, требования пользователей, функциональные требования, нефункциональные требования</w:t>
      </w:r>
      <w: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37662621"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рамках третьей работы был выбран и обоснован архитектурный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паттерн – монолит с послойной структурой. Выбор обоснован в формате ADR: монолит соответствует масштабу задачи (малая команда, ограниченный срок, низкая ожидаемая нагрузка), обеспечивает простоту разработки и развёртывания. Рассмотренные альтернативы (микр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осервисы, событийно-ориентированная архитектура, SOA) признаны избыточными для данного проекта. Реализована структура проекта на Python FastAPI: определены ORM-модели, Pydantic-схемы, маршрутизаторы аутентификации и заметок, а также вспомогательные модули.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D88D416"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рамках четвёртой работ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ы выполнено проектирование на высоком уровне абстракции. Система NewNote разбита на четыре ограниченных контекста: смысловое ядро (Note Management), вспомогательная подобласть (User Profile) и две общих подобласти (User Identity, Notification). Построена 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арта контекстов по методологии DDD с указанием типов связей (Customer-Supplier). Для смыслового ядра и вспомогательной подобласти аутентификации составлены диаграммы контекста нотации C4 первого уровня с описанием всех участвующих акторов и внешних систем.</w:t>
      </w:r>
      <w:r/>
    </w:p>
    <w:p w14:paraId="2FF79AD4">
      <w:pPr>
        <w:pBdr/>
        <w:spacing/>
        <w:ind/>
        <w:rPr/>
      </w:pPr>
      <w:r>
        <w:t xml:space="preserve">Было реализовано</w:t>
      </w:r>
      <w:r>
        <w:t xml:space="preserve"> в коде </w:t>
      </w:r>
      <w:r>
        <w:t xml:space="preserve">три паттерна проектирования (</w:t>
      </w:r>
      <w:r>
        <w:t xml:space="preserve">по одному для каждого вида</w:t>
      </w:r>
      <w:r>
        <w:t xml:space="preserve">), построена </w:t>
      </w:r>
      <w:r>
        <w:t xml:space="preserve">UML-ди</w:t>
      </w:r>
      <w:r>
        <w:t xml:space="preserve">аграмму классов для написанного, обоснован </w:t>
      </w:r>
      <w:r>
        <w:t xml:space="preserve">выбор реализованных паттернов проектирования и </w:t>
      </w:r>
      <w:r>
        <w:t xml:space="preserve">приведено</w:t>
      </w:r>
      <w:r>
        <w:t xml:space="preserve"> 3 примера паттернов, которые в данном случае было бы использовать.</w:t>
      </w:r>
      <w:r/>
      <w:r/>
    </w:p>
    <w:p w14:paraId="786793C1">
      <w:pPr>
        <w:pBdr/>
        <w:spacing/>
        <w:ind/>
        <w:rPr/>
      </w:pPr>
      <w:r>
        <w:t xml:space="preserve">Было реализовано 3 принципа</w:t>
      </w:r>
      <w:r>
        <w:t xml:space="preserve"> SOLID</w:t>
      </w:r>
      <w:r>
        <w:t xml:space="preserve"> и 4 принципа </w:t>
      </w:r>
      <w:r>
        <w:t xml:space="preserve">организации </w:t>
      </w:r>
      <w:r>
        <w:t xml:space="preserve">компонентов.</w:t>
      </w:r>
      <w:r/>
      <w:r/>
    </w:p>
    <w:p w14:paraId="7B96C458">
      <w:pPr>
        <w:pBdr/>
        <w:spacing/>
        <w:ind/>
        <w:rPr>
          <w:highlight w:val="none"/>
        </w:rPr>
      </w:pPr>
      <w:r>
        <w:t xml:space="preserve">Было реализовано три способа обеспечения безопасности проекта.</w:t>
      </w:r>
      <w:r/>
      <w:r/>
    </w:p>
    <w:p w14:paraId="393CC7F0">
      <w:pPr>
        <w:pBdr/>
        <w:spacing/>
        <w:ind/>
        <w:rPr/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Был 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ыполнен переход от монолита к микросервисной архитектуре.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Приоритетные атрибуты качества: масштабируемость (независимые реплики сервисов), доступность (с 99,5% до 99,9% за счёт изоляции сбоев), сопровождаемость (независимые паке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ты и CI/CD). Реализованы четыре сервиса: api_gateway, auth_service, notes_service, notification_service. Архитектура описана в нотации 4+1 с семью диаграммами: контекст (old/new), контейнеры, две диаграммы последовательности, развёртывание, структура кода.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133" w:right="567" w:bottom="1133" w:left="17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Times New Roman" w:hAnsi="Times New Roman" w:eastAsia="Times New Roman" w:cs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A57547">
    <w:pPr>
      <w:pStyle w:val="901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nsid w:val="236E3464"/>
    <w:lvl w:ilvl="0">
      <w:isLgl w:val="false"/>
      <w:lvlJc w:val="left"/>
      <w:lvlText w:val="‒"/>
      <w:numFmt w:val="bullet"/>
      <w:pPr>
        <w:pBdr/>
        <w:spacing/>
        <w:ind w:hanging="360" w:left="1126"/>
      </w:pPr>
      <w:pStyle w:val="927"/>
      <w:rPr>
        <w:rFonts w:ascii="Times New Roman" w:hAnsi="Times New Roman" w:cs="Times New Roman"/>
        <w:b w:val="0"/>
        <w:bCs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84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6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8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0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72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44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6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8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DAB21E8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1">
      <w:isLgl w:val="false"/>
      <w:lvlJc w:val="left"/>
      <w:lvlText w:val="1.%2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>
        <w:rFonts w:hint="default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>
        <w:rFonts w:hint="default"/>
      </w:rPr>
      <w:start w:val="1"/>
      <w:suff w:val="tab"/>
    </w:lvl>
  </w:abstractNum>
  <w:abstractNum w:abstractNumId="3">
    <w:nsid w:val="63AB70DF"/>
    <w:lvl w:ilvl="0">
      <w:isLgl w:val="false"/>
      <w:lvlJc w:val="left"/>
      <w:lvlText w:val="-"/>
      <w:numFmt w:val="bullet"/>
      <w:pPr>
        <w:pBdr/>
        <w:spacing/>
        <w:ind w:firstLine="709" w:left="0"/>
      </w:pPr>
      <w:rPr>
        <w:rFonts w:hint="default" w:ascii="Times New Roman" w:hAnsi="Times New Roman" w:cs="Times New Roman" w:eastAsiaTheme="minorHAnsi"/>
      </w:rPr>
      <w:start w:val="0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4">
    <w:nsid w:val="5DAB21E8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1">
      <w:isLgl w:val="false"/>
      <w:lvlJc w:val="left"/>
      <w:lvlText w:val="1.%2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>
        <w:rFonts w:hint="default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>
        <w:rFonts w:hint="default"/>
      </w:rPr>
      <w:start w:val="1"/>
      <w:suff w:val="tab"/>
    </w:lvl>
  </w:abstractNum>
  <w:abstractNum w:abstractNumId="5">
    <w:nsid w:val="5F0B53ED"/>
    <w:lvl w:ilvl="0">
      <w:isLgl w:val="false"/>
      <w:lvlJc w:val="left"/>
      <w:lvlText w:val="%1"/>
      <w:numFmt w:val="decimal"/>
      <w:pPr>
        <w:pBdr/>
        <w:spacing/>
        <w:ind w:hanging="709" w:left="1429"/>
      </w:pPr>
      <w:pStyle w:val="920"/>
      <w:rPr/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20" w:left="0"/>
      </w:pPr>
      <w:pStyle w:val="920"/>
      <w:rPr/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6">
    <w:nsid w:val="583F3C21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4"/>
      <w:suff w:val="space"/>
    </w:lvl>
    <w:lvl w:ilvl="1">
      <w:isLgl w:val="false"/>
      <w:lvlJc w:val="left"/>
      <w:lvlText w:val="5.%2"/>
      <w:numFmt w:val="decimal"/>
      <w:pPr>
        <w:pBdr/>
        <w:spacing/>
        <w:ind w:firstLine="709" w:left="0"/>
      </w:pPr>
      <w:pStyle w:val="921"/>
      <w:rPr>
        <w:rFonts w:hint="default"/>
        <w:b/>
        <w:color w:val="000000" w:themeColor="text1"/>
        <w:sz w:val="28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abstractNum w:abstractNumId="7">
    <w:nsid w:val="15D893F7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4"/>
      <w:suff w:val="space"/>
    </w:lvl>
    <w:lvl w:ilvl="1">
      <w:isLgl w:val="false"/>
      <w:lvlJc w:val="left"/>
      <w:lvlText w:val="5.%2"/>
      <w:numFmt w:val="decimal"/>
      <w:pPr>
        <w:pBdr/>
        <w:spacing/>
        <w:ind w:firstLine="709" w:left="0"/>
      </w:pPr>
      <w:pStyle w:val="921"/>
      <w:rPr>
        <w:rFonts w:hint="default"/>
        <w:b/>
        <w:color w:val="000000" w:themeColor="text1"/>
        <w:sz w:val="28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abstractNum w:abstractNumId="8">
    <w:nsid w:val="6DC83BD6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4"/>
      <w:suff w:val="space"/>
    </w:lvl>
    <w:lvl w:ilvl="1">
      <w:isLgl w:val="false"/>
      <w:lvlJc w:val="left"/>
      <w:lvlText w:val="5.%2"/>
      <w:numFmt w:val="decimal"/>
      <w:pPr>
        <w:pBdr/>
        <w:spacing/>
        <w:ind w:firstLine="709" w:left="0"/>
      </w:pPr>
      <w:pStyle w:val="921"/>
      <w:rPr>
        <w:rFonts w:hint="default"/>
        <w:b/>
        <w:color w:val="000000" w:themeColor="text1"/>
        <w:sz w:val="28"/>
      </w:rPr>
      <w:start w:val="2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abstractNum w:abstractNumId="9">
    <w:nsid w:val="6A043AB7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4"/>
      <w:suff w:val="space"/>
    </w:lvl>
    <w:lvl w:ilvl="1">
      <w:isLgl w:val="false"/>
      <w:lvlJc w:val="left"/>
      <w:lvlText w:val="5.%2"/>
      <w:numFmt w:val="decimal"/>
      <w:pPr>
        <w:pBdr/>
        <w:spacing/>
        <w:ind w:firstLine="709" w:left="0"/>
      </w:pPr>
      <w:pStyle w:val="921"/>
      <w:rPr>
        <w:rFonts w:hint="default"/>
        <w:b/>
        <w:color w:val="000000" w:themeColor="text1"/>
        <w:sz w:val="28"/>
      </w:rPr>
      <w:start w:val="3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abstractNum w:abstractNumId="10">
    <w:nsid w:val="03C5940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583F3C21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4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abstractNum w:abstractNumId="12">
    <w:nsid w:val="63AB70DF"/>
    <w:lvl w:ilvl="0">
      <w:isLgl w:val="false"/>
      <w:lvlJc w:val="left"/>
      <w:lvlText w:val="-"/>
      <w:numFmt w:val="bullet"/>
      <w:pPr>
        <w:pBdr/>
        <w:spacing/>
        <w:ind w:firstLine="709" w:left="0"/>
      </w:pPr>
      <w:rPr>
        <w:rFonts w:hint="default" w:ascii="Times New Roman" w:hAnsi="Times New Roman" w:cs="Times New Roman" w:eastAsiaTheme="minorHAnsi"/>
      </w:rPr>
      <w:start w:val="0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13">
    <w:nsid w:val="236E3464"/>
    <w:lvl w:ilvl="0">
      <w:isLgl w:val="false"/>
      <w:lvlJc w:val="left"/>
      <w:lvlText w:val="‒"/>
      <w:numFmt w:val="bullet"/>
      <w:pPr>
        <w:pBdr/>
        <w:spacing/>
        <w:ind w:hanging="360" w:left="1126"/>
      </w:pPr>
      <w:rPr>
        <w:rFonts w:ascii="Times New Roman" w:hAnsi="Times New Roman" w:cs="Times New Roman"/>
        <w:b w:val="0"/>
        <w:bCs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84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6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8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0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72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44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6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8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5F0B53ED"/>
    <w:lvl w:ilvl="0">
      <w:isLgl w:val="false"/>
      <w:lvlJc w:val="left"/>
      <w:lvlText w:val="%1"/>
      <w:numFmt w:val="decimal"/>
      <w:pPr>
        <w:pBdr/>
        <w:spacing/>
        <w:ind w:hanging="709" w:left="1429"/>
      </w:pPr>
      <w:rPr/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20" w:left="0"/>
      </w:pPr>
      <w:rPr/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5">
    <w:nsid w:val="5F0B53ED"/>
    <w:lvl w:ilvl="0">
      <w:isLgl w:val="false"/>
      <w:lvlJc w:val="left"/>
      <w:lvlText w:val="%1"/>
      <w:numFmt w:val="decimal"/>
      <w:pPr>
        <w:pBdr/>
        <w:spacing/>
        <w:ind w:hanging="709" w:left="1429"/>
      </w:pPr>
      <w:rPr/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20" w:left="0"/>
      </w:pPr>
      <w:rPr/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6">
    <w:nsid w:val="236E3464"/>
    <w:lvl w:ilvl="0">
      <w:isLgl w:val="false"/>
      <w:lvlJc w:val="left"/>
      <w:lvlText w:val="‒"/>
      <w:numFmt w:val="bullet"/>
      <w:pPr>
        <w:pBdr/>
        <w:spacing/>
        <w:ind w:hanging="360" w:left="1126"/>
      </w:pPr>
      <w:rPr>
        <w:rFonts w:ascii="Times New Roman" w:hAnsi="Times New Roman" w:cs="Times New Roman"/>
        <w:b w:val="0"/>
        <w:bCs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84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6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8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0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72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44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6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86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Table Grid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Table Grid Light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1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2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1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2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3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4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5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6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1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2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3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4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5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6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1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2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3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4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5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6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2" w:default="1">
    <w:name w:val="Normal"/>
    <w:qFormat/>
    <w:pPr>
      <w:suppressLineNumbers w:val="false"/>
      <w:pBdr/>
      <w:spacing w:line="360" w:lineRule="auto"/>
      <w:ind w:firstLine="720"/>
    </w:pPr>
  </w:style>
  <w:style w:type="paragraph" w:styleId="873">
    <w:name w:val="Heading 7"/>
    <w:basedOn w:val="872"/>
    <w:next w:val="872"/>
    <w:link w:val="88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4">
    <w:name w:val="Heading 8"/>
    <w:basedOn w:val="872"/>
    <w:next w:val="872"/>
    <w:link w:val="88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5">
    <w:name w:val="Heading 9"/>
    <w:basedOn w:val="872"/>
    <w:next w:val="872"/>
    <w:link w:val="88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6" w:default="1">
    <w:name w:val="Default Paragraph Font"/>
    <w:uiPriority w:val="1"/>
    <w:semiHidden/>
    <w:unhideWhenUsed/>
    <w:pPr>
      <w:pBdr/>
      <w:spacing/>
      <w:ind/>
    </w:pPr>
  </w:style>
  <w:style w:type="numbering" w:styleId="877" w:default="1">
    <w:name w:val="No List"/>
    <w:uiPriority w:val="99"/>
    <w:semiHidden/>
    <w:unhideWhenUsed/>
    <w:pPr>
      <w:pBdr/>
      <w:spacing/>
      <w:ind/>
    </w:pPr>
  </w:style>
  <w:style w:type="character" w:styleId="878">
    <w:name w:val="Heading 1 Char"/>
    <w:basedOn w:val="876"/>
    <w:link w:val="9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9">
    <w:name w:val="Heading 2 Char"/>
    <w:basedOn w:val="876"/>
    <w:link w:val="9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0">
    <w:name w:val="Heading 3 Char"/>
    <w:basedOn w:val="876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1">
    <w:name w:val="Heading 4 Char"/>
    <w:basedOn w:val="876"/>
    <w:link w:val="92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2">
    <w:name w:val="Heading 5 Char"/>
    <w:basedOn w:val="876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3">
    <w:name w:val="Heading 6 Char"/>
    <w:basedOn w:val="876"/>
    <w:link w:val="92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4">
    <w:name w:val="Heading 7 Char"/>
    <w:basedOn w:val="876"/>
    <w:link w:val="87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5">
    <w:name w:val="Heading 8 Char"/>
    <w:basedOn w:val="876"/>
    <w:link w:val="87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6">
    <w:name w:val="Heading 9 Char"/>
    <w:basedOn w:val="876"/>
    <w:link w:val="8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7">
    <w:name w:val="Title Char"/>
    <w:basedOn w:val="876"/>
    <w:link w:val="91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8">
    <w:name w:val="Subtitle"/>
    <w:basedOn w:val="872"/>
    <w:next w:val="872"/>
    <w:link w:val="88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9">
    <w:name w:val="Subtitle Char"/>
    <w:basedOn w:val="876"/>
    <w:link w:val="88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0">
    <w:name w:val="Quote"/>
    <w:basedOn w:val="872"/>
    <w:next w:val="872"/>
    <w:link w:val="89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1">
    <w:name w:val="Quote Char"/>
    <w:basedOn w:val="876"/>
    <w:link w:val="89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2">
    <w:name w:val="Intense Emphasis"/>
    <w:basedOn w:val="87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3">
    <w:name w:val="Intense Quote"/>
    <w:basedOn w:val="872"/>
    <w:next w:val="872"/>
    <w:link w:val="89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4">
    <w:name w:val="Intense Quote Char"/>
    <w:basedOn w:val="876"/>
    <w:link w:val="89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5">
    <w:name w:val="Intense Reference"/>
    <w:basedOn w:val="87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6">
    <w:name w:val="No Spacing"/>
    <w:basedOn w:val="872"/>
    <w:uiPriority w:val="1"/>
    <w:qFormat/>
    <w:pPr>
      <w:suppressLineNumbers w:val="false"/>
      <w:pBdr/>
      <w:spacing w:after="0" w:line="300" w:lineRule="auto"/>
      <w:ind w:firstLine="0"/>
      <w:jc w:val="center"/>
    </w:pPr>
    <w:rPr>
      <w:rFonts w:eastAsia="Times New Roman" w:cs="Times New Roman"/>
      <w:color w:val="auto"/>
      <w:szCs w:val="28"/>
      <w:lang w:eastAsia="ru-RU"/>
    </w:rPr>
  </w:style>
  <w:style w:type="character" w:styleId="897">
    <w:name w:val="Subtle Emphasis"/>
    <w:basedOn w:val="87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8">
    <w:name w:val="Emphasis"/>
    <w:basedOn w:val="876"/>
    <w:uiPriority w:val="20"/>
    <w:qFormat/>
    <w:pPr>
      <w:pBdr/>
      <w:spacing/>
      <w:ind/>
    </w:pPr>
    <w:rPr>
      <w:i/>
      <w:iCs/>
    </w:rPr>
  </w:style>
  <w:style w:type="character" w:styleId="899">
    <w:name w:val="Subtle Reference"/>
    <w:basedOn w:val="87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0">
    <w:name w:val="Book Title"/>
    <w:basedOn w:val="87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1">
    <w:name w:val="Header"/>
    <w:basedOn w:val="872"/>
    <w:link w:val="90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2">
    <w:name w:val="Header Char"/>
    <w:basedOn w:val="876"/>
    <w:link w:val="901"/>
    <w:uiPriority w:val="99"/>
    <w:pPr>
      <w:pBdr/>
      <w:spacing/>
      <w:ind/>
    </w:pPr>
  </w:style>
  <w:style w:type="paragraph" w:styleId="903">
    <w:name w:val="Footer"/>
    <w:basedOn w:val="872"/>
    <w:link w:val="90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4">
    <w:name w:val="Footer Char"/>
    <w:basedOn w:val="876"/>
    <w:link w:val="903"/>
    <w:uiPriority w:val="99"/>
    <w:pPr>
      <w:pBdr/>
      <w:spacing/>
      <w:ind/>
    </w:pPr>
  </w:style>
  <w:style w:type="paragraph" w:styleId="905">
    <w:name w:val="Caption"/>
    <w:basedOn w:val="872"/>
    <w:next w:val="87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906">
    <w:name w:val="FollowedHyperlink"/>
    <w:basedOn w:val="87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7">
    <w:name w:val="toc 1"/>
    <w:basedOn w:val="872"/>
    <w:next w:val="872"/>
    <w:uiPriority w:val="39"/>
    <w:unhideWhenUsed/>
    <w:pPr>
      <w:pBdr/>
      <w:spacing w:after="100"/>
      <w:ind/>
    </w:pPr>
  </w:style>
  <w:style w:type="paragraph" w:styleId="908">
    <w:name w:val="toc 2"/>
    <w:basedOn w:val="872"/>
    <w:next w:val="872"/>
    <w:uiPriority w:val="39"/>
    <w:unhideWhenUsed/>
    <w:pPr>
      <w:pBdr/>
      <w:spacing w:after="100"/>
      <w:ind w:left="220"/>
    </w:pPr>
  </w:style>
  <w:style w:type="paragraph" w:styleId="909">
    <w:name w:val="toc 3"/>
    <w:basedOn w:val="872"/>
    <w:next w:val="872"/>
    <w:uiPriority w:val="39"/>
    <w:unhideWhenUsed/>
    <w:pPr>
      <w:pBdr/>
      <w:spacing w:after="100"/>
      <w:ind w:left="440"/>
    </w:pPr>
  </w:style>
  <w:style w:type="paragraph" w:styleId="910">
    <w:name w:val="toc 4"/>
    <w:basedOn w:val="872"/>
    <w:next w:val="872"/>
    <w:uiPriority w:val="39"/>
    <w:unhideWhenUsed/>
    <w:pPr>
      <w:pBdr/>
      <w:spacing w:after="100"/>
      <w:ind w:left="660"/>
    </w:pPr>
  </w:style>
  <w:style w:type="paragraph" w:styleId="911">
    <w:name w:val="toc 5"/>
    <w:basedOn w:val="872"/>
    <w:next w:val="872"/>
    <w:uiPriority w:val="39"/>
    <w:unhideWhenUsed/>
    <w:pPr>
      <w:pBdr/>
      <w:spacing w:after="100"/>
      <w:ind w:left="880"/>
    </w:pPr>
  </w:style>
  <w:style w:type="paragraph" w:styleId="912">
    <w:name w:val="toc 6"/>
    <w:basedOn w:val="872"/>
    <w:next w:val="872"/>
    <w:uiPriority w:val="39"/>
    <w:unhideWhenUsed/>
    <w:pPr>
      <w:pBdr/>
      <w:spacing w:after="100"/>
      <w:ind w:left="1100"/>
    </w:pPr>
  </w:style>
  <w:style w:type="paragraph" w:styleId="913">
    <w:name w:val="toc 7"/>
    <w:basedOn w:val="872"/>
    <w:next w:val="872"/>
    <w:uiPriority w:val="39"/>
    <w:unhideWhenUsed/>
    <w:pPr>
      <w:pBdr/>
      <w:spacing w:after="100"/>
      <w:ind w:left="1320"/>
    </w:pPr>
  </w:style>
  <w:style w:type="paragraph" w:styleId="914">
    <w:name w:val="toc 8"/>
    <w:basedOn w:val="872"/>
    <w:next w:val="872"/>
    <w:uiPriority w:val="39"/>
    <w:unhideWhenUsed/>
    <w:pPr>
      <w:pBdr/>
      <w:spacing w:after="100"/>
      <w:ind w:left="1540"/>
    </w:pPr>
  </w:style>
  <w:style w:type="paragraph" w:styleId="915">
    <w:name w:val="toc 9"/>
    <w:basedOn w:val="872"/>
    <w:next w:val="872"/>
    <w:uiPriority w:val="39"/>
    <w:unhideWhenUsed/>
    <w:pPr>
      <w:pBdr/>
      <w:spacing w:after="100"/>
      <w:ind w:left="1760"/>
    </w:pPr>
  </w:style>
  <w:style w:type="character" w:styleId="916">
    <w:name w:val="Placeholder Text"/>
    <w:basedOn w:val="876"/>
    <w:uiPriority w:val="99"/>
    <w:semiHidden/>
    <w:pPr>
      <w:pBdr/>
      <w:spacing/>
      <w:ind/>
    </w:pPr>
    <w:rPr>
      <w:color w:val="666666"/>
    </w:rPr>
  </w:style>
  <w:style w:type="paragraph" w:styleId="917">
    <w:name w:val="TOC Heading"/>
    <w:uiPriority w:val="39"/>
    <w:unhideWhenUsed/>
    <w:pPr>
      <w:pBdr/>
      <w:spacing/>
      <w:ind/>
    </w:pPr>
  </w:style>
  <w:style w:type="paragraph" w:styleId="918">
    <w:name w:val="table of figures"/>
    <w:basedOn w:val="872"/>
    <w:next w:val="872"/>
    <w:uiPriority w:val="99"/>
    <w:unhideWhenUsed/>
    <w:pPr>
      <w:pBdr/>
      <w:spacing w:after="0" w:afterAutospacing="0"/>
      <w:ind/>
    </w:pPr>
  </w:style>
  <w:style w:type="paragraph" w:styleId="919">
    <w:name w:val="Title"/>
    <w:qFormat/>
    <w:pPr>
      <w:pBdr/>
      <w:spacing/>
      <w:ind/>
    </w:pPr>
    <w:rPr>
      <w:sz w:val="56"/>
      <w:szCs w:val="56"/>
    </w:rPr>
  </w:style>
  <w:style w:type="paragraph" w:styleId="920">
    <w:name w:val="Heading 1"/>
    <w:qFormat/>
    <w:pPr>
      <w:numPr>
        <w:ilvl w:val="0"/>
        <w:numId w:val="6"/>
      </w:numPr>
      <w:suppressLineNumbers w:val="false"/>
      <w:pBdr/>
      <w:spacing w:after="140" w:afterAutospacing="0" w:afterLines="0" w:before="140" w:beforeAutospacing="0" w:beforeLines="0" w:line="360" w:lineRule="auto"/>
      <w:ind w:firstLine="0" w:left="720"/>
    </w:pPr>
    <w:rPr>
      <w:b/>
      <w:bCs/>
      <w:color w:val="2e74b5" w:themeColor="text1"/>
      <w:sz w:val="28"/>
      <w:szCs w:val="28"/>
    </w:rPr>
  </w:style>
  <w:style w:type="paragraph" w:styleId="921">
    <w:name w:val="Heading 2"/>
    <w:basedOn w:val="920"/>
    <w:qFormat/>
    <w:pPr>
      <w:suppressLineNumbers w:val="false"/>
      <w:pBdr/>
      <w:spacing/>
      <w:ind/>
    </w:pPr>
    <w:rPr>
      <w:b/>
      <w:bCs/>
      <w:color w:val="000000" w:themeColor="text1"/>
      <w:sz w:val="28"/>
      <w:szCs w:val="28"/>
    </w:rPr>
  </w:style>
  <w:style w:type="paragraph" w:styleId="922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923">
    <w:name w:val="Heading 4"/>
    <w:qFormat/>
    <w:pPr>
      <w:pBdr/>
      <w:spacing/>
      <w:ind/>
    </w:pPr>
    <w:rPr>
      <w:i/>
      <w:iCs/>
      <w:color w:val="2e74b5"/>
    </w:rPr>
  </w:style>
  <w:style w:type="paragraph" w:styleId="924">
    <w:name w:val="Heading 5"/>
    <w:qFormat/>
    <w:pPr>
      <w:pBdr/>
      <w:spacing/>
      <w:ind/>
    </w:pPr>
    <w:rPr>
      <w:color w:val="2e74b5"/>
    </w:rPr>
  </w:style>
  <w:style w:type="paragraph" w:styleId="925">
    <w:name w:val="Heading 6"/>
    <w:qFormat/>
    <w:pPr>
      <w:pBdr/>
      <w:spacing/>
      <w:ind/>
    </w:pPr>
    <w:rPr>
      <w:color w:val="1f4d78"/>
    </w:rPr>
  </w:style>
  <w:style w:type="paragraph" w:styleId="926">
    <w:name w:val="Strong"/>
    <w:qFormat/>
    <w:pPr>
      <w:pBdr/>
      <w:spacing/>
      <w:ind/>
    </w:pPr>
    <w:rPr>
      <w:b/>
      <w:bCs/>
    </w:rPr>
  </w:style>
  <w:style w:type="paragraph" w:styleId="927">
    <w:name w:val="List Paragraph"/>
    <w:qFormat/>
    <w:pPr>
      <w:numPr>
        <w:ilvl w:val="0"/>
        <w:numId w:val="2"/>
      </w:numPr>
      <w:suppressLineNumbers w:val="false"/>
      <w:pBdr/>
      <w:spacing w:after="0" w:before="0" w:line="360" w:lineRule="auto"/>
      <w:ind w:right="0" w:firstLine="720" w:left="0"/>
      <w:jc w:val="both"/>
    </w:pPr>
  </w:style>
  <w:style w:type="character" w:styleId="928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29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30">
    <w:name w:val="footnote text"/>
    <w:link w:val="93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1">
    <w:name w:val="Footnote Text Char"/>
    <w:link w:val="930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32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33">
    <w:name w:val="endnote text"/>
    <w:link w:val="93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4">
    <w:name w:val="Endnote Text Char"/>
    <w:link w:val="933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9</cp:revision>
  <dcterms:created xsi:type="dcterms:W3CDTF">2026-04-23T13:45:30Z</dcterms:created>
  <dcterms:modified xsi:type="dcterms:W3CDTF">2026-05-30T11:39:17Z</dcterms:modified>
</cp:coreProperties>
</file>