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Министерство науки и высшего образования РФ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Федеральное государственное автономное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образовательное учреждение высшего образования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«СИБИРСКИЙ ФЕДЕРАЛЬНЫЙ УНИВЕРСИТЕТ»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Институт космических и информационных технологий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институт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Программная инженерия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кафедра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ОТЧЁТ ПО ЛАБОРАТОРНОЙ РАБОТЕ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Выбор и описание системы для проектирования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тема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tbl>
      <w:tblPr>
        <w:tblStyle w:val="754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1204"/>
        <w:gridCol w:w="3696"/>
        <w:gridCol w:w="272"/>
        <w:gridCol w:w="1667"/>
        <w:gridCol w:w="272"/>
        <w:gridCol w:w="2528"/>
      </w:tblGrid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3C308091"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65DE09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</w:tcPr>
          <w:p w14:paraId="342CD0F6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24D4A5C2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</w:tcPr>
          <w:p w14:paraId="157DAECC">
            <w:pPr>
              <w:pBdr/>
              <w:spacing/>
              <w:ind w:firstLine="0"/>
              <w:jc w:val="center"/>
              <w:rPr>
                <w:color w:val="auto"/>
                <w:szCs w:val="28"/>
              </w:rPr>
            </w:pPr>
            <w:r>
              <w:rPr>
                <w:color w:val="auto"/>
              </w:rPr>
              <w:t xml:space="preserve">Кантута Зегобия Д.</w:t>
            </w:r>
            <w:r>
              <w:rPr>
                <w:color w:val="auto"/>
                <w:szCs w:val="28"/>
              </w:rPr>
            </w:r>
            <w:r>
              <w:rPr>
                <w:color w:val="auto"/>
                <w:szCs w:val="28"/>
              </w:rPr>
            </w:r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0F23803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21516F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343562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FA073F8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06ADBCD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4B1A7E13"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709" w:type="dxa"/>
          </w:tcPr>
          <w:p w14:paraId="15F8BEF7">
            <w:pPr>
              <w:pBdr/>
              <w:spacing/>
              <w:ind/>
              <w:jc w:val="center"/>
              <w:rPr/>
            </w:pPr>
            <w:r>
              <w:t xml:space="preserve">КИ23-16/</w:t>
            </w:r>
            <w:r>
              <w:rPr>
                <w:lang w:val="ru-RU"/>
              </w:rPr>
              <w:t xml:space="preserve">1</w:t>
            </w:r>
            <w:r>
              <w:t xml:space="preserve">б, </w:t>
            </w:r>
            <w:r>
              <w:rPr>
                <w:lang w:val="ru-RU"/>
              </w:rP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16B0920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71" w:type="dxa"/>
          </w:tcPr>
          <w:p w14:paraId="4CC4B532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97C47A9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534" w:type="dxa"/>
          </w:tcPr>
          <w:p w14:paraId="7772C1DA">
            <w:pPr>
              <w:pBdr/>
              <w:spacing/>
              <w:ind/>
              <w:jc w:val="center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7188237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</w:tcPr>
          <w:p w14:paraId="46032DA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456BE5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799F16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A7C58E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2B03B50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2422CF5">
      <w:pPr>
        <w:pBdr/>
        <w:spacing w:after="0" w:before="0" w:line="360" w:lineRule="auto"/>
        <w:ind/>
        <w:rPr/>
      </w:pPr>
      <w:r/>
      <w:r/>
    </w:p>
    <w:p w14:paraId="225410F4">
      <w:pPr>
        <w:pBdr/>
        <w:spacing w:after="0" w:before="0" w:line="360" w:lineRule="auto"/>
        <w:ind/>
        <w:rPr/>
      </w:pPr>
      <w:r/>
      <w:r/>
    </w:p>
    <w:p w14:paraId="3599832B">
      <w:pPr>
        <w:pBdr/>
        <w:spacing w:after="0" w:before="0" w:line="360" w:lineRule="auto"/>
        <w:ind/>
        <w:rPr/>
      </w:pPr>
      <w:r/>
      <w:r/>
    </w:p>
    <w:p w14:paraId="63129AE9"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Красноярск 2026</w:t>
      </w:r>
      <w:r>
        <w:br w:type="page" w:clear="all"/>
      </w:r>
      <w:r/>
    </w:p>
    <w:p>
      <w:pPr>
        <w:pBdr/>
        <w:spacing/>
        <w:ind/>
        <w:rPr/>
        <w:sectPr>
          <w:headerReference w:type="default" r:id="rId9"/>
          <w:headerReference w:type="first" r:id="rId10"/>
          <w:footerReference w:type="default" r:id="rId11"/>
          <w:footerReference w:type="first" r:id="rId12"/>
          <w:footnotePr/>
          <w:endnotePr/>
          <w:type w:val="nextPage"/>
          <w:pgSz w:h="16838" w:orient="portrait" w:w="11906"/>
          <w:pgMar w:top="1133" w:right="567" w:bottom="1133" w:left="1700" w:header="708" w:footer="708" w:gutter="0"/>
          <w:pgNumType w:start="1"/>
          <w:cols w:num="1" w:sep="0" w:space="1701" w:equalWidth="1"/>
          <w:titlePg/>
        </w:sectPr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 (название и назначение),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suppressLineNumbers w:val="false"/>
        <w:pBdr/>
        <w:spacing/>
        <w:ind w:right="0" w:firstLine="720" w:left="0"/>
        <w:rPr>
          <w14:ligatures w14:val="none"/>
        </w:rPr>
      </w:pPr>
      <w:r>
        <w:t xml:space="preserve">выбрать тематику приложения;</w:t>
      </w:r>
      <w:r/>
    </w:p>
    <w:p>
      <w:pPr>
        <w:pStyle w:val="935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/>
      <w:r>
        <w:t xml:space="preserve">продумать название и задачи, которые оно выполняет;</w:t>
      </w:r>
      <w:r/>
    </w:p>
    <w:p>
      <w:pPr>
        <w:pStyle w:val="935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составить краткое описание системы и её характеристик;</w:t>
      </w:r>
      <w:r/>
    </w:p>
    <w:p>
      <w:pPr>
        <w:pStyle w:val="935"/>
        <w:suppressLineNumbers w:val="false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UML-диаграмму вариантов использования описываемой системы.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системы – клиент-серверное веб-приложение;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платформа – браузерная (доступна с любого устройства);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 – двухканальная: по адресу электронной почты и по SMS-коду;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хранилище заметок – персональное, привязанное к учётной записи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операции с заметками – создание, просмотр, редактирование, удаление, поиск;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Style w:val="935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Style w:val="935"/>
        <w:pBdr/>
        <w:spacing w:after="0" w:before="0" w:line="360" w:lineRule="auto"/>
        <w:ind w:right="0" w:firstLine="735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000" cy="34099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530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00pt;height:268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«Зарегистрироваться» – создание новой учётной записи с указанием e-mail и номера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e-mail» – вход в систему через адрес электронной почты и пароль;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«Войти по SMS» – вход через одноразовый SMS-код, отправляемый на привязанный номер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«Создать заметку» – добавление новой записи с заголовком и текстом;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«Просмотреть заметки» – отображение списка всех заметок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«Редактировать заметку» – изменение содержимого существующей заметки;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«Удалить заметку» – безвозвратное удаление выбранной записи;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«Искать заметки» – фильтрация записей по ключевому слову в заголовке;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составление требований к проектируемой системе NewNote на различных уровнях, а также определение источников и методов их получения.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сформулировать бизнес-требования к системе NewNote;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определить требования пользователей;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функциональные требования;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нефункциональные требования;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описать источники и методы получения требований.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 Требования к системе NewNote</w:t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3.1 Бизнес-требования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качестве 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сформировать базу для будущей монетизации за счёт введения платных тарифов с расширенными возможностями;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MVP (минимально жизнеспособный продукт) в течение трёх месяцев с начала разработки;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3.2 Требования пользователей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зарегистрироваться, указав адрес электронной почты и номер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создавать текстовые заметки с заголовком и произвольным текстом;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видеть список всех своих заметок на главной странице после входа;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открыть и отредактировать любую свою заметку;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удалить заметку;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найти нужную заметку по ключевому слову в заголовке;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пользователь должен иметь возможность выйти из системы с любой страницы.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3.3 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регистрации с полями: e-mail, пароль, номер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входа по e-mail и паролю;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отправлять одноразовый SMS-код при запросе аутентификации по номеру телефона;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считать SMS-код недействительным по истечении 5 минут с момента его отправки;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сохранять заметки с привязкой к учётной записи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предоставлять форму редактирования заметки с сохранением внесённых изменений;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удалять заметку после явного подтверждения пользователем;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3.4 Нефункциональные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 проектировании системы необходимо учитывать следующие нефункциональные требования: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производительность: время отклика системы на любой запрос пользователя не должно превышать 2 секунды при нагрузке до 500 одновременных пользователей;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доступность: система должна обеспечивать доступность не менее 99,5 % в месяц;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совместимость: система должна корректно работать в актуальных версиях браузеров Chrome, Firefox, Safari и Edge;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масштабируемость: архитектура должна допускать горизонтальное масштабирование серверной части без изменения клиентского кода;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удобство использования: интерфейс должен соответствовать принципам юзабилити; целевое значение показателя SUS (System Usability Scale) – не ниже 70 баллов.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 Источники и методы получения требований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работы с проектируемой системой NewNote были использованы следующие источники и методы получения требований.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Интервью с заказчиком. В роли заказчика выступае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ИП Серебряков А.В. На основании двух проведённых интервью были сформированы бизнес-требования: целевые показатели аудитории, сроки запуска MVP и стратегия монетизации. Интервью позволило зафиксировать приоритеты бизнеса и ограничения по срокам и бюджету.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Анкетирование потенциальных пользователей. Для формирования требований пользователей была составлена анкета из 10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вопросов, охватывающих сценарии использования заметок в повседневной жизни. Анкета была распространена среди 20 студентов направления «Программная инженерия». По результатам анализа ответов выявлены основные пользовательские сценарии и приоритеты функций.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конкурентов (бенчмаркинг). Для определения функциона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льных требований был выполнен анализ трёх аналогичных систем: Google Keep, Notion и Bear. Сравнительный анализ позволил определить минимальный набор функций, ожидаемых пользователями от подобного приложения, и избежать избыточности в проектируемой системе.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Изучение нормативно-технической докум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ентации. При формировании нефункциональных требований в части безопасности и качества были изучены рекомендации OWASP по безопасности веб-приложений [3], а также стандарт ISO/IEC 25010, регламентирующий характеристики качества программного обеспечения [4].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выбор и обоснование архитектурного паттерна для системы NewNote, а также его реализация в виде структуры программного проекта.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изучить основные архитектурные паттерны;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выбрать подходящий паттерн для системы NewNote;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выбор в формате ADR (Architecture Decision Record);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реализовать структуру проекта на Python FastAPI в соответствии с выбранным паттерном.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 Выбор архитектурного паттерна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Запись принятого решения № 1: Выбор архитектурного паттерна для системы NewNote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Дата: 2026-04-23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Контекст: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Решение: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Принято решение реализовать систему NewNote в виде монолита с послойной (layered) структурой. Проект разбит на следующие слои и модули: точка входа (m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ain.py), подключение к базе данных (database.py), ORM-модели (models.py), схемы данных Pydantic (schemas.py), вспомогательные утилиты аутентификации (auth_utils.py), зависимости FastAPI (dependencies.py), маршрутизаторы (routers/auth.py, routers/notes.py).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Обоснование: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простота предметной области: система имеет два чётко ограниченных функциональных модуля (аутентификация и заметки) без сложных межсервисных зависимостей;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малая команда и ограниченный срок: для одного разработчика монолит обеспечивает наименьший накладной расход на инфраструктуру и настройку;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низкая ожидаемая нагрузка: ожидаемое число одновременных пользователей (до 100) не требует горизонтального масштабирования на уровне сервисов;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единая база данных: все данные хранятся в одной SQLite/PostgreSQL БД, что упрощает транзакционную целостность;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простота отладки и тестирования: весь код находится в одном процессе, что исключает проблемы распределённых вызовов.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Последствия: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Преимущества: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минимальная инфраструктура – один контейнер/процесс;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быстрый старт разработки;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единое логирование и обработка ошибок;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простая схема развёртывания (uvicorn + SQLite или PostgreSQL).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Недостатки и риски: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единая точка отказа: при падении процесса недоступна вся система;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при росте нагрузки потребуется рефакторинг в микросервисы;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риск нарастания связанности модулей при расширении функциональности.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Альтернативы: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5.1 Структура программного проекта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соответствии с выбранным паттерном реализована следующая структура монолитного проекта на Python FastAPI: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main.py – точка входа; регистрирует маршрутизаторы и создаёт таблицы БД при запуске;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– настройка подключения к базе данных через SQLAlchemy, фабрика сессий и зависимость get_db;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models.py – ORM-модели User и Note; User хранит данные учётной записи и OTP-код для SMS-входа; Note хранит заголовок, текст и ссылку на владельца;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schemas.py – Pydantic-схемы для валидации входящих запросов и сериализации ответов (RegisterRequest, LoginRequest, SmsRequest, SmsVerifyRequest, NoteCreate, NoteUpdate, NoteResponse);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auth_utils.py – вспомогательные функции: хэширование пароля (bcrypt), создание JWT-токена, генерация шестизначного SMS-кода;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dependencies.py – FastAPI-зависимость get_current_user: декодирует JWT-токен из заголовка Authorization и возвращает текущего пользователя;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routers/auth.py – эндпоинты: POST /auth/register, POST /auth/login, POST /auth/sms/send, POST /auth/sms/verify;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routers/notes.py – эндпоинты: GET /notes/, POST /notes/, PUT /notes/{id}, DELETE /notes/{id}.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построение карты контекстов системы NewNote по методологии DDD, а также составление диаграмм контекста нотации C4 для смыслового ядра и вспомогательной подобласти.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определить подобласти системы NewNote: смысловое ядро, вспомогательные и общие подобласти;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выделить ограниченные контексты и описать отношения между ними;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карту контекстов по методологии DDD;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диаграмму контекста нотации C4 для смыслового ядра;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диаграмму контекста нотации C4 для одной вспомогательной подобласти.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 Карта контекстов по методологии DDD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Domain-Driven Design (DDD) – методология проектирования программных систем,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6.1 Определение подобластей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системы NewNote выделены следующие подобласти: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(Core Domain) – Управление заметками (Note Management). Это основная бизнес-ценность системы: создание, хранение, редактирование, удален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Вспомогательная подобласть (Supporting Subdomain) – Профиль пользоват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Общие подобласти (Generic Subdomains) – функциональность, не являющаяся уникальной для системы: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Уведомления (Notification) – генерация и отправка SMS-кодов через внешний SMS-шлюз.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6.2 Ограниченные контексты и связи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основе выделенных подобластей определены следующие ограниченные контексты и отношения между ними: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User Identity Context (Generic) – управляет учётными записями и аутентификацией; зависит от Notification Context для отправки OTP-кодов.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 Context (Generic) – предоставляет возможность отправки SMS; является поставщиком (Upstream) для User Identity Context.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User Profile Context (Supporting) – хранит дополнительные данные профиля; предоставляет информацию о пользователе контексту Note Management.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6.3 Карта контекстов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6000" cy="3298000"/>
                <wp:effectExtent l="0" t="0" r="0" b="0"/>
                <wp:docPr id="2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96000" cy="329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9.13pt;height:259.6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2 – Карта контекстов системы NewNote по методологии DDD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 Диаграммы контекста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Нотация C4 (Context, 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7.1 Диаграмма контекста C4 для смыслового ядра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29200" cy="2760000"/>
                <wp:effectExtent l="0" t="0" r="0" b="0"/>
                <wp:docPr id="3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029200" cy="27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6.00pt;height:217.3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3 – Диаграмма контекста C4 для смыслового ядра (Note Management Context)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7.2 Диаграмма контекста C4 для вспомогательной подобласти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6000" cy="2804400"/>
                <wp:effectExtent l="0" t="0" r="0" b="0"/>
                <wp:docPr id="4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196000" cy="280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9.13pt;height:220.8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4 – Диаграмма контекста C4 для вспомогательной подобласти (User Identity Context)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 данной лабораторной работы является реализация не менее трёх паттернов проектирования (по одному каждого вида: порождающий, структурный, поведенческий) в коде системы NewNote, построение UML-диаграммы классов и обоснование выбора реализованных паттернов.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поведенческий паттерн проектирования;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структурный паттерн проектирования;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выбрать и реализовать порождающий паттерн проектирования;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UML-диаграммы классов для каждого реализованного паттерна;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обосновать выбор каждого паттерна и привести примеры нецелесообразных альтернатив.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 Паттерны проектирования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проектирования (Design Pattern) – типовое решение часто встречающейся задачи при проект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8.1 Поведенческий паттерн: Стратегия (Strategy)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Стратегия применён для реализации аутентификации пользователей. Система NewNote поддерживает два способа входа: по e-mail и паролю,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Стратегия представлена на рисунке 5.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0200" cy="2560000"/>
                <wp:effectExtent l="0" t="0" r="0" b="0"/>
                <wp:docPr id="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990200" cy="25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2.93pt;height:201.5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5 – Диаграмма классов: паттерн Стратегия (Strategy)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8.2 Структурный паттерн: Репозиторий (Repository)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Репозиторий применён для изоляции логики доступа к данн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Репозиторий предоставляет 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Фасад (Facade). Фа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Репозиторий представлена на рисунке 6.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0200" cy="2686200"/>
                <wp:effectExtent l="0" t="0" r="0" b="0"/>
                <wp:docPr id="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990200" cy="2686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2.93pt;height:211.5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6 – Диаграмма классов: паттерн Репозиторий (Repository)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8.3 Порождающий паттерн: Фабричный метод (Factory Method)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Паттерн Фабричный метод применён для создания объектов-экспортёров заметок. Система NewNote поддерживает экспор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Фабричный метод выносит ло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Абстрактная фабрика (Abstract Factory). Абстрактная фабрика нужна 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Структура реализации: абстрактный продукт NoteExporter (методы export и content_type), конкретные продукты PlainTextExporter и JsonExporter,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классов для паттерна Фабричный метод представлена на рисунке 7.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4600" cy="2752200"/>
                <wp:effectExtent l="0" t="0" r="0" b="0"/>
                <wp:docPr id="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244600" cy="2752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2.96pt;height:216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7 – Диаграмма классов: паттерн Фабричный метод (Factory Method)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реализация принципов SOLID и принципов организации компонентов в коде системы NewNote, а также построение диаграмм кода и компонентов нотации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реализовать не менее трёх принципов SOLID;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реализовать не менее четырёх принципов организации компонентов (не менее двух из каждой группы);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диаграмму компонентов C4 (Level 3);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построить диаграмму кода C4 (Level 4).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 Реализация принципов SOLID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9.1 Принцип единственной ответственности (SRP)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единственной ответственности (Single Responsibility Principle): каждый класс (модуль) должен иметь только одну причину для изменения.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файл auth_utils.py нарушал SRP, объединяя три несвязанные обязанности в одном модуле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auth_utils.py разбит на три специализированных класса: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auth/password_service.py — класс PasswordService: методы hash() и verify(). Единственная причина для изменения — смена алгоритма хэширования (bcrypt → Argon2 и т.п.);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auth/token_service.py — класс TokenService: методы create() и decode(). Единственная причина для изменения — смена алгоритма или формата JWT-токена;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>
          <w14:ligatures w14:val="none"/>
        </w:rPr>
      </w:pPr>
      <w:r>
        <w:t xml:space="preserve">auth/otp_service.py — класс OtpService: метод generate(). Единственная причина для изменения — смена формата или длины кода.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9.2 Принцип открытости/закрытости (OCP)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открытости/закрытости (Open/Closed Principle): программные сущности должны быть открыты для расширения, но закрыты для модификации.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9.3 Принцип подстановки Лисков (LSP)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9.4 Принцип разделения интерфейсов (ISP)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разделения интерфейсов (Interface Segregation Principle): клиенты не должны зависеть от методов, которые они не используют.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рефакторинга: интерфейс разделён на два в пакете interfaces/: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INoteReader (interfaces/i_note_reader.py) — только get_all() и get_by_id(). Клиенты, которым нужно только чтение, зависят исключительно от этого интерфейса;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INoteWriter (interfaces/i_note_writer.py) — только create(), update(), delete(). Клиенты-писатели зависят только от него.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9.5 Принцип инверсии зависимостей (DIP)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 Реализация принципов организации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Принципы организаци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10.1 Принципы связности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CCP в NewNote: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auth/ объединяет все классы, изменя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общего повторного использования (CRP 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CRP в NewNote: пакет interfaces/ содержит исключительно INoteReader и INoteWriter — два интерфейса, которые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10.2 Принципы сочетаемости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ацикли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ADP в NewNote: граф зависимостей между пакетами образует направленный ациклический граф (DAG):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interfaces/ (repository.py реализует INoteReader, INoteWriter);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interfaces/ (опционально, для расширения);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 → database/ (получение Session);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auth/ → database/ (получение Session).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стабильных зависимостей (SDP — Stable Depend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SDP в NewNote: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database.py — стабильный компонент (I≈0): ни от кого не зависит внутри проекта, зависит только от внешней библиотеки SQLAlchemy.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11 Диаграммы кода и компонентов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8 представлена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531600"/>
                <wp:effectExtent l="0" t="0" r="0" b="0"/>
                <wp:docPr id="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15000" cy="353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0.00pt;height:278.08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8 – Диаграмма компонентов C4 (Level 3)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2000" cy="3327600"/>
                <wp:effectExtent l="0" t="0" r="0" b="0"/>
                <wp:docPr id="9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562000" cy="332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7.95pt;height:262.02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9 – Диаграмма кода C4 (Level 4) – компонент auth/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повышение безопасности системы NewNote не менее чем тремя способами, обоснование выбранных подходов, анализ компромиссов с нефункциональными требованиями и обновление диаграмм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реализовать три аспекта безопасности;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выбор каждого из них;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проанализировать компромиссы с нефункциональными требованиями;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обновить диаграммы контейнеров и компонентов C4.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 Реализация аспектов безопасности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Заказчик системы NewNote озаботился безопасностью решения. Реализованы три ас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12.1 Аспект безопасности №1: Rate Limiting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Атака перебором пароля (brute-force) на /auth/login позволяет злоумышленнику методично подбирать пароль. Атака SMS-флудинга на /auth/sms/send приводит к финансовым потерям и отказу в обслуживании легитимных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security/rate_limiter.py реализует функцию check_rate_limit(request, endpoint). Алгоритм: для каждой пары (IP-адрес, эндпоинт) хранится список 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ременных меток запросов за скользящее окно 60 секунд. При достижении порога 5 запросов возвращается HTTP 429 Too Many Requests с заголовком Retry-After. Функция вызывается в начале обработчиков /auth/login, /auth/register, /auth/sms/send, /auth/sms/verify.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Rate Limiting — ста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ндартная мера первого уровня защиты согласно OWASP (A07:2021 Identification and Authentication Failures). Реализация без внешних зависимостей не требует дополнительной инфраструктуры для MVP и соответствует SRP: проверка лимита вынесена в отдельный модуль.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12.2 Аспект безопасности №2: Security Headers Middleware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Без специальных HTTP-заголовков возможны: XSS — кража JWT-токена из памяти страницы; кликджекинг — нежелательные действия через iframe; MIME-sniffing — интерпретация данных как исполняемого кода; downgrade-атака на HTTP при первом соединении.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Класс Secur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ityHeadersMiddleware (security/headers_middleware.py) наследует BaseHTTPMiddleware Starlette. Метод dispatch добавляет к каждому ответу: X-Content-Type-Options: nosniff, X-Frame-Options: DENY, X-XSS-Protection: 1; mode=block, Content-Security-Policy: defau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lt-src 'self', Strict-Transport-Security (в production: max-age=31536000), Referrer-Policy: strict-origin-when-cross-origin, Cache-Control: no-store. Middleware зарегистрирован в main.py через app.add_middleware() — единая точка, покрывающая все эндпоинты.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выбора. Security Headers — рекомендуемая практика OWASP (A05:2021 Security Misconfiguration). Реализация в виде Middleware соответствует DRY: заголовки не нужно добавлять в каждый обработчик. Добавление новых заголовков затрагивает только один файл (OCP).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12.3 Аспект безопасности №3: RBAC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GET /notes/?owner_id=X — только администратор может запросить заметки другого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DELETE /notes/{id} — администратор может удалить любую заметку.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Обоснование выбора. RBAC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12.4 Анализ компромиссов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Rate Limiting vs. производительность (НТ: время отклика ≤2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 In-memory хранилище добавляет операцию O(n) к каждому запросу аутентификации (n≤5). Overhead — микросекунды, требование не нарушено. Компромисс: при горизонтальном масштабировании счётчики не синхронизированы между инстансами. Решение при росте — Redis.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Rate Limiting vs. доступность (НТ: ≥99,5%). Легитимный пользователь, допустивший 5 ошибок подряд, блокируется на 60 секунд. Компромисс принят: ущерб от кратковременной блокировки одного IP меньше ущерба от компрометации учётной записи.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Security Headers vs. функциональность. Заголовок CSP (default-src 'self') ограничивает источники скриптов. При будущей интеграции внешних CDN потребуется расширение политики. HSTS в разработке отключён (max-age=0), чтобы не блокировать localhost.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12.5 Обновлённые диаграммы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10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представлена обновлённая диаграмма контейнеров C4 (Level 2). Добавлены три новых контейнера (выделены красным): Security Middleware, Rate Limiter, RBAC Module. Запрос пользователя проходит через них до попадания в Backend. База данных расширена полем role.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302400"/>
                <wp:effectExtent l="0" t="0" r="0" b="0"/>
                <wp:docPr id="10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15000" cy="330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0.00pt;height:260.03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10 – Обновлённая диаграмма контейнеров C4 (Level 2)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 рисунке 11 представлена обновлённая диаграмма компонентов C4 (Level 3). Новый ком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понент security/ содержит три модуля. Изменённые модули помечены символом ●: auth/router.py (вызов rate limit), auth/models.py (поле role), notes/router.py (RBAC-проверки). Граф зависимостей ациклический (ADP): security/ не зависит от notes/ и interfaces/.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42800" cy="3620400"/>
                <wp:effectExtent l="0" t="0" r="0" b="0"/>
                <wp:docPr id="11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842800" cy="362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0.06pt;height:285.0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11 – Обновлённая диаграмма компонентов C4 (Level 3)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Целью данной лабораторной работы является реструктуризация архитектуры системы NewNote в связи с резким ростом аудитории. Необходимо выбрать 2–3 атрибута качества, перейти к новому архитектурному паттерну и описать архитектуру в нотации 4+1.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проанализировать новые бизнес-требования и выбрать приоритетные атрибуты качества;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обосновать и реализовать переход к новой архитектуре;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привести диаграммы C4 старой и новой архитектуры;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описать новую архитектуру в нотации 4+1.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13 Атрибуты качества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роста популярности NewNote бизнес-требования резко изменились: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число пользователей выросло с 1†00 до 100†00+ за первые шесть месяцев;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заказчик требует доступности 99,9% — текущие 99,5% (≈4 ч/мес простоя) неприемлемы;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пиковая нагрузка в 20–30 раз превышает среднюю: монолит не справляется;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команда выросла с 1 до 5 разработчиков: конфликты при слиянии кода в едином репозитории;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требуется независимая доставка функций: обновление логики заметок не должно затрагивать сервис аутентификации.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Выбраны три приоритетных атрибута качества.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Масштабируемость (Scalability). В монолите масштабирование применяется ко всему приложению, даже если нагружен толь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 один компонент. Notes-service несёт 80% нагрузки (CRUD), тогда как Auth-service загружен равномерно. В новой архитектуре каждый сервис масштабируется независимо. Метрика: notes-service — 2–10 реплик, auth-service — 1–5 реплик, без перезапуска остальных.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Доступность (Availability). В монолите сбой лю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бого модуля вызывает полную недоступность системы. В микросервисной архитектуре реализована изоляция сбоев: отказ notification-service не влияет на CRUD-операции с заметками. Метрика: доступность повышается с 99,5% до 99,9% (с ≈4 ч до ≈44 мин/мес простоя).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Сопровождаемость (Maintainability). Монолит привёл к тесной связанност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и: изменение в auth/models.py затрагивало notes/router.py. Растущая команда усиливает конфликты. Каждый микросервис имеет чётко определённую ответственность и независимо эволюционирует. Метрика: изменения в auth-service не требуют пересборки notes-service.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14 Новая архитектура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Выбранный паттерн: Микросервисная архитектура с API Gateway. Переход обусловлен тремя атрибутами качества: масштабируемостью, доступностью и сопровождаемостью.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Ключевые архитектурные решения: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 Gateway — единая точка входа. Маршрутизирует запросы, проверяет JWT-токен, применяет Rate Limiting и Security Headers;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auth-service — микросервис аутентификации: регистрация, вход по e-mail/SMS, JWT, bcrypt, RBAC. Собственная Auth DB (PostgreSQL);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notes-service — микросервис заметок: CRUD, поиск, экспорт. Идентификатор пользователя получает из заголовков Gateway. Собственная Notes DB (PostgreSQL);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notification-service — микросервис уведомлений: SMS и email. Изолирован; сбой не влияет на остальные сервисы;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каждый сервис — отдельный Docker-образ; оркестрация через docker-compose (MVP) или Kubernetes (production).</w:t>
      </w:r>
      <w:r/>
      <w:r/>
      <w:r/>
      <w:r/>
    </w:p>
    <w:p>
      <w:pPr>
        <w:pBdr/>
        <w:spacing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Причины выбора перед альтернативами: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вертикальное масштабирование монолита: ограничено физически и значительно дороже горизонтального;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SOA с ESB: шина становится узким местом; микросервисы взаимодействуют напрямую — меньше латентность;</w:t>
      </w:r>
      <w:r/>
    </w:p>
    <w:p>
      <w:pPr>
        <w:pStyle w:val="935"/>
        <w:pBdr/>
        <w:spacing w:after="0" w:before="0" w:line="360" w:lineRule="auto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модульный монолит: решает сопровождаемость, но не позволяет масштабировать компоненты независимо.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Диаграммы контекста C4 для старой (рисунок 12) и новой (рисунок 13) архитектуры: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355000"/>
                <wp:effectExtent l="0" t="0" r="0" b="0"/>
                <wp:docPr id="12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72000" cy="235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60.00pt;height:185.43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12 – Старая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0000" cy="2540000"/>
                <wp:effectExtent l="0" t="0" r="0" b="0"/>
                <wp:docPr id="13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080000" cy="2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0.00pt;height:200.0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13 – Новая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контейнеров новой архитектуры C4 (Level 2) представлена на рисунке 14.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0000" cy="2820000"/>
                <wp:effectExtent l="0" t="0" r="0" b="0"/>
                <wp:docPr id="14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080000" cy="28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00.00pt;height:222.0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14 – Новая архитектура: диаграмма контейнеров C4 (Level 2)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 Описание архитектуры в нотации 4+1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Архитектурная нотация 4+1 описывает систему через пять взаимосвязанных представлений: Logical View (логическое), Process View (процессное), Physical View (физическое), Development View (представление разработки) и Scenarios (сценарии).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15.1 Logical View (Логическое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какова функциональная декомпозиция системы? Система разбита на четыре микросервиса, каждый инкапсулирует собственный поддомен.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api_gateway — маршрутизация и сквозные аспекты: проверка JWT, Rate Limiting (5 запросов / 60 с / IP), Security Headers (CSP, HSTS, X-Frame-Options). Не содержит бизнес-логики.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auth_service — домен идентификации: регистрация, вход по e-mail/паролю, SMS OTP, JWT-токен с полем role (USER/ADMIN). Внутри применены SRP-классы: PasswordService (bcrypt), TokenService (JWT), OtpService (генератор кода).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notes_service — домен заметок: CRUD, поиск по заголовку, экспорт (txt/json). Реализует RBAC через заголовки X-User-Id и X-User-Role от Gateway. Содержит INoteReader и INoteWriter (ISP), NoteRepository (DIP).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notification_service — доставка уведомлений: SMS и email. В MVP — HTTP-эндпоинт POST /notify; в production — потребитель очереди RabbitMQ. Изолирован: его сбой не влияет на остальные сервисы.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15.2 Process View (Процессное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ведёт себя во время выполнения?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ельности аутентификации (рисунок 15). Клиент отправляет POST /auth/login. API Gateway применяет Rate Limit, проксирует в auth-service. Auth-service запрашивает пользователя из Auth DB, проверяет bcrypt, генерирует JWT с полями sub и role, возвращает токен.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2000" cy="2413200"/>
                <wp:effectExtent l="0" t="0" r="0" b="0"/>
                <wp:docPr id="15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572000" cy="241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60.00pt;height:190.0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15 – Диаграмма последовательности: аутентификация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Диаграмма последовательности создания заме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тки (рисунок 16). Клиент отправляет POST /notes/ с токеном. Gateway проверяет токен, добавляет X-User-Id и X-User-Role, проксирует в notes-service. Notes-service сохраняет заметку в Notes DB, асинхронно уведомляет notification-service, возвращает HTTP 201.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540000"/>
                <wp:effectExtent l="0" t="0" r="0" b="0"/>
                <wp:docPr id="16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207760" cy="2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10.06pt;height:200.0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16 – Диаграмма последовательности: создание заметки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15.3 Physical View (Физическое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система развёртывается? Каждый микросервис — Docker-контейнер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Конфигурация описана в docker-compose.yml. В production notes-service масштабируется горизонтально (2–10 реплик) за балансировщиком нагрузки. Stateless-природа сервисов позволяет добавлять реплики без изменения кода. Диаграмма развёртывания — рисунок 17.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7760" cy="2667600"/>
                <wp:effectExtent l="0" t="0" r="0" b="0"/>
                <wp:docPr id="17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207760" cy="266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0.06pt;height:210.0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17 – Диаграмма развёртывания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15.4 Development View (Представление разработки)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 на вопрос: как организован исходный код? Каждый микросервис — отдельный Python-пакет (принцип Package by Feature / CCP). Каждый сервис имеет собственный Dockerfile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requirements.txt. Разработчики работают в изолированных ветках: изменения в auth_service/ не вызывают конфликтов в notes_service/. Принципы SOLID и паттерны проектирования, реализованные ранее, сохранены внутри каждого сервиса. Структура кода — рисунок 18.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600" cy="2413200"/>
                <wp:effectExtent l="0" t="0" r="0" b="0"/>
                <wp:docPr id="18" name="im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953600" cy="241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90.05pt;height:190.02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18 – Структура кода (Development View)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15.5 Scenarios (Сценарии использования)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Связывает все представления через ключевые сценарии.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UC-01: Регистрация пользователя. Предусловие: не зарегистрирован. Поток: клиент POST /auth/register → API Gateway (Rate Limit) → auth-service (check email unique, bcrypt hash, save to Auth DB) → JWT-токен. Альтернативный поток: email занят → HTTP 400.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UC-02: Аутентификация по e-mail. Предусловие: зарегистрирован. Поток: POST /auth/login → Rate Limit → auth-service (SELECT user, bcrypt.verify, jwt.encode) → токен. Альтернативный: неверный пароль → 401; превышен лимит → 429.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3: Создание заметки. Предусловие: аутентифицирован. Поток: POST /notes/ + Bearer token → Gateway (jwt.decode, add X-User-Id/Role) → notes-service (validate, INSERT Notes DB, notify) → 201 Created. Альтернативный: пустой title → 422; невалидный токен → 401.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UC-04: Просмотр заметок администратором. Предусловие: role=admin. Поток: GET /notes/?owner_id=X → Gateway (role=admin) → notes-service (фильтр по owner_id разрешён) → список заметок. Альтернативный: role=user → 403 Forbidden.</w:t>
      </w:r>
      <w:r/>
    </w:p>
    <w:p>
      <w:pPr>
        <w:pBdr/>
        <w:spacing w:after="0" w:before="0" w:line="360" w:lineRule="auto"/>
        <w:ind/>
        <w:rPr/>
      </w:pPr>
      <w:r/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восьми лабораторных раб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 была полностью спроектирована и реализована система NewNote. В рамках работы 8 выполнен переход от монолита к микросервисной архитектуре. Причины перехода: рост аудитории с 1†00 до 100†00+ пользователей, невозможность горизонтального масштабирования мон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олита, единая точка отказа (доступность только 99,5%) и конфликты в растущей команде. Приоритетные атрибуты качества: масштабируемость (независимые реплики сервисов), доступность (с 99,5% до 99,9% за счёт изоляции сбоев), сопровождаемость (независимые паке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ты и CI/CD). Реализованы четыре сервиса: api_gateway, auth_service, notes_service, notification_service. Архитектура описана в нотации 4+1 с семью диаграммами: контекст (old/new), контейнеры, две диаграммы последовательности, развёртывание, структура кода.</w:t>
      </w:r>
      <w:r/>
      <w:r/>
      <w:r/>
      <w:r/>
    </w:p>
    <w:sectPr>
      <w:footerReference w:type="default" r:id="rId13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nsid w:val="236E3464"/>
    <w:lvl w:ilvl="0">
      <w:isLgl w:val="false"/>
      <w:lvlJc w:val="left"/>
      <w:lvlText w:val="‒"/>
      <w:numFmt w:val="bullet"/>
      <w:pPr>
        <w:pBdr/>
        <w:spacing/>
        <w:ind w:hanging="360" w:left="1126"/>
      </w:pPr>
      <w:pStyle w:val="935"/>
      <w:rPr>
        <w:rFonts w:ascii="Times New Roman" w:hAnsi="Times New Roman" w:cs="Times New Roman"/>
        <w:b w:val="0"/>
        <w:bCs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84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6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8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2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4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86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Table Grid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7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7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 w:default="1">
    <w:name w:val="Normal"/>
    <w:qFormat/>
    <w:pPr>
      <w:pBdr/>
      <w:spacing/>
      <w:ind/>
    </w:pPr>
  </w:style>
  <w:style w:type="paragraph" w:styleId="881">
    <w:name w:val="Heading 7"/>
    <w:basedOn w:val="880"/>
    <w:next w:val="880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880"/>
    <w:next w:val="880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880"/>
    <w:next w:val="880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character" w:styleId="886">
    <w:name w:val="Heading 1 Char"/>
    <w:basedOn w:val="884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884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884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884"/>
    <w:link w:val="9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884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884"/>
    <w:link w:val="9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Title Char"/>
    <w:basedOn w:val="884"/>
    <w:link w:val="9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880"/>
    <w:next w:val="880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88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880"/>
    <w:next w:val="880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80"/>
    <w:next w:val="880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880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880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4"/>
    <w:link w:val="909"/>
    <w:uiPriority w:val="99"/>
    <w:pPr>
      <w:pBdr/>
      <w:spacing/>
      <w:ind/>
    </w:pPr>
  </w:style>
  <w:style w:type="paragraph" w:styleId="911">
    <w:name w:val="Footer"/>
    <w:basedOn w:val="880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4"/>
    <w:link w:val="911"/>
    <w:uiPriority w:val="99"/>
    <w:pPr>
      <w:pBdr/>
      <w:spacing/>
      <w:ind/>
    </w:pPr>
  </w:style>
  <w:style w:type="paragraph" w:styleId="913">
    <w:name w:val="Caption"/>
    <w:basedOn w:val="880"/>
    <w:next w:val="8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4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880"/>
    <w:next w:val="880"/>
    <w:uiPriority w:val="39"/>
    <w:unhideWhenUsed/>
    <w:pPr>
      <w:pBdr/>
      <w:spacing w:after="100"/>
      <w:ind/>
    </w:pPr>
  </w:style>
  <w:style w:type="paragraph" w:styleId="916">
    <w:name w:val="toc 2"/>
    <w:basedOn w:val="880"/>
    <w:next w:val="880"/>
    <w:uiPriority w:val="39"/>
    <w:unhideWhenUsed/>
    <w:pPr>
      <w:pBdr/>
      <w:spacing w:after="100"/>
      <w:ind w:left="220"/>
    </w:pPr>
  </w:style>
  <w:style w:type="paragraph" w:styleId="917">
    <w:name w:val="toc 3"/>
    <w:basedOn w:val="880"/>
    <w:next w:val="880"/>
    <w:uiPriority w:val="39"/>
    <w:unhideWhenUsed/>
    <w:pPr>
      <w:pBdr/>
      <w:spacing w:after="100"/>
      <w:ind w:left="440"/>
    </w:pPr>
  </w:style>
  <w:style w:type="paragraph" w:styleId="918">
    <w:name w:val="toc 4"/>
    <w:basedOn w:val="880"/>
    <w:next w:val="880"/>
    <w:uiPriority w:val="39"/>
    <w:unhideWhenUsed/>
    <w:pPr>
      <w:pBdr/>
      <w:spacing w:after="100"/>
      <w:ind w:left="660"/>
    </w:pPr>
  </w:style>
  <w:style w:type="paragraph" w:styleId="919">
    <w:name w:val="toc 5"/>
    <w:basedOn w:val="880"/>
    <w:next w:val="880"/>
    <w:uiPriority w:val="39"/>
    <w:unhideWhenUsed/>
    <w:pPr>
      <w:pBdr/>
      <w:spacing w:after="100"/>
      <w:ind w:left="880"/>
    </w:pPr>
  </w:style>
  <w:style w:type="paragraph" w:styleId="920">
    <w:name w:val="toc 6"/>
    <w:basedOn w:val="880"/>
    <w:next w:val="880"/>
    <w:uiPriority w:val="39"/>
    <w:unhideWhenUsed/>
    <w:pPr>
      <w:pBdr/>
      <w:spacing w:after="100"/>
      <w:ind w:left="1100"/>
    </w:pPr>
  </w:style>
  <w:style w:type="paragraph" w:styleId="921">
    <w:name w:val="toc 7"/>
    <w:basedOn w:val="880"/>
    <w:next w:val="880"/>
    <w:uiPriority w:val="39"/>
    <w:unhideWhenUsed/>
    <w:pPr>
      <w:pBdr/>
      <w:spacing w:after="100"/>
      <w:ind w:left="1320"/>
    </w:pPr>
  </w:style>
  <w:style w:type="paragraph" w:styleId="922">
    <w:name w:val="toc 8"/>
    <w:basedOn w:val="880"/>
    <w:next w:val="880"/>
    <w:uiPriority w:val="39"/>
    <w:unhideWhenUsed/>
    <w:pPr>
      <w:pBdr/>
      <w:spacing w:after="100"/>
      <w:ind w:left="1540"/>
    </w:pPr>
  </w:style>
  <w:style w:type="paragraph" w:styleId="923">
    <w:name w:val="toc 9"/>
    <w:basedOn w:val="880"/>
    <w:next w:val="880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880"/>
    <w:next w:val="880"/>
    <w:uiPriority w:val="99"/>
    <w:unhideWhenUsed/>
    <w:pPr>
      <w:pBdr/>
      <w:spacing w:after="0" w:afterAutospacing="0"/>
      <w:ind/>
    </w:pPr>
  </w:style>
  <w:style w:type="paragraph" w:styleId="927">
    <w:name w:val="Title"/>
    <w:qFormat/>
    <w:pPr>
      <w:pBdr/>
      <w:spacing/>
      <w:ind/>
    </w:pPr>
    <w:rPr>
      <w:sz w:val="56"/>
      <w:szCs w:val="56"/>
    </w:rPr>
  </w:style>
  <w:style w:type="paragraph" w:styleId="92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92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93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1">
    <w:name w:val="Heading 4"/>
    <w:qFormat/>
    <w:pPr>
      <w:pBdr/>
      <w:spacing/>
      <w:ind/>
    </w:pPr>
    <w:rPr>
      <w:i/>
      <w:iCs/>
      <w:color w:val="2e74b5"/>
    </w:rPr>
  </w:style>
  <w:style w:type="paragraph" w:styleId="932">
    <w:name w:val="Heading 5"/>
    <w:qFormat/>
    <w:pPr>
      <w:pBdr/>
      <w:spacing/>
      <w:ind/>
    </w:pPr>
    <w:rPr>
      <w:color w:val="2e74b5"/>
    </w:rPr>
  </w:style>
  <w:style w:type="paragraph" w:styleId="933">
    <w:name w:val="Heading 6"/>
    <w:qFormat/>
    <w:pPr>
      <w:pBdr/>
      <w:spacing/>
      <w:ind/>
    </w:pPr>
    <w:rPr>
      <w:color w:val="1f4d78"/>
    </w:rPr>
  </w:style>
  <w:style w:type="paragraph" w:styleId="934">
    <w:name w:val="Strong"/>
    <w:qFormat/>
    <w:pPr>
      <w:pBdr/>
      <w:spacing/>
      <w:ind/>
    </w:pPr>
    <w:rPr>
      <w:b/>
      <w:bCs/>
    </w:rPr>
  </w:style>
  <w:style w:type="paragraph" w:styleId="935">
    <w:name w:val="List Paragraph"/>
    <w:qFormat/>
    <w:pPr>
      <w:numPr>
        <w:ilvl w:val="0"/>
        <w:numId w:val="2"/>
      </w:numPr>
      <w:suppressLineNumbers w:val="false"/>
      <w:pBdr/>
      <w:spacing w:after="0" w:before="0" w:line="360" w:lineRule="auto"/>
      <w:ind w:right="0" w:firstLine="720" w:left="0"/>
      <w:jc w:val="both"/>
    </w:pPr>
  </w:style>
  <w:style w:type="character" w:styleId="93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8">
    <w:name w:val="footnote text"/>
    <w:link w:val="9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9">
    <w:name w:val="Footnote Text Char"/>
    <w:link w:val="9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1">
    <w:name w:val="endnote text"/>
    <w:link w:val="9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2">
    <w:name w:val="Endnote Text Char"/>
    <w:link w:val="94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2026-04-23T13:45:30Z</dcterms:created>
  <dcterms:modified xsi:type="dcterms:W3CDTF">2026-04-25T06:17:26Z</dcterms:modified>
</cp:coreProperties>
</file>