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7728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1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ростые симметричные шифры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58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158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</w:t>
      </w:r>
      <w:r>
        <w:t xml:space="preserve">6</w:t>
      </w:r>
      <w:r>
        <w:t xml:space="preserve">/</w:t>
      </w:r>
      <w:r>
        <w:t xml:space="preserve">1</w:t>
      </w:r>
      <w:r>
        <w:t xml:space="preserve">Б</w:t>
      </w:r>
      <w:r>
        <w:t xml:space="preserve">, 0323</w:t>
      </w:r>
      <w:r>
        <w:t xml:space="preserve">22546</w:t>
      </w:r>
      <w:r>
        <w:t xml:space="preserve">              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</w:t>
      </w:r>
      <w:r>
        <w:t xml:space="preserve"> Е</w:t>
      </w:r>
      <w:r>
        <w:t xml:space="preserve">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53632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5680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/>
      </w:sdtPr>
      <w:sdtContent>
        <w:p>
          <w:pPr>
            <w:pStyle w:val="789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0131248" w:anchor="_Toc210131248" w:history="1">
            <w:r>
              <w:rPr>
                <w:rStyle w:val="791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_Toc210131248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49" w:anchor="_Toc210131249" w:history="1">
            <w:r>
              <w:rPr>
                <w:rStyle w:val="791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_Toc210131249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0" w:anchor="_Toc210131250" w:history="1">
            <w:r>
              <w:rPr>
                <w:rStyle w:val="791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_Toc210131250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1" w:anchor="_Toc210131251" w:history="1">
            <w:r>
              <w:rPr>
                <w:rStyle w:val="791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_Toc210131251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2" w:anchor="_Toc210131252" w:history="1">
            <w:r>
              <w:rPr>
                <w:rStyle w:val="791"/>
              </w:rPr>
              <w:t xml:space="preserve">Модификация алгоритма</w:t>
            </w:r>
            <w:r>
              <w:tab/>
            </w:r>
            <w:r>
              <w:fldChar w:fldCharType="begin"/>
            </w:r>
            <w:r>
              <w:instrText xml:space="preserve"> PAGEREF _Toc210131252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3" w:anchor="_Toc210131253" w:history="1">
            <w:r>
              <w:rPr>
                <w:rStyle w:val="791"/>
              </w:rPr>
              <w:t xml:space="preserve">Программа, реализующая модифицированный алгоритм</w:t>
            </w:r>
            <w:r>
              <w:tab/>
            </w:r>
            <w:r>
              <w:fldChar w:fldCharType="begin"/>
            </w:r>
            <w:r>
              <w:instrText xml:space="preserve"> PAGEREF _Toc210131253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4" w:anchor="_Toc210131254" w:history="1">
            <w:r>
              <w:rPr>
                <w:rStyle w:val="791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_Toc210131254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5" w:anchor="_Toc210131255" w:history="1">
            <w:r>
              <w:rPr>
                <w:rStyle w:val="791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_Toc210131255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6" w:anchor="_Toc210131256" w:history="1">
            <w:r>
              <w:rPr>
                <w:rStyle w:val="791"/>
              </w:rPr>
              <w:t xml:space="preserve">ПРИЛОЖЕНИЕ Б</w:t>
            </w:r>
            <w:r>
              <w:tab/>
            </w:r>
            <w:r>
              <w:fldChar w:fldCharType="begin"/>
            </w:r>
            <w:r>
              <w:instrText xml:space="preserve"> PAGEREF _Toc210131256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75"/>
        <w:pBdr/>
        <w:spacing/>
        <w:ind w:firstLine="708"/>
        <w:rPr/>
      </w:pPr>
      <w:r/>
      <w:bookmarkStart w:id="0" w:name="_Toc210131248"/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</w:t>
      </w:r>
      <w:r>
        <w:t xml:space="preserve">огласно Вашему персональному варианту (см. табл. 2) или индивидуальному задан</w:t>
      </w:r>
      <w:r>
        <w:t xml:space="preserve">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</w:t>
      </w:r>
      <w:r>
        <w:t xml:space="preserve">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</w:t>
      </w:r>
      <w:r>
        <w:t xml:space="preserve">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r>
        <w:t xml:space="preserve">криптостокость</w:t>
      </w:r>
      <w:r>
        <w:t xml:space="preserve">. Разработанная Вами программа должна содержать графический интерфейс пользователя. </w:t>
      </w:r>
      <w:r>
        <w:t xml:space="preserve">Выбранный вариант - №1 (</w:t>
      </w:r>
      <w:r>
        <w:t xml:space="preserve">Шифр на основе магических квадратов).</w:t>
      </w: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" w:name="_Toc210131249"/>
      <w:r>
        <w:t xml:space="preserve">Ход выполнения</w:t>
      </w:r>
      <w:bookmarkEnd w:id="1"/>
      <w:r/>
      <w:r/>
    </w:p>
    <w:p>
      <w:pPr>
        <w:pStyle w:val="775"/>
        <w:pBdr/>
        <w:spacing/>
        <w:ind/>
        <w:rPr/>
      </w:pPr>
      <w:r/>
      <w:bookmarkStart w:id="2" w:name="_Toc210131250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На рисунке 1 продемонстрирована блок-схема шифрования текста.</w:t>
      </w:r>
      <w:r/>
    </w:p>
    <w:p>
      <w:pPr>
        <w:pBdr/>
        <w:spacing/>
        <w:ind w:firstLine="0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8913" cy="803600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836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58913" cy="8036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0.86pt;height:632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Алгоритм шифрования текста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810" cy="5420412"/>
                <wp:effectExtent l="0" t="0" r="0" b="889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570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69270" cy="5432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82.58pt;height:426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Алгоритм шифрования текста (часть 2)</w:t>
      </w:r>
      <w:r/>
    </w:p>
    <w:p>
      <w:pPr>
        <w:pBdr/>
        <w:spacing/>
        <w:ind/>
        <w:rPr/>
      </w:pPr>
      <w:r>
        <w:t xml:space="preserve">На рисунках 3 и 4 продемонстрирована блок-схема расшифровки текста.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0060" cy="5350627"/>
                <wp:effectExtent l="0" t="0" r="2540" b="254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691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75066" cy="535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91.34pt;height:421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Блок-схема расшифровки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8516" cy="5153378"/>
                <wp:effectExtent l="0" t="0" r="0" b="9525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358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22194" cy="5157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95.16pt;height:405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line="480" w:lineRule="auto"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текста (часть 2)</w:t>
      </w:r>
      <w:r/>
    </w:p>
    <w:p>
      <w:pPr>
        <w:pStyle w:val="775"/>
        <w:pBdr/>
        <w:spacing/>
        <w:ind/>
        <w:rPr/>
      </w:pPr>
      <w:r/>
      <w:bookmarkStart w:id="3" w:name="_Toc210131251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двойного квадрата была написана программа на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5-</w:t>
      </w:r>
      <w:r>
        <w:t xml:space="preserve">10</w:t>
      </w:r>
      <w:r>
        <w:t xml:space="preserve">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218" cy="3727661"/>
                <wp:effectExtent l="0" t="0" r="0" b="635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850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59233" cy="3730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40.73pt;height:293.5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3990476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37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28571" cy="39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5.71pt;height:314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640" cy="3980952"/>
                <wp:effectExtent l="0" t="0" r="3810" b="635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302405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63640" cy="398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41.23pt;height:313.4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4762" cy="4066667"/>
                <wp:effectExtent l="0" t="0" r="0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22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04762" cy="40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60.22pt;height:320.2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rPr>
          <w:lang w:val="en-US"/>
        </w:rPr>
        <w:t xml:space="preserve"> –</w:t>
      </w:r>
      <w:r>
        <w:t xml:space="preserve">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429" cy="4190476"/>
                <wp:effectExtent l="0" t="0" r="635" b="635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377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71429" cy="41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96.96pt;height:329.9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3704762"/>
                <wp:effectExtent l="0" t="0" r="0" b="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2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71428" cy="3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49.72pt;height:291.7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pStyle w:val="775"/>
        <w:pBdr/>
        <w:spacing/>
        <w:ind/>
        <w:rPr/>
      </w:pPr>
      <w:r/>
      <w:bookmarkStart w:id="4" w:name="_Toc210131252"/>
      <w:r>
        <w:t xml:space="preserve">Модификация алгоритма</w:t>
      </w:r>
      <w:bookmarkEnd w:id="4"/>
      <w:r/>
      <w:r/>
    </w:p>
    <w:p>
      <w:pPr>
        <w:pBdr/>
        <w:spacing/>
        <w:ind w:firstLine="708"/>
        <w:rPr/>
      </w:pPr>
      <w:r>
        <w:t xml:space="preserve">Предлагаемая модификация кардинально меняет подход к формированию шифровальных </w:t>
      </w:r>
      <w:r>
        <w:t xml:space="preserve">матриц</w:t>
      </w:r>
      <w:r>
        <w:t xml:space="preserve">. В отличие от исходного алгоритма, где две </w:t>
      </w:r>
      <w:r>
        <w:t xml:space="preserve">матрицы</w:t>
      </w:r>
      <w:r>
        <w:t xml:space="preserve"> остаются статичными на протяжении всего процесса шифрования, в модифицированной версии </w:t>
      </w:r>
      <w:r>
        <w:t xml:space="preserve">матрицы</w:t>
      </w:r>
      <w:r>
        <w:t xml:space="preserve"> динамически изменяются для каждой обрабатываемой биграммы текста. Это достигается за счет введения механизма генерации уникальных </w:t>
      </w:r>
      <w:r>
        <w:t xml:space="preserve">seed</w:t>
      </w:r>
      <w:r>
        <w:t xml:space="preserve">-значений для каждой позиции в тексте, которые зависят от трех параметров: текущей позиции биграммы, предыдущих уже обработанных символов и базового ключа.</w:t>
      </w:r>
      <w:r/>
    </w:p>
    <w:p>
      <w:pPr>
        <w:pBdr/>
        <w:spacing/>
        <w:ind w:firstLine="708"/>
        <w:rPr/>
      </w:pPr>
      <w:r>
        <w:t xml:space="preserve">В классическом </w:t>
      </w:r>
      <w:r>
        <w:t xml:space="preserve">алгоритме</w:t>
      </w:r>
      <w:r>
        <w:t xml:space="preserve"> основная уязвимость проистекает из статичности шифровальных</w:t>
      </w:r>
      <w:r>
        <w:t xml:space="preserve"> матриц</w:t>
      </w:r>
      <w:r>
        <w:t xml:space="preserve">. Поскольку соответствие между символами открытого текста и </w:t>
      </w:r>
      <w:r>
        <w:t xml:space="preserve">шифротекста</w:t>
      </w:r>
      <w:r>
        <w:t xml:space="preserve"> остается неизменным на протяжении всего сообщения, криптоаналитик может применять частотный анализ, основанный на статистических закономерностях языка. Один и тот же символ открытого текста всегда будет преобразовываться в один и тот же символ </w:t>
      </w:r>
      <w:r>
        <w:t xml:space="preserve">шифротекста</w:t>
      </w:r>
      <w:r>
        <w:t xml:space="preserve"> в идентичном контексте, что позволяет строить корреляционные модели.</w:t>
      </w:r>
      <w:r/>
    </w:p>
    <w:p>
      <w:pPr>
        <w:pBdr/>
        <w:spacing/>
        <w:ind w:firstLine="708"/>
        <w:rPr/>
      </w:pPr>
      <w:r>
        <w:t xml:space="preserve">В модифицированном алгоритме эта фундаментальная слабость полностью устраняется. Благодаря динамически меняющимся сеткам, один и тот же символ открытого текста, встречающийся в разных позициях сообщения, будет шифроваться в различные символы </w:t>
      </w:r>
      <w:r>
        <w:t xml:space="preserve">шифротекста</w:t>
      </w:r>
      <w:r>
        <w:t xml:space="preserve">. Более того, даже идентичные бигра</w:t>
      </w:r>
      <w:r>
        <w:t xml:space="preserve">ммы, появляющиеся в разных частях сообщения, получат совершенно различные шифровальные представления. Это нарушает базовое предположение частотного анализа о сохранении статистических характеристик и делает традиционные методы криптоанализа неэффективными.</w:t>
      </w:r>
      <w:r/>
    </w:p>
    <w:p>
      <w:pPr>
        <w:pBdr/>
        <w:spacing/>
        <w:ind w:firstLine="708"/>
        <w:rPr/>
      </w:pPr>
      <w:r>
        <w:t xml:space="preserve">Криптографическая стойкость алгоритма напрямую связана с размером пространства ключей. В </w:t>
      </w:r>
      <w:r>
        <w:t xml:space="preserve">классическом </w:t>
      </w:r>
      <w:r>
        <w:t xml:space="preserve"> алгоритме</w:t>
      </w:r>
      <w:r>
        <w:t xml:space="preserve"> пространство ключей ограничено числом возможных перестановок двух </w:t>
      </w:r>
      <w:r>
        <w:t xml:space="preserve">полибианских</w:t>
      </w:r>
      <w:r>
        <w:t xml:space="preserve"> сеток, что составляет</w:t>
      </w:r>
      <w:r>
        <w:t xml:space="preserve"> примерно</w:t>
      </w:r>
      <w:r>
        <w:t xml:space="preserve"> 2 × 25! ≈ 3.1 × 10²⁵ возможных комбинаций. </w:t>
      </w:r>
      <w:r/>
    </w:p>
    <w:p>
      <w:pPr>
        <w:pBdr/>
        <w:spacing/>
        <w:ind w:firstLine="708"/>
        <w:rPr/>
      </w:pPr>
      <w:r>
        <w:t xml:space="preserve">В модифицированном алгоритме пространство ключей приобретает экспоненциальную зависимость от длины сообщения. Для каждой из m/2 биграмм в сообщении длиной m символов генерируется уникальная пара сеток на основе </w:t>
      </w:r>
      <w:r>
        <w:t xml:space="preserve">seed</w:t>
      </w:r>
      <w:r>
        <w:t xml:space="preserve">-значений из пространства размером примерно 1000 вариантов (благодаря модульной арифметике в функции генерации </w:t>
      </w:r>
      <w:r>
        <w:t xml:space="preserve">seed</w:t>
      </w:r>
      <w:r>
        <w:t xml:space="preserve">). Таким образом, общее пространство ключей возрастает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Style w:val="829"/>
                <w:rFonts w:ascii="Cambria Math" w:hAnsi="Cambria Math"/>
              </w:rPr>
              <m:rPr/>
              <m:t>2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*25!*</m:t>
            </m:r>
            <m:r>
              <w:rPr>
                <w:rStyle w:val="829"/>
                <w:rFonts w:ascii="Cambria Math" w:hAnsi="Cambria Math"/>
              </w:rPr>
              <m:rPr/>
              <m:t>1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000</m:t>
            </m:r>
          </m:e>
          <m:sup>
            <m:r>
              <w:rPr>
                <w:rStyle w:val="829"/>
                <w:rFonts w:ascii="Cambria Math" w:hAnsi="Cambria Math"/>
              </w:rPr>
              <m:rPr/>
              <m:t>m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/2</m:t>
            </m:r>
          </m:sup>
        </m:sSup>
      </m:oMath>
      <w:r>
        <w:t xml:space="preserve">.</w:t>
      </w:r>
      <w:r/>
    </w:p>
    <w:p>
      <w:pPr>
        <w:pBdr/>
        <w:spacing/>
        <w:ind w:firstLine="708"/>
        <w:rPr>
          <w:lang w:val="en-US"/>
        </w:rPr>
      </w:pPr>
      <w:r>
        <w:t xml:space="preserve">Для типичного сообщения из 20 символов (10 биграмм) это дает примерно 3.1 × 10²⁵ × 10³⁰ = 3.1 × 10⁵⁵ возможных комбинаций, что на 30 порядков больше классического варианта</w:t>
      </w:r>
      <w:r>
        <w:t xml:space="preserve">.</w:t>
      </w:r>
      <w:r>
        <w:rPr>
          <w:lang w:val="en-US"/>
        </w:rPr>
      </w:r>
    </w:p>
    <w:p>
      <w:pPr>
        <w:pBdr/>
        <w:spacing/>
        <w:ind w:firstLine="708"/>
        <w:rPr/>
      </w:pPr>
      <w:r>
        <w:t xml:space="preserve">На рисунках</w:t>
      </w:r>
      <w:r>
        <w:t xml:space="preserve"> 11 и 12 представлена блок-схема для шифрования сообщения</w:t>
      </w:r>
      <w:r>
        <w:t xml:space="preserve">, </w:t>
      </w:r>
      <w:r>
        <w:t xml:space="preserve">с выделением изменившейся части алгоритма.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6744" cy="4679819"/>
                <wp:effectExtent l="0" t="0" r="0" b="6985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53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370519" cy="468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43.84pt;height:368.4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Блок-схема шифрования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0567" cy="5364702"/>
                <wp:effectExtent l="0" t="0" r="6350" b="7620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47807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80567" cy="5364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68.55pt;height:422.4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Блок-схема шифрования (часть 2)</w:t>
      </w:r>
      <w:r/>
    </w:p>
    <w:p>
      <w:pPr>
        <w:pBdr/>
        <w:spacing/>
        <w:ind/>
        <w:rPr/>
      </w:pPr>
      <w:r>
        <w:t xml:space="preserve">На рисунках 13 и 14 демонстрируется блок-схема расшифровки сообщений с выделением изменившейся части алгоритма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4208" cy="4266342"/>
                <wp:effectExtent l="0" t="0" r="0" b="1270"/>
                <wp:docPr id="2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662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78375" cy="4270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8.05pt;height:335.9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– Блок-схема расшифровки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8541" cy="5465648"/>
                <wp:effectExtent l="0" t="0" r="0" b="1905"/>
                <wp:docPr id="2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776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01265" cy="546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54.22pt;height:430.3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(часть 2)</w:t>
      </w:r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5" w:name="_Toc210131253"/>
      <w:r>
        <w:t xml:space="preserve">Программа</w:t>
      </w:r>
      <w:r>
        <w:t xml:space="preserve">, </w:t>
      </w:r>
      <w:r>
        <w:t xml:space="preserve">реализующая </w:t>
      </w:r>
      <w:r>
        <w:t xml:space="preserve">модифицированный алгоритм</w:t>
      </w:r>
      <w:bookmarkEnd w:id="5"/>
      <w:r/>
      <w:r/>
    </w:p>
    <w:p>
      <w:pPr>
        <w:pBdr/>
        <w:spacing/>
        <w:ind w:firstLine="0"/>
        <w:rPr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Б. Результаты работы программы представлены на рисунках 15</w:t>
      </w:r>
      <w:r>
        <w:t xml:space="preserve">-20</w:t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4847619"/>
                <wp:effectExtent l="0" t="0" r="0" b="0"/>
                <wp:docPr id="2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821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628571" cy="48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85.71pt;height:381.7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7886" cy="4162107"/>
                <wp:effectExtent l="0" t="0" r="0" b="0"/>
                <wp:docPr id="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500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131991" cy="4167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46.29pt;height:327.7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– Расшифровка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476" cy="4704762"/>
                <wp:effectExtent l="0" t="0" r="635" b="635"/>
                <wp:docPr id="2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319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90476" cy="4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66.97pt;height:370.4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–</w:t>
      </w:r>
      <w:r>
        <w:t xml:space="preserve"> 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381" cy="4771429"/>
                <wp:effectExtent l="0" t="0" r="0" b="0"/>
                <wp:docPr id="2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254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152381" cy="4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48.22pt;height:375.7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048" cy="4914286"/>
                <wp:effectExtent l="0" t="0" r="0" b="635"/>
                <wp:docPr id="2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891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419048" cy="49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69.22pt;height:386.9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4800000"/>
                <wp:effectExtent l="0" t="0" r="0" b="635"/>
                <wp:docPr id="2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330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71428" cy="4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49.72pt;height:377.9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/>
    </w:p>
    <w:p>
      <w:pPr>
        <w:pStyle w:val="843"/>
        <w:pBdr/>
        <w:spacing w:line="480" w:lineRule="auto"/>
        <w:ind/>
        <w:outlineLvl w:val="0"/>
        <w:rPr/>
      </w:pPr>
      <w:r/>
      <w:bookmarkStart w:id="6" w:name="_Toc210131254"/>
      <w:r>
        <w:t xml:space="preserve">Вывод</w:t>
      </w:r>
      <w:bookmarkEnd w:id="6"/>
      <w:r/>
      <w:r/>
    </w:p>
    <w:p>
      <w:pPr>
        <w:pBdr/>
        <w:spacing/>
        <w:ind/>
        <w:rPr/>
      </w:pPr>
      <w:r>
        <w:t xml:space="preserve">В </w:t>
      </w:r>
      <w:r>
        <w:t xml:space="preserve">ходе выполнения практической работы были получены знания о симметричных шифрах</w:t>
      </w:r>
      <w:r>
        <w:t xml:space="preserve">, </w:t>
      </w:r>
      <w:r>
        <w:t xml:space="preserve">о криптостойкости алгоритмов шифрования</w:t>
      </w:r>
      <w:r>
        <w:t xml:space="preserve">, </w:t>
      </w:r>
      <w:r>
        <w:t xml:space="preserve">а также практические навыки реализации симметричных алгоритмов шифрования.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7" w:name="_Toc210131255"/>
      <w:r>
        <w:t xml:space="preserve">ПРИЛОЖЕНИЕ А</w:t>
      </w:r>
      <w:bookmarkEnd w:id="7"/>
      <w:r/>
      <w:r/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key)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(/X$/,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8" w:name="_Toc210131256"/>
      <w:r>
        <w:t xml:space="preserve">ПРИЛОЖЕНИЕ </w:t>
      </w:r>
      <w:r>
        <w:t xml:space="preserve">Б</w:t>
      </w:r>
      <w:bookmarkEnd w:id="8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DynamicGridTwoSquareCipher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seed: number):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seed % 10;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% 25);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str: string, shift: number):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shift = shift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(shift)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(0, shift);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string): number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seed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* 31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seed = (seed + position * 17)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*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seed;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char1 + 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 === 'X' &amp;&amp;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||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 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&amp;&amp;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+ 2])))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displayGridsForPosition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 = ''):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`Grids for position ${position} with previous text "${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}</w:t>
      </w:r>
      <w:r>
        <w:rPr>
          <w:rFonts w:ascii="Courier New" w:hAnsi="Courier New" w:cs="Courier New"/>
          <w:sz w:val="12"/>
          <w:szCs w:val="12"/>
          <w:lang w:val="en-US"/>
        </w:rPr>
        <w:t xml:space="preserve">":`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Cambria Math">
    <w:panose1 w:val="02000603000000000000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79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9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779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4"/>
    <w:next w:val="7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4"/>
    <w:next w:val="7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8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8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8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80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4"/>
    <w:next w:val="7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8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4"/>
    <w:next w:val="7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8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4"/>
    <w:next w:val="7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8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80"/>
    <w:link w:val="793"/>
    <w:uiPriority w:val="99"/>
    <w:pPr>
      <w:pBdr/>
      <w:spacing/>
      <w:ind/>
    </w:pPr>
  </w:style>
  <w:style w:type="character" w:styleId="179">
    <w:name w:val="Footer Char"/>
    <w:basedOn w:val="780"/>
    <w:link w:val="795"/>
    <w:uiPriority w:val="99"/>
    <w:pPr>
      <w:pBdr/>
      <w:spacing/>
      <w:ind/>
    </w:pPr>
  </w:style>
  <w:style w:type="paragraph" w:styleId="181">
    <w:name w:val="footnote text"/>
    <w:basedOn w:val="7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3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4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5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6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7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775">
    <w:name w:val="Heading 1"/>
    <w:basedOn w:val="774"/>
    <w:next w:val="774"/>
    <w:link w:val="787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6">
    <w:name w:val="Heading 2"/>
    <w:basedOn w:val="775"/>
    <w:next w:val="774"/>
    <w:link w:val="806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777">
    <w:name w:val="Heading 3"/>
    <w:basedOn w:val="776"/>
    <w:next w:val="774"/>
    <w:link w:val="808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778">
    <w:name w:val="Heading 4"/>
    <w:basedOn w:val="777"/>
    <w:next w:val="774"/>
    <w:link w:val="809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779">
    <w:name w:val="Heading 5"/>
    <w:basedOn w:val="774"/>
    <w:next w:val="774"/>
    <w:link w:val="842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780" w:default="1">
    <w:name w:val="Default Paragraph Font"/>
    <w:uiPriority w:val="1"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western"/>
    <w:basedOn w:val="774"/>
    <w:link w:val="804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784">
    <w:name w:val="List Paragraph"/>
    <w:basedOn w:val="774"/>
    <w:uiPriority w:val="34"/>
    <w:qFormat/>
    <w:pPr>
      <w:pBdr/>
      <w:spacing/>
      <w:ind w:left="720"/>
    </w:pPr>
  </w:style>
  <w:style w:type="paragraph" w:styleId="785">
    <w:name w:val="Normal (Web)"/>
    <w:basedOn w:val="774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786" w:customStyle="1">
    <w:name w:val="apple-converted-space"/>
    <w:basedOn w:val="780"/>
    <w:uiPriority w:val="99"/>
    <w:pPr>
      <w:pBdr/>
      <w:spacing/>
      <w:ind/>
    </w:pPr>
  </w:style>
  <w:style w:type="character" w:styleId="787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8">
    <w:name w:val="No Spacing"/>
    <w:basedOn w:val="774"/>
    <w:uiPriority w:val="99"/>
    <w:qFormat/>
    <w:pPr>
      <w:pBdr/>
      <w:spacing w:line="240" w:lineRule="auto"/>
      <w:ind w:firstLine="0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0">
    <w:name w:val="toc 1"/>
    <w:basedOn w:val="774"/>
    <w:next w:val="774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791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92">
    <w:name w:val="Table Grid"/>
    <w:basedOn w:val="78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er"/>
    <w:basedOn w:val="774"/>
    <w:link w:val="7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4" w:customStyle="1">
    <w:name w:val="Верхний колонтитул Знак"/>
    <w:basedOn w:val="780"/>
    <w:link w:val="7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5">
    <w:name w:val="Footer"/>
    <w:basedOn w:val="774"/>
    <w:link w:val="7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6" w:customStyle="1">
    <w:name w:val="Нижний колонтитул Знак"/>
    <w:basedOn w:val="780"/>
    <w:link w:val="79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7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798" w:customStyle="1">
    <w:name w:val="WW8Num1z5"/>
    <w:pPr>
      <w:pBdr/>
      <w:spacing/>
      <w:ind/>
    </w:pPr>
  </w:style>
  <w:style w:type="character" w:styleId="799" w:customStyle="1">
    <w:name w:val="instancename"/>
    <w:basedOn w:val="780"/>
    <w:pPr>
      <w:pBdr/>
      <w:spacing/>
      <w:ind/>
    </w:pPr>
  </w:style>
  <w:style w:type="character" w:styleId="800" w:customStyle="1">
    <w:name w:val="accesshide"/>
    <w:basedOn w:val="780"/>
    <w:pPr>
      <w:pBdr/>
      <w:spacing/>
      <w:ind/>
    </w:pPr>
  </w:style>
  <w:style w:type="paragraph" w:styleId="801">
    <w:name w:val="Balloon Text"/>
    <w:basedOn w:val="774"/>
    <w:link w:val="80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2" w:customStyle="1">
    <w:name w:val="Текст выноски Знак"/>
    <w:basedOn w:val="780"/>
    <w:link w:val="80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03" w:customStyle="1">
    <w:name w:val="Титульник"/>
    <w:basedOn w:val="783"/>
    <w:link w:val="805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804" w:customStyle="1">
    <w:name w:val="western Знак"/>
    <w:basedOn w:val="780"/>
    <w:link w:val="783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5" w:customStyle="1">
    <w:name w:val="Титульник Знак"/>
    <w:basedOn w:val="804"/>
    <w:link w:val="803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6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07">
    <w:name w:val="toc 2"/>
    <w:basedOn w:val="774"/>
    <w:next w:val="774"/>
    <w:uiPriority w:val="39"/>
    <w:unhideWhenUsed/>
    <w:pPr>
      <w:pBdr/>
      <w:spacing w:after="100"/>
      <w:ind w:left="280"/>
    </w:pPr>
  </w:style>
  <w:style w:type="character" w:styleId="808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09" w:customStyle="1">
    <w:name w:val="Заголовок 4 Знак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10">
    <w:name w:val="toc 3"/>
    <w:basedOn w:val="774"/>
    <w:next w:val="774"/>
    <w:uiPriority w:val="39"/>
    <w:unhideWhenUsed/>
    <w:pPr>
      <w:pBdr/>
      <w:spacing w:after="100"/>
      <w:ind w:left="560"/>
    </w:pPr>
  </w:style>
  <w:style w:type="paragraph" w:styleId="811" w:customStyle="1">
    <w:name w:val="Рисунки"/>
    <w:basedOn w:val="774"/>
    <w:link w:val="812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812" w:customStyle="1">
    <w:name w:val="Рисунки Знак"/>
    <w:basedOn w:val="780"/>
    <w:link w:val="811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813">
    <w:name w:val="Document Map"/>
    <w:basedOn w:val="774"/>
    <w:link w:val="8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14" w:customStyle="1">
    <w:name w:val="Схема документа Знак"/>
    <w:basedOn w:val="780"/>
    <w:link w:val="81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15">
    <w:name w:val="line number"/>
    <w:basedOn w:val="780"/>
    <w:uiPriority w:val="99"/>
    <w:semiHidden/>
    <w:unhideWhenUsed/>
    <w:pPr>
      <w:pBdr/>
      <w:spacing/>
      <w:ind/>
    </w:pPr>
  </w:style>
  <w:style w:type="paragraph" w:styleId="816" w:customStyle="1">
    <w:name w:val="Код"/>
    <w:basedOn w:val="774"/>
    <w:link w:val="818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817">
    <w:name w:val="Body Text Indent"/>
    <w:basedOn w:val="774"/>
    <w:link w:val="819"/>
    <w:pPr>
      <w:pBdr/>
      <w:spacing w:line="240" w:lineRule="auto"/>
      <w:ind/>
    </w:pPr>
    <w:rPr>
      <w:sz w:val="24"/>
      <w:szCs w:val="24"/>
      <w:lang w:eastAsia="ru-RU"/>
    </w:rPr>
  </w:style>
  <w:style w:type="character" w:styleId="818" w:customStyle="1">
    <w:name w:val="Код Знак"/>
    <w:basedOn w:val="780"/>
    <w:link w:val="816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9" w:customStyle="1">
    <w:name w:val="Основной текст с отступом Знак"/>
    <w:basedOn w:val="780"/>
    <w:link w:val="817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0">
    <w:name w:val="Plain Text"/>
    <w:basedOn w:val="774"/>
    <w:link w:val="821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821" w:customStyle="1">
    <w:name w:val="Текст Знак"/>
    <w:basedOn w:val="780"/>
    <w:link w:val="820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822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3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24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character" w:styleId="825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6" w:customStyle="1">
    <w:name w:val="hljs-number"/>
    <w:basedOn w:val="780"/>
    <w:pPr>
      <w:pBdr/>
      <w:spacing/>
      <w:ind/>
    </w:pPr>
  </w:style>
  <w:style w:type="paragraph" w:styleId="827" w:customStyle="1">
    <w:name w:val="Формула"/>
    <w:basedOn w:val="774"/>
    <w:link w:val="829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828" w:customStyle="1">
    <w:name w:val="Где"/>
    <w:basedOn w:val="774"/>
    <w:link w:val="830"/>
    <w:qFormat/>
    <w:pPr>
      <w:pBdr/>
      <w:tabs>
        <w:tab w:val="left" w:leader="none" w:pos="454"/>
      </w:tabs>
      <w:spacing/>
      <w:ind w:firstLine="0"/>
    </w:pPr>
  </w:style>
  <w:style w:type="character" w:styleId="829" w:customStyle="1">
    <w:name w:val="Формула Знак"/>
    <w:basedOn w:val="780"/>
    <w:link w:val="82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Где Знак"/>
    <w:basedOn w:val="780"/>
    <w:link w:val="828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831" w:customStyle="1">
    <w:name w:val="Стиль основного текста"/>
    <w:basedOn w:val="774"/>
    <w:link w:val="834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832" w:customStyle="1">
    <w:name w:val="Стиль основного текста без отступа"/>
    <w:basedOn w:val="831"/>
    <w:next w:val="831"/>
    <w:pPr>
      <w:pBdr/>
      <w:spacing/>
      <w:ind w:firstLine="0"/>
    </w:pPr>
  </w:style>
  <w:style w:type="paragraph" w:styleId="833" w:customStyle="1">
    <w:name w:val="Стиль формулы"/>
    <w:basedOn w:val="831"/>
    <w:next w:val="831"/>
    <w:pPr>
      <w:pBdr/>
      <w:spacing w:after="120" w:before="120"/>
      <w:ind w:firstLine="0"/>
      <w:jc w:val="center"/>
    </w:pPr>
  </w:style>
  <w:style w:type="character" w:styleId="834" w:customStyle="1">
    <w:name w:val="Стиль основного текста Знак"/>
    <w:link w:val="83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5">
    <w:name w:val="annotation reference"/>
    <w:basedOn w:val="7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6">
    <w:name w:val="annotation text"/>
    <w:basedOn w:val="774"/>
    <w:link w:val="8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7" w:customStyle="1">
    <w:name w:val="Текст примечания Знак"/>
    <w:basedOn w:val="780"/>
    <w:link w:val="83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8">
    <w:name w:val="annotation subject"/>
    <w:basedOn w:val="836"/>
    <w:next w:val="836"/>
    <w:link w:val="839"/>
    <w:uiPriority w:val="99"/>
    <w:semiHidden/>
    <w:unhideWhenUsed/>
    <w:pPr>
      <w:pBdr/>
      <w:spacing/>
      <w:ind/>
    </w:pPr>
    <w:rPr>
      <w:b/>
      <w:bCs/>
    </w:rPr>
  </w:style>
  <w:style w:type="character" w:styleId="839" w:customStyle="1">
    <w:name w:val="Тема примечания Знак"/>
    <w:basedOn w:val="837"/>
    <w:link w:val="83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40">
    <w:name w:val="HTML Preformatted"/>
    <w:basedOn w:val="774"/>
    <w:link w:val="84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841" w:customStyle="1">
    <w:name w:val="Стандартный HTML Знак"/>
    <w:basedOn w:val="780"/>
    <w:link w:val="84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2" w:customStyle="1">
    <w:name w:val="Заголовок 5 Знак"/>
    <w:basedOn w:val="780"/>
    <w:link w:val="779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843">
    <w:name w:val="Title"/>
    <w:basedOn w:val="774"/>
    <w:next w:val="774"/>
    <w:link w:val="844"/>
    <w:qFormat/>
    <w:pPr>
      <w:pBdr/>
      <w:spacing/>
      <w:ind/>
    </w:pPr>
    <w:rPr>
      <w:rFonts w:cs="Tahoma"/>
      <w:b/>
      <w:spacing w:val="-10"/>
      <w:szCs w:val="56"/>
    </w:rPr>
  </w:style>
  <w:style w:type="character" w:styleId="844" w:customStyle="1">
    <w:name w:val="Заголовок Знак"/>
    <w:basedOn w:val="780"/>
    <w:link w:val="843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845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46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847" w:customStyle="1">
    <w:name w:val="msonormal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revision>3</cp:revision>
  <dcterms:created xsi:type="dcterms:W3CDTF">2025-09-30T06:27:00Z</dcterms:created>
  <dcterms:modified xsi:type="dcterms:W3CDTF">2025-10-21T17:44:18Z</dcterms:modified>
</cp:coreProperties>
</file>