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glossary/fontTable.xml" ContentType="application/vnd.openxmlformats-officedocument.wordprocessingml.fontTable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Министерство науки и высшего образования РФ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Федеральное государственное автономное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образовательное учреждение высшего образования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«СИБИРСКИЙ ФЕДЕРАЛЬНЫЙ УНИВЕРСИТЕТ»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>
          <w:bottom w:val="single" w:color="000000" w:sz="6" w:space="1"/>
        </w:pBdr>
        <w:spacing w:after="0" w:before="0" w:line="240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Институт космических и информационных технологий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институт</w:t>
      </w:r>
      <w:r/>
    </w:p>
    <w:p>
      <w:pPr>
        <w:pBdr>
          <w:bottom w:val="single" w:color="000000" w:sz="6" w:space="1"/>
        </w:pBdr>
        <w:spacing w:after="0" w:before="0" w:line="240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Программная инженерия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кафедра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ОТЧЁТ ПО ЛАБОРАТОРНОЙ РАБОТЕ</w:t>
      </w:r>
      <w:r/>
    </w:p>
    <w:p>
      <w:pPr>
        <w:pBdr>
          <w:bottom w:val="single" w:color="000000" w:sz="6" w:space="1"/>
        </w:pBdr>
        <w:spacing w:after="0" w:before="0" w:line="240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Выбор и описание системы для проектирования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тема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tbl>
      <w:tblPr>
        <w:tblStyle w:val="754"/>
        <w:tblW w:w="0" w:type="auto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ook w:val="04A0" w:firstRow="1" w:lastRow="0" w:firstColumn="1" w:lastColumn="0" w:noHBand="0" w:noVBand="1"/>
      </w:tblPr>
      <w:tblGrid>
        <w:gridCol w:w="1204"/>
        <w:gridCol w:w="3696"/>
        <w:gridCol w:w="272"/>
        <w:gridCol w:w="1667"/>
        <w:gridCol w:w="272"/>
        <w:gridCol w:w="2528"/>
      </w:tblGrid>
      <w:tr>
        <w:trPr>
          <w:trHeight w:val="323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89" w:type="dxa"/>
          </w:tcPr>
          <w:p w14:paraId="3C308091">
            <w:pPr>
              <w:pBdr/>
              <w:spacing/>
              <w:ind/>
              <w:rPr/>
            </w:pPr>
            <w:r>
              <w:t xml:space="preserve">Преподаватель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065DE098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1671" w:type="dxa"/>
          </w:tcPr>
          <w:p w14:paraId="342CD0F6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24D4A5C2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2534" w:type="dxa"/>
          </w:tcPr>
          <w:p w14:paraId="77C477FA">
            <w:pPr>
              <w:pBdr/>
              <w:spacing/>
              <w:ind/>
              <w:jc w:val="center"/>
              <w:rPr/>
            </w:pPr>
            <w:r>
              <w:rPr>
                <w:color w:val="auto"/>
                <w14:ligatures w14:val="none"/>
              </w:rPr>
              <w:t xml:space="preserve">Д. В. </w:t>
            </w:r>
            <w:sdt>
              <w:sdtPr>
                <w:alias w:val="Преподаватель. Фамилия, инициалы"/>
                <w:tag w:val="Преподаватель. Фамилия, инициалы"/>
                <w15:appearance w15:val="boundingBox"/>
                <w:id w:val="2052420955"/>
                <w:lock w:val="unlocked"/>
                <w:placeholder>
                  <w:docPart w:val="f6fc0ab545eb4e0fad69b56ce82ef517"/>
                </w:placeholder>
                <w:rPr>
                  <w:color w:val="auto"/>
                  <w14:ligatures w14:val="none"/>
                </w:rPr>
              </w:sdtPr>
              <w:sdtContent>
                <w:r>
                  <w:rPr>
                    <w:color w:val="auto"/>
                    <w14:ligatures w14:val="none"/>
                  </w:rPr>
                  <w:t xml:space="preserve">Грузенкин</w:t>
                </w:r>
              </w:sdtContent>
            </w:sdt>
            <w:r/>
            <w:r/>
          </w:p>
        </w:tc>
      </w:tr>
      <w:tr>
        <w:trPr>
          <w:trHeight w:val="322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89" w:type="dxa"/>
          </w:tcPr>
          <w:p w14:paraId="0F23803C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321516F6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71" w:type="dxa"/>
          </w:tcPr>
          <w:p w14:paraId="63435622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подпись, дата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0FA073F8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34" w:type="dxa"/>
          </w:tcPr>
          <w:p w14:paraId="06ADBCDE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инициалы, фамилия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80" w:type="dxa"/>
          </w:tcPr>
          <w:p w14:paraId="4B1A7E13">
            <w:pPr>
              <w:pBdr/>
              <w:spacing/>
              <w:ind/>
              <w:rPr/>
            </w:pPr>
            <w:r>
              <w:t xml:space="preserve">Студент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3709" w:type="dxa"/>
          </w:tcPr>
          <w:p w14:paraId="15F8BEF7">
            <w:pPr>
              <w:pBdr/>
              <w:spacing/>
              <w:ind/>
              <w:jc w:val="center"/>
              <w:rPr/>
            </w:pPr>
            <w:r>
              <w:t xml:space="preserve">КИ23-16/</w:t>
            </w:r>
            <w:r>
              <w:rPr>
                <w:lang w:val="ru-RU"/>
              </w:rPr>
              <w:t xml:space="preserve">1</w:t>
            </w:r>
            <w:r>
              <w:t xml:space="preserve">б, </w:t>
            </w:r>
            <w:r>
              <w:rPr>
                <w:lang w:val="ru-RU"/>
              </w:rPr>
              <w:t xml:space="preserve">032322546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16B09208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1671" w:type="dxa"/>
          </w:tcPr>
          <w:p w14:paraId="4CC4B532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097C47A9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2534" w:type="dxa"/>
          </w:tcPr>
          <w:p w14:paraId="7772C1DA">
            <w:pPr>
              <w:pBdr/>
              <w:spacing/>
              <w:ind/>
              <w:jc w:val="center"/>
              <w:rPr/>
            </w:pPr>
            <w:r>
              <w:rPr>
                <w:lang w:val="ru-RU"/>
              </w:rPr>
              <w:t xml:space="preserve">Е. А. Гуртякин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80" w:type="dxa"/>
          </w:tcPr>
          <w:p w14:paraId="71882373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709" w:type="dxa"/>
          </w:tcPr>
          <w:p w14:paraId="46032DA5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номер группы, зачётной книжки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3456BE5D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71" w:type="dxa"/>
          </w:tcPr>
          <w:p w14:paraId="6799F16C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подпись, дата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0A7C58EB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34" w:type="dxa"/>
          </w:tcPr>
          <w:p w14:paraId="2B03B50B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инициалы, фамилия</w:t>
            </w:r>
            <w:r>
              <w:rPr>
                <w:sz w:val="20"/>
                <w:szCs w:val="20"/>
              </w:rPr>
            </w:r>
          </w:p>
        </w:tc>
      </w:tr>
    </w:tbl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02422CF5">
      <w:pPr>
        <w:pBdr/>
        <w:spacing w:after="0" w:before="0" w:line="360" w:lineRule="auto"/>
        <w:ind/>
        <w:rPr/>
      </w:pPr>
      <w:r/>
      <w:r/>
    </w:p>
    <w:p w14:paraId="225410F4">
      <w:pPr>
        <w:pBdr/>
        <w:spacing w:after="0" w:before="0" w:line="360" w:lineRule="auto"/>
        <w:ind/>
        <w:rPr/>
      </w:pPr>
      <w:r/>
      <w:r/>
    </w:p>
    <w:p w14:paraId="3599832B">
      <w:pPr>
        <w:pBdr/>
        <w:spacing w:after="0" w:before="0" w:line="360" w:lineRule="auto"/>
        <w:ind/>
        <w:rPr/>
      </w:pPr>
      <w:r/>
      <w:r/>
    </w:p>
    <w:p w14:paraId="63129AE9"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Красноярск 2026</w:t>
      </w:r>
      <w:r>
        <w:br w:type="page" w:clear="all"/>
      </w:r>
      <w:r/>
    </w:p>
    <w:p>
      <w:pPr>
        <w:pBdr/>
        <w:spacing/>
        <w:ind/>
        <w:rPr/>
        <w:sectPr>
          <w:headerReference w:type="default" r:id="rId10"/>
          <w:headerReference w:type="first" r:id="rId11"/>
          <w:footerReference w:type="default" r:id="rId12"/>
          <w:footerReference w:type="first" r:id="rId13"/>
          <w:footnotePr/>
          <w:endnotePr/>
          <w:type w:val="nextPage"/>
          <w:pgSz w:h="16838" w:orient="portrait" w:w="11906"/>
          <w:pgMar w:top="1133" w:right="567" w:bottom="1133" w:left="1700" w:header="708" w:footer="708" w:gutter="0"/>
          <w:pgNumType w:start="1"/>
          <w:cols w:num="1" w:sep="0" w:space="1701" w:equalWidth="1"/>
          <w:titlePg/>
        </w:sectPr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Целью данной лабораторной работы является выбор темы проекта (название и назначение), архитектура которой будет разрабатываться в течение семестра.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Style w:val="935"/>
        <w:suppressLineNumbers w:val="false"/>
        <w:pBdr/>
        <w:spacing/>
        <w:ind w:right="0" w:firstLine="720" w:left="0"/>
        <w:rPr>
          <w14:ligatures w14:val="none"/>
        </w:rPr>
      </w:pPr>
      <w:r>
        <w:t xml:space="preserve">выбрать тематику приложения;</w:t>
      </w:r>
      <w:r/>
    </w:p>
    <w:p>
      <w:pPr>
        <w:pStyle w:val="935"/>
        <w:suppressLineNumbers w:val="false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/>
      <w:r>
        <w:t xml:space="preserve">продумать название и задачи, которые оно выполняет;</w:t>
      </w:r>
      <w:r/>
    </w:p>
    <w:p>
      <w:pPr>
        <w:pStyle w:val="935"/>
        <w:suppressLineNumbers w:val="false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составить краткое описание системы и её характеристик;</w:t>
      </w:r>
      <w:r/>
    </w:p>
    <w:p>
      <w:pPr>
        <w:pStyle w:val="935"/>
        <w:suppressLineNumbers w:val="false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построить UML-диаграмму вариантов использования описываемой системы.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 Описание системы</w:t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1.1 Название и концепция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NewNote – веб-приложение для создания, хранения и управления текстовыми заметками. Система предоставляет пользователю простой и быстрый способ фиксировать мысли, идеи и задачи в личном пространстве с возможностью доступа с любого устройства через браузер.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1.2 Назначение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Основное назначение NewNote – предоставить пользователям удобный, минималистичный инструмент для ведения заметок без лишней функциональности. В отличие от громоздких аналогов, NewNote ориентирован на скорость и простоту: открыл, написал, сохранил.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1.3 Основные характеристики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Система обладает следующими основными характеристиками: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тип системы – клиент-серверное веб-приложение;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платформа – браузерная (доступна с любого устройства);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аутентификация – двухканальная: по адресу электронной почты и по SMS-коду;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хранилище заметок – персональное, привязанное к учётной записи пользователя;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операции с заметками – создание, просмотр, редактирование, удаление, поиск;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доступность – круглосуточная, без ограничений по количеству заметок.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1.4 Участники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системе выделяются две категории участников:</w:t>
      </w:r>
      <w:r/>
    </w:p>
    <w:p>
      <w:pPr>
        <w:pStyle w:val="935"/>
        <w:pBdr/>
        <w:spacing w:after="0" w:before="0" w:line="360" w:lineRule="auto"/>
        <w:ind w:right="0" w:firstLine="735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незарегистрированный пользователь (гость) – может пройти регистрацию или войти в существующую учётную запись;</w:t>
      </w:r>
      <w:r/>
    </w:p>
    <w:p>
      <w:pPr>
        <w:pStyle w:val="935"/>
        <w:pBdr/>
        <w:spacing w:after="0" w:before="0" w:line="360" w:lineRule="auto"/>
        <w:ind w:right="0" w:firstLine="735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зарегистрированный пользователь – имеет доступ ко всем функциям управления заметками после успешной аутентификации.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 UML-диаграмма вариантов использования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Диаграмма вариантов использования (Use Case Diagram) отражает взаимодействие участников системы NewNote с её функциональными возможностями. Диаграмма представлена на рисунке 1.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На диаграмме выделены следующие участники: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незарегистрированный пользователь (гость) – может зарегистрироваться в системе и пройти аутентификацию одним из двух способов;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зарегистрированный пользователь – может пройти аутентификацию, выполнять операции с заметками и завершить сеанс работы.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53000" cy="3409950"/>
                <wp:effectExtent l="0" t="0" r="0" b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4953000" cy="3409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90.00pt;height:268.5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Bdr/>
        <w:spacing w:after="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 – Use-case диаграмма системы NewNote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Варианты использования системы: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«Зарегистрироваться» – создание новой учётной записи с указанием e-mail и номера телефона;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«Войти по e-mail» – вход в систему через адрес электронной почты и пароль;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«Войти по SMS» – вход через одноразовый SMS-код, отправляемый на привязанный номер телефона;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«Создать заметку» – добавление новой записи с заголовком и текстом;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«Просмотреть заметки» – отображение списка всех заметок пользователя;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«Редактировать заметку» – изменение содержимого существующей заметки;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«Удалить заметку» – безвозвратное удаление выбранной записи;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«Искать заметки» – фильтрация записей по ключевому слову в заголовке;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«Выйти из системы» – завершение сеанса работы с очисткой данных сессии.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Целью данной лабораторной работы является составление требований к проектируемой системе NewNote на различных уровнях, а также определение источников и методов их получения.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сформулировать бизнес-требования к системе NewNote;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определить требования пользователей;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составить функциональные требования;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составить нефункциональные требования;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описать источники и методы получения требований.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 Требования к системе NewNote</w:t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3.1 Бизнес-требования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качестве за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казчика системы выступает индивидуальный предприниматель Серебряков А.В. – владелец небольшой IT-компании, планирующий запустить публичный сервис заметок для частных пользователей. На основании проведённых интервью сформированы следующие бизнес-требования: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создать конкурентоспособный минималистичный сервис для ведения заметок, ориентированный на частных пользователей;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обеспечить стабильный рост аудитории до 1 000 зарегистрированных пользователей в течение первых шести месяцев после запуска;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сформировать базу для будущей монетизации за счёт введения платных тарифов с расширенными возможностями;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запустить MVP (минимально жизнеспособный продукт) в течение трёх месяцев с начала разработки;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обеспечить удобство использования: новый пользователь должен освоить основные функции без дополнительного обучения.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3.2 Требования пользователей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основании анкетирования потенциальных пользователей сформированы следующие пользовательские требования: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зарегистрироваться, указав адрес электронной почты и номер телефона;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войти в систему как по e-mail и паролю, так и с помощью одноразового SMS-кода;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создавать текстовые заметки с заголовком и произвольным текстом;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видеть список всех своих заметок на главной странице после входа;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открыть и отредактировать любую свою заметку;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удалить заметку;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найти нужную заметку по ключевому слову в заголовке;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выйти из системы с любой страницы.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3.3 Функциональные требования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основании требований пользователей и анализа конкурентов сформированы следующие функциональные требования: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предоставлять форму регистрации с полями: e-mail, пароль, номер телефона;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проверять уникальность e-mail при регистрации и сообщать об ошибке, если адрес уже зарегистрирован;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предоставлять форму входа по e-mail и паролю;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отправлять одноразовый SMS-код при запросе аутентификации по номеру телефона;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считать SMS-код недействительным по истечении 5 минут с момента его отправки;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отображать список заметок текущего пользователя, отсортированный по дате последнего изменения;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предоставлять форму создания заметки с обязательным полем «Заголовок» и необязательным полем «Текст»;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сохранять заметки с привязкой к учётной записи пользователя;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предоставлять форму редактирования заметки с сохранением внесённых изменений;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удалять заметку после явного подтверждения пользователем;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фильтровать список заметок по введённому ключевому слову в заголовке в режиме реального времени;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завершать сеанс пользователя и перенаправлять его на страницу входа при нажатии кнопки «Выйти».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3.4 Нефункциональные требования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 проектировании системы необходимо учитывать следующие нефункциональные требования: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производительность: время отклика системы на любой запрос пользователя не должно превышать 2 секунды при нагрузке до 500 одновременных пользователей;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доступность: система должна обеспечивать доступность не менее 99,5 % в месяц;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безопасность: пароли должны храниться исключительно в виде хэша (bcrypt); передача данных осуществляется только по HTTPS;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совместимость: система должна корректно работать в актуальных версиях браузеров Chrome, Firefox, Safari и Edge;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масштабируемость: архитектура должна допускать горизонтальное масштабирование серверной части без изменения клиентского кода;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удобство использования: интерфейс должен соответствовать принципам юзабилити; целевое значение показателя SUS (System Usability Scale) – не ниже 70 баллов.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 Источники и методы получения требований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ходе работы с проектируемой системой NewNote были использованы следующие источники и методы получения требований.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Интервью с заказчиком. В роли заказчика выступае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 ИП Серебряков А.В. На основании двух проведённых интервью были сформированы бизнес-требования: целевые показатели аудитории, сроки запуска MVP и стратегия монетизации. Интервью позволило зафиксировать приоритеты бизнеса и ограничения по срокам и бюджету.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Анкетирование потенциальных пользователей. Для формирования требований пользователей была составлена анкета из 10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вопросов, охватывающих сценарии использования заметок в повседневной жизни. Анкета была распространена среди 20 студентов направления «Программная инженерия». По результатам анализа ответов выявлены основные пользовательские сценарии и приоритеты функций.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конкурентов (бенчмаркинг). Для определения функциона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льных требований был выполнен анализ трёх аналогичных систем: Google Keep, Notion и Bear. Сравнительный анализ позволил определить минимальный набор функций, ожидаемых пользователями от подобного приложения, и избежать избыточности в проектируемой системе.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Изучение нормативно-технической докум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ентации. При формировании нефункциональных требований в части безопасности и качества были изучены рекомендации OWASP по безопасности веб-приложений [3], а также стандарт ISO/IEC 25010, регламентирующий характеристики качества программного обеспечения [4].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Целью данной лабораторной работы является выбор и обоснование архитектурного паттерна для системы NewNote, а также его реализация в виде структуры программного проекта.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изучить основные архитектурные паттерны;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выбрать подходящий паттерн для системы NewNote;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обосновать выбор в формате ADR (Architecture Decision Record);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реализовать структуру проекта на Python FastAPI в соответствии с выбранным паттерном.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 Выбор архитектурного паттерна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обоснования выбора архитектурного решения был составлен ADR (Architecture Decision Record) – структурированный документ, фиксирующий принятое архитектурное решение, его контекст, обоснование и рассмотренные альтернативы.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Запись принятого решения № 1: Выбор архитектурного паттерна для системы NewNote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Дата: 2026-04-23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Контекст: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Разрабатывается веб-приложение NewNote – минималистичный сервис для создания и хранения текстовых заметок. Основные функциональные домены системы: управление пользователями (регистрация, ау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тентификация по e-mail и SMS), управление заметками (создание, просмотр, редактирование, удаление, поиск). Команда разработки: 1 разработчик. Срок разработки: один учебный семестр. Ожидаемая нагрузка на этапе MVP – не более 100 одновременных пользователей.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Решение: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Принято решение реализовать систему NewNote в виде монолита с послойной (layered) структурой. Проект разбит на следующие слои и модули: точка входа (m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ain.py), подключение к базе данных (database.py), ORM-модели (models.py), схемы данных Pydantic (schemas.py), вспомогательные утилиты аутентификации (auth_utils.py), зависимости FastAPI (dependencies.py), маршрутизаторы (routers/auth.py, routers/notes.py).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Обоснование: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простота предметной области: система имеет два чётко ограниченных функциональных модуля (аутентификация и заметки) без сложных межсервисных зависимостей;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малая команда и ограниченный срок: для одного разработчика монолит обеспечивает наименьший накладной расход на инфраструктуру и настройку;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низкая ожидаемая нагрузка: ожидаемое число одновременных пользователей (до 100) не требует горизонтального масштабирования на уровне сервисов;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единая база данных: все данные хранятся в одной SQLite/PostgreSQL БД, что упрощает транзакционную целостность;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простота отладки и тестирования: весь код находится в одном процессе, что исключает проблемы распределённых вызовов.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Последствия: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Преимущества: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минимальная инфраструктура – один контейнер/процесс;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быстрый старт разработки;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единое логирование и обработка ошибок;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простая схема развёртывания (uvicorn + SQLite или PostgreSQL).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Недостатки и риски: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единая точка отказа: при падении процесса недоступна вся система;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при росте нагрузки потребуется рефакторинг в микросервисы;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риск нарастания связанности модулей при расширении функциональности.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Альтернативы: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Микросервисная архитектура была отклонена по следующим причинам: ожидаемая нагрузка не оправдывает затраты на DevOps-инфраструктуру (оркестрация, service mesh, распределённые транзакции); малый размер ком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анды и учебные сроки делают порог входа неприемлемым. Событийно-ориентированная архитектура избыточна для простого CRUD-приложения без асинхронных бизнес-процессов. SOA неприменима, так как система не интегрируется со сторонними сервисами через общую шину.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5.1 Структура программного проекта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соответствии с выбранным паттерном реализована следующая структура монолитного проекта на Python FastAPI: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main.py – точка входа; регистрирует маршрутизаторы и создаёт таблицы БД при запуске;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database.py – настройка подключения к базе данных через SQLAlchemy, фабрика сессий и зависимость get_db;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models.py – ORM-модели User и Note; User хранит данные учётной записи и OTP-код для SMS-входа; Note хранит заголовок, текст и ссылку на владельца;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schemas.py – Pydantic-схемы для валидации входящих запросов и сериализации ответов (RegisterRequest, LoginRequest, SmsRequest, SmsVerifyRequest, NoteCreate, NoteUpdate, NoteResponse);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auth_utils.py – вспомогательные функции: хэширование пароля (bcrypt), создание JWT-токена, генерация шестизначного SMS-кода;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dependencies.py – FastAPI-зависимость get_current_user: декодирует JWT-токен из заголовка Authorization и возвращает текущего пользователя;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routers/auth.py – эндпоинты: POST /auth/register, POST /auth/login, POST /auth/sms/send, POST /auth/sms/verify;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routers/notes.py – эндпоинты: GET /notes/, POST /notes/, PUT /notes/{id}, DELETE /notes/{id}.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Целью данной лабораторной работы является построение карты контекстов системы NewNote по методологии DDD, а также составление диаграмм контекста нотации C4 для смыслового ядра и вспомогательной подобласти.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определить подобласти системы NewNote: смысловое ядро, вспомогательные и общие подобласти;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выделить ограниченные контексты и описать отношения между ними;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построить карту контекстов по методологии DDD;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построить диаграмму контекста нотации C4 для смыслового ядра;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построить диаграмму контекста нотации C4 для одной вспомогательной подобласти.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 Карта контекстов по методологии DDD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Domain-Driven Design (DDD) – методология проектирования программных систем,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которой в основу архитектуры кладётся модель предметной области. Карта контекстов (Context Map) – один из стратегических артефактов DDD, который описывает все ограниченные контексты (Bounded Contexts) системы, их границы и виды взаимодействия между ними.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6.1 Определение подобластей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системы NewNote выделены следующие подобласти: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Смысловое ядро (Core Domain) – Управление заметками (Note Management). Это основная бизнес-ценность системы: создание, хранение, редактирование, удален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ие и поиск текстовых заметок. Именно эта функциональность отличает NewNote от остальных систем и составляет конкурентное преимущество приложения. Ключевые агрегаты: Note (заметка с заголовком и текстом), NoteList (коллекция заметок пользователя с поиском).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Вспомогательная подобласть (Supporting Subdomain) – Профиль пользоват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еля (User Profile). Хранит персональные данные учётной записи: адрес электронной почты, номер телефона, дату регистрации. Необходима для корректной работы смыслового ядра, поскольку каждая заметка привязана к конкретному пользователю. Агрегат: UserProfile.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Общие подобласти (Generic Subdomains) – функциональность, не являющаяся уникальной для системы: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Идентификация (User Identity) – регистрация учётных записей, аутентификация по e-mail и паролю, аутентификация по одноразовому SMS-коду (OTP), управление JWT-сессиями;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Уведомления (Notification) – генерация и отправка SMS-кодов через внешний SMS-шлюз.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6.2 Ограниченные контексты и связи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основе выделенных подобластей определены следующие ограниченные контексты и отношения между ними: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 Management Context (Core) – обрабатывает всю логику работы с заметками; зависит от User Identity Context для получения идентификатора текущего пользователя.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User Identity Context (Generic) – управляет учётными записями и аутентификацией; зависит от Notification Context для отправки OTP-кодов.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Notification Context (Generic) – предоставляет возможность отправки SMS; является поставщиком (Upstream) для User Identity Context.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User Profile Context (Supporting) – хранит дополнительные данные профиля; предоставляет информацию о пользователе контексту Note Management.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Тип связи между всеми контекстами – Customer-Supplier (C-S): один контекст (Upstream, поставщик) предоставляет данные или сервис, другой (Downstream, клиент) его использует. Изменения в поставщике влекут адаптацию у клиента.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6.3 Карта контекстов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Карта контекстов системы NewNote представлена на рисунке 2. На карте стрелки показывают направление зависимости: стрелка от поставщика (U – Upstream) к клиенту (D – Downstream). Обозначение C-S (Customer-Supplier) указывает тип отношения.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96000" cy="3298000"/>
                <wp:effectExtent l="0" t="0" r="0" b="0"/>
                <wp:docPr id="2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196000" cy="329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09.13pt;height:259.6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2 – Карта контекстов системы NewNote по методологии DDD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Смысловое ядро (Note Management Context) выделено жёлтым фоном и является центральным элементом карты. Слева расположен User Identity Context (голубой), который выступает поставщиком идентификационных данных для Notes и одновременно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клиентом для Notification Context (жёлтый, внизу). Справа – User Profile Context (зелёный), предоставляющий дополнительные данные профиля. Внизу слева отображён внешний по отношению ко всей системе SMS-шлюз, с которым взаимодействует Notification Context.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 Диаграммы контекста нотации C4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Нотация C4 (Context, Con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tainers, Components, Code) – иерархическая система диаграмм для визуализации архитектуры программного обеспечения, предложенная Саймоном Брауном. Название нотации отражает четыре уровня детализации: Level 1 – диаграмма контекста (System Context), Level 2 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диаграмма контейнеров (Container), Level 3 – диаграмма компонентов (Component), Level 4 – диаграмма кода (Code). В данной работе используется уровень 1 – System Context Diagram: показывает людей и внешние системы, взаимодействующие с описываемой системой.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7.1 Диаграмма контекста C4 для смыслового ядра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3 представлена диаграмма контекста нотации C4 для смыслового ядра системы NewNote – контекста управления заметками (Note Management Context).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29200" cy="2760000"/>
                <wp:effectExtent l="0" t="0" r="0" b="0"/>
                <wp:docPr id="3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029200" cy="276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96.00pt;height:217.32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3 – Диаграмма контекста C4 для смыслового ядра (Note Management Context)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диаграмме присутствуют следующие элементы. Зарегистрированный пользователь (Person) – конечный пользователь системы, который после аутентификации создаёт, прос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матривает, редактирует, удаляет и ищет заметки. Система NewNote (Software System) – монолитное веб-приложение на Python FastAPI, реализующее CRUD-операции с заметками. REST API защищён JWT-токеном; данные сохраняются в SQLite (разработка) или PostgreSQL (п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родакшн). База данных (Software System, внешняя) – реляционное хранилище, с которым система взаимодействует через ORM SQLAlchemy. Веб-браузер (Software System, внешний) – клиентская часть: пользователь обращается к системе через браузер по протоколу HTTPS.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7.2 Диаграмма контекста C4 для вспомогательной подобласти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4 представлена диаграмма контекста нотации C4 для вспомогательной подобласти – контекста идентификации и аутентификации (User Identity Context).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96000" cy="2804400"/>
                <wp:effectExtent l="0" t="0" r="0" b="0"/>
                <wp:docPr id="4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196000" cy="280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09.13pt;height:220.82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4 – Диаграмма контекста C4 для вспомогательной подобласти (User Identity Context)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диаграмме присутствуют следующие элементы. Незарегистрированный пользователь (Person) – посетитель, который впервые открывает приложение. Он может зарегистрироваться по e-mail и паролю, либо запросить вход по SMS-коду. Зар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егистрированный пользователь (Person) – существующий пользователь, который входит в систему по одному из двух каналов: e-mail/пароль или одноразовый SMS-код (OTP). После успешной аутентификации система выдаёт JWT-токен со сроком действия 6 часов. Система 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ewNote (Software System) – основная система: принимает запросы на регистрацию и аутентификацию, хэширует пароли с помощью bcrypt, управляет OTP-кодами и JWT-токенами. SMS-провайдер (External Software System) – сторонний сервис (например, Twilio или СМС.ру)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 через HTTPS API которого система отправляет одноразовые коды при SMS-аутентификации. SMTP-сервер (External Software System) – почтовый сервер, используемый для отправки письма с подтверждением адреса электронной почты при регистрации нового пользователя.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Цель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ю данной лабораторной работы является реализация не менее трёх паттернов проектирования (по одному каждого вида: порождающий, структурный, поведенческий) в коде системы NewNote, построение UML-диаграммы классов и обоснование выбора реализованных паттернов.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выбрать и реализовать поведенческий паттерн проектирования;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выбрать и реализовать структурный паттерн проектирования;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выбрать и реализовать порождающий паттерн проектирования;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построить UML-диаграммы классов для каждого реализованного паттерна;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обосновать выбор каждого паттерна и привести примеры нецелесообразных альтернатив.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 Паттерны проектирования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проектирования (Design Pattern) – типовое решение часто встречающейся задачи при проект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ировании программного обеспечения. Паттерны не являются конкретным кодом, а представляют собой описание подхода, который можно адаптировать под нужды конкретного проекта. В системе NewNote реализованы три паттерна: поведенческий, структурный и порождающий.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8.1 Поведенческий паттерн: Стратегия (Strategy)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Стратегия применён для реализации аутентификации пользователей. Система NewNote поддерживает два способа входа: по e-mail и паролю,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 по одноразовому SMS-коду (OTP). Оба способа имеют общий интерфейс (метод authenticate), но принципиально разные алгоритмы проверки. Паттерн Стратегия позволяет инкапсулировать каждый алгоритм в отдельный класс и переключать их без изменения кода роутера.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Паттерн Стратегия выбран, так как в системе присутствует несколько взаимозаменяемых алгоритмов аутентификации, которые не имеют общих пошаговых операций. Роутер (клиент) не должен зависеть от деталей реализации каждого способа входа.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Шаблонный метод (Template Method). Шаблонный метод предполагает, что у всех вариантов алгоритма есть фиксированная последовательность шагов, которые частично переопределяются в подклассах. У ema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il-аутентификации (проверка пароля bcrypt) и SMS-аутентификации (проверка OTP-кода и срока его действия) нет общей последовательности шагов, поэтому Шаблонный метод неприменим. Стратегия корректнее, так как алгоритмы независимы и полностью взаимозаменяемы.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не Команда (Command). Паттерн Команда предназначен для инкапсуляции запроса как объекта с поддержкой отмены, очереди и журналирования. Аутентификация является немедленным действием без необходимости откладывать его или отменять, поэтому Команда избыточна.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Структура реализ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ации: абстрактный класс AuthStrategy с методом authenticate(db, **kwargs), конкретные классы EmailAuthStrategy и SmsAuthStrategy, класс-контекст AuthContext, хранящий ссылку на стратегию и вызывающий её через метод login(). Файл: patterns/auth_strategy.py.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классов для паттерна Стратегия представлена на рисунке 5.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90200" cy="2560000"/>
                <wp:effectExtent l="0" t="0" r="0" b="0"/>
                <wp:docPr id="5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4990200" cy="256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92.93pt;height:201.57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5 – Диаграмма классов: паттерн Стратегия (Strategy)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8.2 Структурный паттерн: Репозиторий (Repository)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Репозиторий применён для изоляции логики доступа к данн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ым от бизнес-логики роутеров. До применения паттерна роутеры напрямую обращались к объекту Session SQLAlchemy, смешивая работу с базой данных и обработку HTTP-запросов. Это затрудняло тестирование: для unit-тестов роутеров требовалась реальная база данных.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Репозиторий предоставляет 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диный интерфейс для работы с коллекцией объектов модели, скрывая детали хранилища. При необходимости реальный NoteRepository можно подменить тестовой заглушкой (InMemoryNoteRepository), реализующей тот же абстрактный интерфейс, без изменения кода роутеров.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Фасад (Facade). Фа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сад предоставляет упрощённый интерфейс к сложной подсистеме, состоящей из нескольких классов. В данном случае подсистема одна (SQLAlchemy + модель Note), и цель – абстракция хранилища, а не упрощение сложной подсистемы. Это задача Репозитория, а не Фасада.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Декоратор (Decorator). Декоратор добавляет новое поведение существующему объекту, оборачивая его. Цель здесь – не расширить объект Session, а полностью скрыть его за стабильным интерфейсом. Декоратор не решает задачу изоляции хранилища.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Структура реализации: абстрактный класс AbstractNoteRepository с методами get_all, get_by_id, create, update, delete, конкретный класс NoteRepository, принимающий в конструктор объект Session. Файл: patterns/note_repository.py.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классов для паттерна Репозиторий представлена на рисунке 6.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90200" cy="2686200"/>
                <wp:effectExtent l="0" t="0" r="0" b="0"/>
                <wp:docPr id="6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4990200" cy="2686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92.93pt;height:211.5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6 – Диаграмма классов: паттерн Репозиторий (Repository)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8.3 Порождающий паттерн: Фабричный метод (Factory Method)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Фабричный метод применён для создания объектов-экспортёров заметок. Система NewNote поддерживает экспор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 заметки в разные форматы (plain text, JSON) через endpoint GET /notes/{id}/export?fmt=txt|json. С появлением новых форматов (например, Markdown) необходимо добавлять новые экспортёры без изменения существующего кода роутера, соблюдая принцип Open/Closed.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Фабричный метод выносит ло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гику создания конкретного экспортёра из роутера в специализированные фабрики. Добавление нового формата требует только создания нового класса-экспортёра и новой фабрики, и регистрации её в реестре _FACTORIES, без изменения роутера или существующих классов.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Абстрактная фабрика (Abstract Factory). Абстрактная фабрика нужна для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создания семейств взаимосвязанных объектов (например, кнопка + форма + диалог одной темы UI). Здесь порождается только один тип объекта — экспортёр — без семейства связанных продуктов. Абстрактная фабрика создаёт излишнюю иерархию без практической пользы.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Строитель (Builder). Строитель предназначен для пошагового конструирования сложных объектов с множеством параметров. Экспортёры просты (не требуют пошаговой сборки), поэтому Строитель был бы избыточным усложнением.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Структура реализации: абстрактный продукт NoteExporter (методы export и content_type), конкретные продукты PlainTextExporter и JsonExporter,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абстрактный создатель NoteExporterFactory (фабричный метод create_exporter), конкретные создатели PlainTextExporterFactory и JsonExporterFactory, реестр фабрик _FACTORIES и вспомогательная функция get_exporter_factory(fmt). Файл: patterns/note_exporter.py.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классов для паттерна Фабричный метод представлена на рисунке 7.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44600" cy="2752200"/>
                <wp:effectExtent l="0" t="0" r="0" b="0"/>
                <wp:docPr id="7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244600" cy="2752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12.96pt;height:216.71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7 – Диаграмма классов: паттерн Фабричный метод (Factory Method)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Целью данной лабораторной работы является реализация принципов SOLID и принципов организации компонентов в коде системы NewNote, а также построение диаграмм кода и компонентов нотации C4.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реализовать не менее трёх принципов SOLID;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реализовать не менее четырёх принципов организации компонентов (не менее двух из каждой группы);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построить диаграмму компонентов C4 (Level 3);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построить диаграмму кода C4 (Level 4).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 Реализация принципов SOLID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Принципы SOLID — пять принципов объектно-ориентированного проектирования, сформулированных Робертом Мартином. Их соблюдение делает код более гибким, тес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тируемым и сопровождаемым. В ходе рефакторинга кода NewNote реализованы пять принципов SOLID. Структура проекта была реорганизована: вместо плоской папки с файлами введены пакеты auth/, notes/ и interfaces/, что позволило явно разграничить ответственности.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9.1 Принцип единственной ответственности (SRP)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единственной ответственности (Single Responsibility Principle): каждый класс (модуль) должен иметь только одну причину для изменения.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 рефакторинга: файл auth_utils.py нарушал SRP, объединяя три несвязанные обязанности в одном модуле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 хэширование паролей, создание JWT-токенов и генерацию OTP-кодов. Каждая из этих функций имела свою причину для изменения: смена алгоритма хэширования не должна затрагивать логику токенов, а изменение длины OTP-кода не должно затрагивать ни то, ни другое.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После рефакторинга: auth_utils.py разбит на три специализированных класса: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auth/password_service.py — класс PasswordService: методы hash() и verify(). Единственная причина для изменения — смена алгоритма хэширования (bcrypt → Argon2 и т.п.);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auth/token_service.py — класс TokenService: методы create() и decode(). Единственная причина для изменения — смена алгоритма или формата JWT-токена;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auth/otp_service.py — класс OtpService: метод generate(). Единственная причина для изменения — смена формата или длины кода.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Аналогично, модели User и Note разнесены по пакетам (auth/models.py и notes/models.py), а каждый роутер (auth/router.py, notes/router.py) отвечает исключительно за маршрутизацию HTTP-запросов, делегируя всю логику сервисам и репозиторию.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9.2 Принцип открытости/закрытости (OCP)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открытости/закрытости (Open/Closed Principle): программные сущности должны быть открыты для расширения, но закрыты для модификации.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Реализация: иерархия AuthStrategy в модуле auth/strategies.py. Абстрактный класс AuthStrategy определяет контракт — метод authenticate(db, **kwargs). Конкретные стратегии EmailAuthStrategy и SmsAuthStrategy реализуют этот контракт для двух каналов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аутентификации. При добавлении нового способа входа (например, OAuth2) необходимо лишь создать новый подкласс AuthStrategy — существующий код роутера и класса AuthContext остаётся неизменным, что и означает «закрыт для модификации, открыт для расширения».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Аналогично реализованы NoteExporter и NoteExporterFactory из предыдущей работы (patterns/): добавление нового формата экспорта (например, Markdown) требует только нового класса, не изменяя существующих.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9.3 Принцип подстановки Лисков (LSP)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подстановки Лисков (Liskov Substitution Principle): объекты подклассов должны быть полностью взаимозаменяемы с объектами базового класса без нарушения корректности программы.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Реализация: классы EmailAuthStrategy и SmsAuthStrategy полностью реализуют контракт AuthStrategy. Класс AuthContext работает с переменной типа AuthStrategy и вызывает authenticate() — не зная и не завися от того, какая конкрет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ная стратегия передана. Подстановка одной стратегии другой не меняет поведения AuthContext. Аналогично, NoteRepository реализует интерфейсы INoteReader и INoteWriter и может быть заменён тестовой заглушкой InMemoryNoteRepository без изменения кода роутера.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9.4 Принцип разделения интерфейсов (ISP)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разделения интерфейсов (Interface Segregation Principle): клиенты не должны зависеть от методов, которые они не используют.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 рефакторинга: AbstractNoteRepository объединял все методы — get_all, get_by_id, create, update, delete — в одном интерфейсе. Клиент, которому нужно только читать заметки (например, функция экспорта), всё равно зависел от методов записи.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После рефакторинга: интерфейс разделён на два в пакете interfaces/: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INoteReader (interfaces/i_note_reader.py) — только get_all() и get_by_id(). Клиенты, которым нужно только чтение, зависят исключительно от этого интерфейса;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INoteWriter (interfaces/i_note_writer.py) — только create(), update(), delete(). Клиенты-писатели зависят только от него.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роутере notes/router.py функции аннотированы типами INoteReader и INoteWriter соответственно: функция list_notes получает INoteReader, функция create_note — INoteWriter. Это явно выражает намерения и исключает нежелательные зависимости.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9.5 Принцип инверсии зависимостей (DIP)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инверсии зависимостей (Dependency Inversion Principle): высокоуровневые модули не должны зависеть от низкоуровневых — оба должны зависеть от абстракций.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Реализация: высокоуровневый модуль notes/router.py зависит от абстракций INoteReader и INoteWriter (пакет interfaces/), а не от конкретного класса NoteRepository. Конкретная реализация создаётся в вспомогательных функциях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_get_reader() и _get_writer() и «внедряется» через параметры FastAPI-зависимостей. При необходимости конкретный NoteRepository можно заменить тестовой заглушкой или реализацией поверх другого хранилища (Redis, файловая система) без изменения кода роутера.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 Реализация принципов организации компонентов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Принципы организаци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 компонентов делятся на две группы: принципы связности компонентов (определяют, что входит в компонент) и принципы сочетаемости компонентов (определяют, как компоненты зависят друг от друга). В проекте NewNote реализованы по два принципа из каждой группы.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10.1 Принципы связности компонентов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общего замыкания (CCP — Common Closure Principle): в компонент должны входить классы, которые изменяются по одним и тем же причинам и в одно и то же время. Тогда при изменении требований затрагивается минимальное количество компонентов.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CCP в NewNote: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пакет auth/ объединяет все классы, изменя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ющиеся при изменении способа аутентификации: router.py, strategies.py, password_service.py, token_service.py, otp_service.py, models.py, schemas.py. Если заказчик попросит добавить OAuth2 или изменить срок действия токена, затронут будет только этот пакет;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пакет notes/ объединяет всё, что изменяется при изменении функциональности заметок: router.py, repository.py, models.py, schemas.py. Изменение полей заметки или добавление нового эндпоинта затрагивает только notes/.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общего повторного использования (CRP —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Common Reuse Principle): классы в компоненте используются вместе. Клиент, использующий один класс из компонента, неявно зависит от всех классов компонента. Поэтому в компоненте должны находиться только те классы, которые действительно используются вместе.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CRP в NewNote: пакет interfaces/ содержит исключительно INoteReader и INoteWriter — два интерфейса, которые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клиент (notes/router.py и notes/repository.py) использует вместе как единое целое. Не включены в interfaces/ никакие конкретные реализации, модели, схемы или утилиты. Клиент, зависящий от interfaces/, не притягивает нежелательных транзитивных зависимостей.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10.2 Принципы сочетаемости компонентов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ацикли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ческих зависимостей (ADP — Acyclic Dependencies Principle): в графе зависимостей между компонентами не должно быть циклов. Цикл приводит к тому, что компоненты становятся неразрывно связаны и не могут быть собраны, протестированы или задеплоены независимо.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ADP в NewNote: граф зависимостей между пакетами образует направленный ациклический граф (DAG):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notes/ → interfaces/ (repository.py реализует INoteReader, INoteWriter);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auth/ → interfaces/ (опционально, для расширения);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notes/ → database/ (получение Session);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auth/ → database/ (получение Session).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Циклов нет: interfaces/ ни от кого не зависит; notes/ зависит от interfaces/, но не наоборот; auth/ зависит от database/, но не от notes/. Каждый пакет можно скомпилировать, протестировать и задеплоить независимо, что соответствует требованию ADP.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стабильных зависимостей (SDP — Stable Depend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encies Principle): компоненты должны зависеть только от более стабильных компонентов. Стабильность определяется как отношение входящих зависимостей к суммарным: I = Fan-out / (Fan-in + Fan-out), где I=0 — максимально стабилен, I=1 — максимально нестабилен.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SDP в NewNote: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interfaces/ — наиболее стабильный компонент (I≈0): на него ссылаются notes/ и auth/, но сам он ни от кого не зависит. Именно от этого компонента зависят все volatile-компоненты;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notes/router.py — наиболее нестабильный модуль (I≈1): зависит от interfaces/, database/, auth/, schemas. Зависит только в направлении более стабильных компонентов, что соответствует SDP;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database.py — стабильный компонент (I≈0): ни от кого не зависит внутри проекта, зависит только от внешней библиотеки SQLAlchemy.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11 Диаграммы кода и компонентов нотации C4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8 представлена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диаграмма компонентов нотации C4 (Level 3). Диаграмма отображает компоненты внутри контейнера NewNote Backend, их ответственности и зависимости. Каждый компонент соответствует пакету Python. В скобках рядом с каждым модулем указаны реализованные принципы.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531600"/>
                <wp:effectExtent l="0" t="0" r="0" b="0"/>
                <wp:docPr id="8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715000" cy="3531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50.00pt;height:278.08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8 – Диаграмма компонентов C4 (Level 3)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диаграмме выделены четыре компонента. Пакет auth/ (CCP) содержит все классы аутентификации, изменяющиеся вместе. Пакет interfaces/ (SAP, SDP, CRP) содержит только стабильные абстракции INoteReader и INoteWriter. Пакет notes/ (CCP)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содержит всё, связанное с заметками. Компонент database.py является стабильной инфраструктурной зависимостью. Стрелки показывают направление зависимостей, соответствующее принципам ADP и SDP: зависимости направлены от нестабильных компонентов к стабильным.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9 представлена диаграмма кода C4 (Level 4) для компонента auth/. Диаграмма показывает ключевые классы внутри компонента, их иерархию и взаимосвязи.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62000" cy="3327600"/>
                <wp:effectExtent l="0" t="0" r="0" b="0"/>
                <wp:docPr id="9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562000" cy="3327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37.95pt;height:262.02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9 – Диаграмма кода C4 (Level 4) – компонент auth/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диаграмме видно, что абстрактный класс AuthStrategy является единственной точкой расширения (OCP): добавление нового способа аутентификации означает создание нового подкласса. EmailAuthStrategy и SmsAuthStrategy полностью заменяемы в AuthCon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text (LSP). Три сервисных класса — PasswordService, TokenService, OtpService — изолированы по ответственностям (SRP) и не знают друг о друге. Класс auth.router зависит от этих сервисов и от AuthContext, но не от стратегий напрямую, что снижает связанность.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Целью данной лабораторной работы является повышение безопасности системы NewNote не менее чем тремя способами, обоснование выбранных подходов, анализ компромиссов с нефункциональными требованиями и обновление диаграмм C4.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реализовать три аспекта безопасности;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обосновать выбор каждого из них;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проанализировать компромиссы с нефункциональными требованиями;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обновить диаграммы контейнеров и компонентов C4.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12 Реализация аспектов безопасности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Заказчик системы NewNote озаботился безопасностью решения. Реализованы три ас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пекта безопасности: ограничение частоты запросов (Rate Limiting), заголовки безопасности HTTP (Security Headers Middleware) и ролевая модель авторизации (RBAC). Все изменения выполнены в новом пакете security/ и интегрированы без нарушения принципов SOLID.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12.1 Аспект безопасности №1: Rate Limiting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Угроза. Атака перебором пароля (brute-force) на /auth/login позволяет злоумышленнику методично подбирать пароль. Атака SMS-флудинга на /auth/sms/send приводит к финансовым потерям и отказу в обслуживании легитимных пользователей.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Реализация. Модуль security/rate_limiter.py реализует функцию check_rate_limit(request, endpoint). Алгоритм: для каждой пары (IP-адрес, эндпоинт) хранится список 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ременных меток запросов за скользящее окно 60 секунд. При достижении порога 5 запросов возвращается HTTP 429 Too Many Requests с заголовком Retry-After. Функция вызывается в начале обработчиков /auth/login, /auth/register, /auth/sms/send, /auth/sms/verify.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Rate Limiting — ста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ндартная мера первого уровня защиты согласно OWASP (A07:2021 Identification and Authentication Failures). Реализация без внешних зависимостей не требует дополнительной инфраструктуры для MVP и соответствует SRP: проверка лимита вынесена в отдельный модуль.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12.2 Аспект безопасности №2: Security Headers Middleware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Угроза. Без специальных HTTP-заголовков возможны: XSS — кража JWT-токена из памяти страницы; кликджекинг — нежелательные действия через iframe; MIME-sniffing — интерпретация данных как исполняемого кода; downgrade-атака на HTTP при первом соединении.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Реализация. Класс Secur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ityHeadersMiddleware (security/headers_middleware.py) наследует BaseHTTPMiddleware Starlette. Метод dispatch добавляет к каждому ответу: X-Content-Type-Options: nosniff, X-Frame-Options: DENY, X-XSS-Protection: 1; mode=block, Content-Security-Policy: defau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lt-src 'self', Strict-Transport-Security (в production: max-age=31536000), Referrer-Policy: strict-origin-when-cross-origin, Cache-Control: no-store. Middleware зарегистрирован в main.py через app.add_middleware() — единая точка, покрывающая все эндпоинты.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выбора. Security Headers — рекомендуемая практика OWASP (A05:2021 Security Misconfiguration). Реализация в виде Middleware соответствует DRY: заголовки не нужно добавлять в каждый обработчик. Добавление новых заголовков затрагивает только один файл (OCP).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12.3 Аспект безопасности №3: RBAC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Угроза. В исходной системе все пользователи обладали одинаковыми правами. Принцип наименьших привилегий нарушен: нет возможности выделить администраторов для модерации и управления данными пользователей.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Реализация. Модуль security/rbac.py определяет класс Role (константы USER, ADMIN), функцию require_role() и is_admin(). В auth/models.py добавлено поле role. В notes/router.py интегрированы проверки: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GET /notes/?owner_id=X — только администратор может запросить заметки другого пользователя;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DELETE /notes/{id} — администратор может удалить любую заметку.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RBAC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— стандартная модель управления доступом согласно OWASP (A01:2021 Broken Access Control). Масштабируема: новые роли добавляются без изменения архитектуры. Проверка роли — атрибутный доступ к уже загруженному объекту User, без дополнительных запросов к БД.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12.4 Анализ компромиссов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Rate Limiting vs. производительность (НТ: время отклика ≤2 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). In-memory хранилище добавляет операцию O(n) к каждому запросу аутентификации (n≤5). Overhead — микросекунды, требование не нарушено. Компромисс: при горизонтальном масштабировании счётчики не синхронизированы между инстансами. Решение при росте — Redis.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Rate Limiting vs. доступность (НТ: ≥99,5%). Легитимный пользователь, допустивший 5 ошибок подряд, блокируется на 60 секунд. Компромисс принят: ущерб от кратковременной блокировки одного IP меньше ущерба от компрометации учётной записи.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Security Headers vs. функциональность. Заголовок CSP (default-src 'self') ограничивает источники скриптов. При будущей интеграции внешних CDN потребуется расширение политики. HSTS в разработке отключён (max-age=0), чтобы не блокировать localhost.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RBAC vs. масштабируемость. Роль хранится в таблице users — работает при любом количестве инстансов (общая БД). Компромисс: при росте числа ролей &gt;4 строковое поле потребует рефакторинга в таблицу roles. Для MVP двух ролей достаточно.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12.5 Обновлённые диаграммы C4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10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представлена обновлённая диаграмма контейнеров C4 (Level 2). Добавлены три новых контейнера (выделены красным): Security Middleware, Rate Limiter, RBAC Module. Запрос пользователя проходит через них до попадания в Backend. База данных расширена полем role.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302400"/>
                <wp:effectExtent l="0" t="0" r="0" b="0"/>
                <wp:docPr id="10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715000" cy="330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50.00pt;height:260.03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10 – Обновлённая диаграмма контейнеров C4 (Level 2)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11 представлена обновлённая диаграмма компонентов C4 (Level 3). Новый ком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понент security/ содержит три модуля. Изменённые модули помечены символом ●: auth/router.py (вызов rate limit), auth/models.py (поле role), notes/router.py (RBAC-проверки). Граф зависимостей ациклический (ADP): security/ не зависит от notes/ и interfaces/.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42800" cy="3620400"/>
                <wp:effectExtent l="0" t="0" r="0" b="0"/>
                <wp:docPr id="11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842800" cy="3620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0.06pt;height:285.07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11 – Обновлённая диаграмма компонентов C4 (Level 3)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Целью данной лабораторной работы является реструктуризация архитектуры системы NewNote в связи с резким ростом аудитории. Необходимо выбрать 2–3 атрибута качества, перейти к новому архитектурному паттерну и описать архитектуру в нотации 4+1.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проанализировать новые бизнес-требования и выбрать приоритетные атрибуты качества;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обосновать и реализовать переход к новой архитектуре;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привести диаграммы C4 старой и новой архитектуры;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описать новую архитектуру в нотации 4+1.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13 Атрибуты качества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результате роста популярности NewNote бизнес-требования резко изменились: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число пользователей выросло с 1†00 до 100†00+ за первые шесть месяцев;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заказчик требует доступности 99,9% — текущие 99,5% (≈4 ч/мес простоя) неприемлемы;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пиковая нагрузка в 20–30 раз превышает среднюю: монолит не справляется;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команда выросла с 1 до 5 разработчиков: конфликты при слиянии кода в едином репозитории;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требуется независимая доставка функций: обновление логики заметок не должно затрагивать сервис аутентификации.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Выбраны три приоритетных атрибута качества.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Масштабируемость (Scalability). В монолите масштабирование применяется ко всему приложению, даже если нагружен толь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ко один компонент. Notes-service несёт 80% нагрузки (CRUD), тогда как Auth-service загружен равномерно. В новой архитектуре каждый сервис масштабируется независимо. Метрика: notes-service — 2–10 реплик, auth-service — 1–5 реплик, без перезапуска остальных.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Доступность (Availability). В монолите сбой лю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бого модуля вызывает полную недоступность системы. В микросервисной архитектуре реализована изоляция сбоев: отказ notification-service не влияет на CRUD-операции с заметками. Метрика: доступность повышается с 99,5% до 99,9% (с ≈4 ч до ≈44 мин/мес простоя).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Сопровождаемость (Maintainability). Монолит привёл к тесной связанност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и: изменение в auth/models.py затрагивало notes/router.py. Растущая команда усиливает конфликты. Каждый микросервис имеет чётко определённую ответственность и независимо эволюционирует. Метрика: изменения в auth-service не требуют пересборки notes-service.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14 Новая архитектура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Выбранный паттерн: Микросервисная архитектура с API Gateway. Переход обусловлен тремя атрибутами качества: масштабируемостью, доступностью и сопровождаемостью.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Ключевые архитектурные решения: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API Gateway — единая точка входа. Маршрутизирует запросы, проверяет JWT-токен, применяет Rate Limiting и Security Headers;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auth-service — микросервис аутентификации: регистрация, вход по e-mail/SMS, JWT, bcrypt, RBAC. Собственная Auth DB (PostgreSQL);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notes-service — микросервис заметок: CRUD, поиск, экспорт. Идентификатор пользователя получает из заголовков Gateway. Собственная Notes DB (PostgreSQL);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notification-service — микросервис уведомлений: SMS и email. Изолирован; сбой не влияет на остальные сервисы;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каждый сервис — отдельный Docker-образ; оркестрация через docker-compose (MVP) или Kubernetes (production).</w:t>
      </w:r>
      <w:r/>
      <w:r/>
      <w:r/>
      <w:r/>
    </w:p>
    <w:p>
      <w:pPr>
        <w:pBdr/>
        <w:spacing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Причины выбора перед альтернативами: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вертикальное масштабирование монолита: ограничено физически и значительно дороже горизонтального;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SOA с ESB: шина становится узким местом; микросервисы взаимодействуют напрямую — меньше латентность;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модульный монолит: решает сопровождаемость, но не позволяет масштабировать компоненты независимо.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Диаграммы контекста C4 для старой (рисунок 12) и новой (рисунок 13) архитектуры: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72000" cy="2355000"/>
                <wp:effectExtent l="0" t="0" r="0" b="0"/>
                <wp:docPr id="12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4572000" cy="2355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60.00pt;height:185.43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12 – Старая архитектура: диаграмма контекста C4 (Level 1)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80000" cy="2540000"/>
                <wp:effectExtent l="0" t="0" r="0" b="0"/>
                <wp:docPr id="13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080000" cy="2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00.00pt;height:200.00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13 – Новая архитектура: диаграмма контекста C4 (Level 1)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контейнеров новой архитектуры C4 (Level 2) представлена на рисунке 14.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80000" cy="2820000"/>
                <wp:effectExtent l="0" t="0" r="0" b="0"/>
                <wp:docPr id="14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080000" cy="282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00.00pt;height:222.05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14 – Новая архитектура: диаграмма контейнеров C4 (Level 2)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15 Описание архитектуры в нотации 4+1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Архитектурная нотация 4+1 описывает систему через пять взаимосвязанных представлений: Logical View (логическое), Process View (процессное), Physical View (физическое), Development View (представление разработки) и Scenarios (сценарии).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15.1 Logical View (Логическое представление)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Отвечает на вопрос: какова функциональная декомпозиция системы? Система разбита на четыре микросервиса, каждый инкапсулирует собственный поддомен.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api_gateway — маршрутизация и сквозные аспекты: проверка JWT, Rate Limiting (5 запросов / 60 с / IP), Security Headers (CSP, HSTS, X-Frame-Options). Не содержит бизнес-логики.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auth_service — домен идентификации: регистрация, вход по e-mail/паролю, SMS OTP, JWT-токен с полем role (USER/ADMIN). Внутри применены SRP-классы: PasswordService (bcrypt), TokenService (JWT), OtpService (генератор кода).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notes_service — домен заметок: CRUD, поиск по заголовку, экспорт (txt/json). Реализует RBAC через заголовки X-User-Id и X-User-Role от Gateway. Содержит INoteReader и INoteWriter (ISP), NoteRepository (DIP).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notification_service — доставка уведомлений: SMS и email. В MVP — HTTP-эндпоинт POST /notify; в production — потребитель очереди RabbitMQ. Изолирован: его сбой не влияет на остальные сервисы.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15.2 Process View (Процессное представление)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Отвечает на вопрос: как система ведёт себя во время выполнения?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последоват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ельности аутентификации (рисунок 15). Клиент отправляет POST /auth/login. API Gateway применяет Rate Limit, проксирует в auth-service. Auth-service запрашивает пользователя из Auth DB, проверяет bcrypt, генерирует JWT с полями sub и role, возвращает токен.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72000" cy="2413200"/>
                <wp:effectExtent l="0" t="0" r="0" b="0"/>
                <wp:docPr id="15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4572000" cy="241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360.00pt;height:190.02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15 – Диаграмма последовательности: аутентификация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последовательности создания заме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тки (рисунок 16). Клиент отправляет POST /notes/ с токеном. Gateway проверяет токен, добавляет X-User-Id и X-User-Role, проксирует в notes-service. Notes-service сохраняет заметку в Notes DB, асинхронно уведомляет notification-service, возвращает HTTP 201.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07760" cy="2540000"/>
                <wp:effectExtent l="0" t="0" r="0" b="0"/>
                <wp:docPr id="16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207760" cy="2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10.06pt;height:200.00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16 – Диаграмма последовательности: создание заметки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15.3 Physical View (Физическое представление)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Отвечает на вопрос: как система развёртывается? Каждый микросервис — Docker-контейнер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Конфигурация описана в docker-compose.yml. В production notes-service масштабируется горизонтально (2–10 реплик) за балансировщиком нагрузки. Stateless-природа сервисов позволяет добавлять реплики без изменения кода. Диаграмма развёртывания — рисунок 17.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07760" cy="2667600"/>
                <wp:effectExtent l="0" t="0" r="0" b="0"/>
                <wp:docPr id="17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207760" cy="2667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10.06pt;height:210.05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17 – Диаграмма развёртывания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15.4 Development View (Представление разработки)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Отвечает на вопрос: как организован исходный код? Каждый микросервис — отдельный Python-пакет (принцип Package by Feature / CCP). Каждый сервис имеет собственный Dockerfile и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requirements.txt. Разработчики работают в изолированных ветках: изменения в auth_service/ не вызывают конфликтов в notes_service/. Принципы SOLID и паттерны проектирования, реализованные ранее, сохранены внутри каждого сервиса. Структура кода — рисунок 18.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53600" cy="2413200"/>
                <wp:effectExtent l="0" t="0" r="0" b="0"/>
                <wp:docPr id="18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4953600" cy="241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390.05pt;height:190.02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18 – Структура кода (Development View)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15.5 Scenarios (Сценарии использования)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Связывает все представления через ключевые сценарии.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UC-01: Регистрация пользователя. Предусловие: не зарегистрирован. Поток: клиент POST /auth/register → API Gateway (Rate Limit) → auth-service (check email unique, bcrypt hash, save to Auth DB) → JWT-токен. Альтернативный поток: email занят → HTTP 400.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UC-02: Аутентификация по e-mail. Предусловие: зарегистрирован. Поток: POST /auth/login → Rate Limit → auth-service (SELECT user, bcrypt.verify, jwt.encode) → токен. Альтернативный: неверный пароль → 401; превышен лимит → 429.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UC-0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3: Создание заметки. Предусловие: аутентифицирован. Поток: POST /notes/ + Bearer token → Gateway (jwt.decode, add X-User-Id/Role) → notes-service (validate, INSERT Notes DB, notify) → 201 Created. Альтернативный: пустой title → 422; невалидный токен → 401.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UC-04: Просмотр заметок администратором. Предусловие: role=admin. Поток: GET /notes/?owner_id=X → Gateway (role=admin) → notes-service (фильтр по owner_id разрешён) → список заметок. Альтернативный: role=user → 403 Forbidden.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Заключение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ходе выполнения восьми лабораторных раб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от была полностью спроектирована и реализована система NewNote. В рамках работы 8 выполнен переход от монолита к микросервисной архитектуре. Причины перехода: рост аудитории с 1†00 до 100†00+ пользователей, невозможность горизонтального масштабирования мон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олита, единая точка отказа (доступность только 99,5%) и конфликты в растущей команде. Приоритетные атрибуты качества: масштабируемость (независимые реплики сервисов), доступность (с 99,5% до 99,9% за счёт изоляции сбоев), сопровождаемость (независимые паке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ты и CI/CD). Реализованы четыре сервиса: api_gateway, auth_service, notes_service, notification_service. Архитектура описана в нотации 4+1 с семью диаграммами: контекст (old/new), контейнеры, две диаграммы последовательности, развёртывание, структура кода.</w:t>
      </w:r>
      <w:r/>
      <w:r/>
      <w:r/>
      <w:r/>
    </w:p>
    <w:sectPr>
      <w:footerReference w:type="default" r:id="rId14"/>
      <w:footnotePr/>
      <w:endnotePr/>
      <w:type w:val="continuous"/>
      <w:pgSz w:h="16838" w:orient="portrait" w:w="11906"/>
      <w:pgMar w:top="1133" w:right="567" w:bottom="1133" w:left="170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rFonts w:ascii="Times New Roman" w:hAnsi="Times New Roman" w:eastAsia="Times New Roman" w:cs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nsid w:val="236E3464"/>
    <w:lvl w:ilvl="0">
      <w:isLgl w:val="false"/>
      <w:lvlJc w:val="left"/>
      <w:lvlText w:val="‒"/>
      <w:numFmt w:val="bullet"/>
      <w:pPr>
        <w:pBdr/>
        <w:spacing/>
        <w:ind w:hanging="360" w:left="1126"/>
      </w:pPr>
      <w:pStyle w:val="935"/>
      <w:rPr>
        <w:rFonts w:ascii="Times New Roman" w:hAnsi="Times New Roman" w:cs="Times New Roman"/>
        <w:b w:val="0"/>
        <w:bCs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84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56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28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0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72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44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6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886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Table Grid"/>
    <w:basedOn w:val="7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Table Grid Light"/>
    <w:basedOn w:val="7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1"/>
    <w:basedOn w:val="7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2"/>
    <w:basedOn w:val="7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1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2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3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4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5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6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1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2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3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4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5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6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1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2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3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4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5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6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0" w:default="1">
    <w:name w:val="Normal"/>
    <w:qFormat/>
    <w:pPr>
      <w:pBdr/>
      <w:spacing/>
      <w:ind/>
    </w:pPr>
  </w:style>
  <w:style w:type="paragraph" w:styleId="881">
    <w:name w:val="Heading 7"/>
    <w:basedOn w:val="880"/>
    <w:next w:val="880"/>
    <w:link w:val="89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2">
    <w:name w:val="Heading 8"/>
    <w:basedOn w:val="880"/>
    <w:next w:val="880"/>
    <w:link w:val="89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3">
    <w:name w:val="Heading 9"/>
    <w:basedOn w:val="880"/>
    <w:next w:val="880"/>
    <w:link w:val="89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4" w:default="1">
    <w:name w:val="Default Paragraph Font"/>
    <w:uiPriority w:val="1"/>
    <w:semiHidden/>
    <w:unhideWhenUsed/>
    <w:pPr>
      <w:pBdr/>
      <w:spacing/>
      <w:ind/>
    </w:p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character" w:styleId="886">
    <w:name w:val="Heading 1 Char"/>
    <w:basedOn w:val="884"/>
    <w:link w:val="9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7">
    <w:name w:val="Heading 2 Char"/>
    <w:basedOn w:val="884"/>
    <w:link w:val="9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8">
    <w:name w:val="Heading 3 Char"/>
    <w:basedOn w:val="884"/>
    <w:link w:val="9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9">
    <w:name w:val="Heading 4 Char"/>
    <w:basedOn w:val="884"/>
    <w:link w:val="93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0">
    <w:name w:val="Heading 5 Char"/>
    <w:basedOn w:val="884"/>
    <w:link w:val="9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1">
    <w:name w:val="Heading 6 Char"/>
    <w:basedOn w:val="884"/>
    <w:link w:val="93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2">
    <w:name w:val="Heading 7 Char"/>
    <w:basedOn w:val="884"/>
    <w:link w:val="88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3">
    <w:name w:val="Heading 8 Char"/>
    <w:basedOn w:val="884"/>
    <w:link w:val="88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4">
    <w:name w:val="Heading 9 Char"/>
    <w:basedOn w:val="884"/>
    <w:link w:val="8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5">
    <w:name w:val="Title Char"/>
    <w:basedOn w:val="884"/>
    <w:link w:val="92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6">
    <w:name w:val="Subtitle"/>
    <w:basedOn w:val="880"/>
    <w:next w:val="880"/>
    <w:link w:val="89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7">
    <w:name w:val="Subtitle Char"/>
    <w:basedOn w:val="884"/>
    <w:link w:val="8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8">
    <w:name w:val="Quote"/>
    <w:basedOn w:val="880"/>
    <w:next w:val="880"/>
    <w:link w:val="8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9">
    <w:name w:val="Quote Char"/>
    <w:basedOn w:val="884"/>
    <w:link w:val="8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0">
    <w:name w:val="Intense Emphasis"/>
    <w:basedOn w:val="88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1">
    <w:name w:val="Intense Quote"/>
    <w:basedOn w:val="880"/>
    <w:next w:val="880"/>
    <w:link w:val="90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2">
    <w:name w:val="Intense Quote Char"/>
    <w:basedOn w:val="884"/>
    <w:link w:val="90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3">
    <w:name w:val="Intense Reference"/>
    <w:basedOn w:val="88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4">
    <w:name w:val="No Spacing"/>
    <w:basedOn w:val="880"/>
    <w:uiPriority w:val="1"/>
    <w:qFormat/>
    <w:pPr>
      <w:pBdr/>
      <w:spacing w:after="0" w:line="240" w:lineRule="auto"/>
      <w:ind/>
    </w:pPr>
  </w:style>
  <w:style w:type="character" w:styleId="905">
    <w:name w:val="Subtle Emphasis"/>
    <w:basedOn w:val="88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6">
    <w:name w:val="Emphasis"/>
    <w:basedOn w:val="884"/>
    <w:uiPriority w:val="20"/>
    <w:qFormat/>
    <w:pPr>
      <w:pBdr/>
      <w:spacing/>
      <w:ind/>
    </w:pPr>
    <w:rPr>
      <w:i/>
      <w:iCs/>
    </w:rPr>
  </w:style>
  <w:style w:type="character" w:styleId="907">
    <w:name w:val="Subtle Reference"/>
    <w:basedOn w:val="88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8">
    <w:name w:val="Book Title"/>
    <w:basedOn w:val="88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09">
    <w:name w:val="Header"/>
    <w:basedOn w:val="880"/>
    <w:link w:val="91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0">
    <w:name w:val="Header Char"/>
    <w:basedOn w:val="884"/>
    <w:link w:val="909"/>
    <w:uiPriority w:val="99"/>
    <w:pPr>
      <w:pBdr/>
      <w:spacing/>
      <w:ind/>
    </w:pPr>
  </w:style>
  <w:style w:type="paragraph" w:styleId="911">
    <w:name w:val="Footer"/>
    <w:basedOn w:val="880"/>
    <w:link w:val="91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2">
    <w:name w:val="Footer Char"/>
    <w:basedOn w:val="884"/>
    <w:link w:val="911"/>
    <w:uiPriority w:val="99"/>
    <w:pPr>
      <w:pBdr/>
      <w:spacing/>
      <w:ind/>
    </w:pPr>
  </w:style>
  <w:style w:type="paragraph" w:styleId="913">
    <w:name w:val="Caption"/>
    <w:basedOn w:val="880"/>
    <w:next w:val="88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914">
    <w:name w:val="FollowedHyperlink"/>
    <w:basedOn w:val="88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5">
    <w:name w:val="toc 1"/>
    <w:basedOn w:val="880"/>
    <w:next w:val="880"/>
    <w:uiPriority w:val="39"/>
    <w:unhideWhenUsed/>
    <w:pPr>
      <w:pBdr/>
      <w:spacing w:after="100"/>
      <w:ind/>
    </w:pPr>
  </w:style>
  <w:style w:type="paragraph" w:styleId="916">
    <w:name w:val="toc 2"/>
    <w:basedOn w:val="880"/>
    <w:next w:val="880"/>
    <w:uiPriority w:val="39"/>
    <w:unhideWhenUsed/>
    <w:pPr>
      <w:pBdr/>
      <w:spacing w:after="100"/>
      <w:ind w:left="220"/>
    </w:pPr>
  </w:style>
  <w:style w:type="paragraph" w:styleId="917">
    <w:name w:val="toc 3"/>
    <w:basedOn w:val="880"/>
    <w:next w:val="880"/>
    <w:uiPriority w:val="39"/>
    <w:unhideWhenUsed/>
    <w:pPr>
      <w:pBdr/>
      <w:spacing w:after="100"/>
      <w:ind w:left="440"/>
    </w:pPr>
  </w:style>
  <w:style w:type="paragraph" w:styleId="918">
    <w:name w:val="toc 4"/>
    <w:basedOn w:val="880"/>
    <w:next w:val="880"/>
    <w:uiPriority w:val="39"/>
    <w:unhideWhenUsed/>
    <w:pPr>
      <w:pBdr/>
      <w:spacing w:after="100"/>
      <w:ind w:left="660"/>
    </w:pPr>
  </w:style>
  <w:style w:type="paragraph" w:styleId="919">
    <w:name w:val="toc 5"/>
    <w:basedOn w:val="880"/>
    <w:next w:val="880"/>
    <w:uiPriority w:val="39"/>
    <w:unhideWhenUsed/>
    <w:pPr>
      <w:pBdr/>
      <w:spacing w:after="100"/>
      <w:ind w:left="880"/>
    </w:pPr>
  </w:style>
  <w:style w:type="paragraph" w:styleId="920">
    <w:name w:val="toc 6"/>
    <w:basedOn w:val="880"/>
    <w:next w:val="880"/>
    <w:uiPriority w:val="39"/>
    <w:unhideWhenUsed/>
    <w:pPr>
      <w:pBdr/>
      <w:spacing w:after="100"/>
      <w:ind w:left="1100"/>
    </w:pPr>
  </w:style>
  <w:style w:type="paragraph" w:styleId="921">
    <w:name w:val="toc 7"/>
    <w:basedOn w:val="880"/>
    <w:next w:val="880"/>
    <w:uiPriority w:val="39"/>
    <w:unhideWhenUsed/>
    <w:pPr>
      <w:pBdr/>
      <w:spacing w:after="100"/>
      <w:ind w:left="1320"/>
    </w:pPr>
  </w:style>
  <w:style w:type="paragraph" w:styleId="922">
    <w:name w:val="toc 8"/>
    <w:basedOn w:val="880"/>
    <w:next w:val="880"/>
    <w:uiPriority w:val="39"/>
    <w:unhideWhenUsed/>
    <w:pPr>
      <w:pBdr/>
      <w:spacing w:after="100"/>
      <w:ind w:left="1540"/>
    </w:pPr>
  </w:style>
  <w:style w:type="paragraph" w:styleId="923">
    <w:name w:val="toc 9"/>
    <w:basedOn w:val="880"/>
    <w:next w:val="880"/>
    <w:uiPriority w:val="39"/>
    <w:unhideWhenUsed/>
    <w:pPr>
      <w:pBdr/>
      <w:spacing w:after="100"/>
      <w:ind w:left="1760"/>
    </w:pPr>
  </w:style>
  <w:style w:type="character" w:styleId="924">
    <w:name w:val="Placeholder Text"/>
    <w:basedOn w:val="884"/>
    <w:uiPriority w:val="99"/>
    <w:semiHidden/>
    <w:pPr>
      <w:pBdr/>
      <w:spacing/>
      <w:ind/>
    </w:pPr>
    <w:rPr>
      <w:color w:val="666666"/>
    </w:rPr>
  </w:style>
  <w:style w:type="paragraph" w:styleId="925">
    <w:name w:val="TOC Heading"/>
    <w:uiPriority w:val="39"/>
    <w:unhideWhenUsed/>
    <w:pPr>
      <w:pBdr/>
      <w:spacing/>
      <w:ind/>
    </w:pPr>
  </w:style>
  <w:style w:type="paragraph" w:styleId="926">
    <w:name w:val="table of figures"/>
    <w:basedOn w:val="880"/>
    <w:next w:val="880"/>
    <w:uiPriority w:val="99"/>
    <w:unhideWhenUsed/>
    <w:pPr>
      <w:pBdr/>
      <w:spacing w:after="0" w:afterAutospacing="0"/>
      <w:ind/>
    </w:pPr>
  </w:style>
  <w:style w:type="paragraph" w:styleId="927">
    <w:name w:val="Title"/>
    <w:qFormat/>
    <w:pPr>
      <w:pBdr/>
      <w:spacing/>
      <w:ind/>
    </w:pPr>
    <w:rPr>
      <w:sz w:val="56"/>
      <w:szCs w:val="56"/>
    </w:rPr>
  </w:style>
  <w:style w:type="paragraph" w:styleId="928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929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93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931">
    <w:name w:val="Heading 4"/>
    <w:qFormat/>
    <w:pPr>
      <w:pBdr/>
      <w:spacing/>
      <w:ind/>
    </w:pPr>
    <w:rPr>
      <w:i/>
      <w:iCs/>
      <w:color w:val="2e74b5"/>
    </w:rPr>
  </w:style>
  <w:style w:type="paragraph" w:styleId="932">
    <w:name w:val="Heading 5"/>
    <w:qFormat/>
    <w:pPr>
      <w:pBdr/>
      <w:spacing/>
      <w:ind/>
    </w:pPr>
    <w:rPr>
      <w:color w:val="2e74b5"/>
    </w:rPr>
  </w:style>
  <w:style w:type="paragraph" w:styleId="933">
    <w:name w:val="Heading 6"/>
    <w:qFormat/>
    <w:pPr>
      <w:pBdr/>
      <w:spacing/>
      <w:ind/>
    </w:pPr>
    <w:rPr>
      <w:color w:val="1f4d78"/>
    </w:rPr>
  </w:style>
  <w:style w:type="paragraph" w:styleId="934">
    <w:name w:val="Strong"/>
    <w:qFormat/>
    <w:pPr>
      <w:pBdr/>
      <w:spacing/>
      <w:ind/>
    </w:pPr>
    <w:rPr>
      <w:b/>
      <w:bCs/>
    </w:rPr>
  </w:style>
  <w:style w:type="paragraph" w:styleId="935">
    <w:name w:val="List Paragraph"/>
    <w:qFormat/>
    <w:pPr>
      <w:numPr>
        <w:ilvl w:val="0"/>
        <w:numId w:val="2"/>
      </w:numPr>
      <w:suppressLineNumbers w:val="false"/>
      <w:pBdr/>
      <w:spacing w:after="0" w:before="0" w:line="360" w:lineRule="auto"/>
      <w:ind w:right="0" w:firstLine="720" w:left="0"/>
      <w:jc w:val="both"/>
    </w:pPr>
  </w:style>
  <w:style w:type="character" w:styleId="93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3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38">
    <w:name w:val="footnote text"/>
    <w:link w:val="9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9">
    <w:name w:val="Footnote Text Char"/>
    <w:link w:val="93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4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41">
    <w:name w:val="endnote text"/>
    <w:link w:val="9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2">
    <w:name w:val="Endnote Text Char"/>
    <w:link w:val="941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f6fc0ab545eb4e0fad69b56ce82ef51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 w14:paraId="2794FF7D">
          <w:pPr>
            <w:pStyle w:val="1_769"/>
            <w:pBdr/>
            <w:spacing/>
            <w:ind/>
            <w:rPr/>
          </w:pPr>
          <w:r>
            <w:t xml:space="preserve">Пересунько Е. О.</w:t>
          </w:r>
          <w:r/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Table Grid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6" w:default="1">
    <w:name w:val="Normal"/>
    <w:qFormat/>
    <w:pPr>
      <w:pBdr/>
      <w:spacing/>
      <w:ind/>
    </w:pPr>
  </w:style>
  <w:style w:type="paragraph" w:styleId="397">
    <w:name w:val="Heading 1"/>
    <w:basedOn w:val="396"/>
    <w:next w:val="39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396"/>
    <w:next w:val="39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396"/>
    <w:next w:val="39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396"/>
    <w:next w:val="39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396"/>
    <w:next w:val="39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396"/>
    <w:next w:val="39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396"/>
    <w:next w:val="39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396"/>
    <w:next w:val="39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396"/>
    <w:next w:val="39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6" w:default="1">
    <w:name w:val="Default Paragraph Font"/>
    <w:uiPriority w:val="1"/>
    <w:semiHidden/>
    <w:unhideWhenUsed/>
    <w:pPr>
      <w:pBdr/>
      <w:spacing/>
      <w:ind/>
    </w:pPr>
  </w:style>
  <w:style w:type="numbering" w:styleId="407" w:default="1">
    <w:name w:val="No List"/>
    <w:uiPriority w:val="99"/>
    <w:semiHidden/>
    <w:unhideWhenUsed/>
    <w:pPr>
      <w:pBdr/>
      <w:spacing/>
      <w:ind/>
    </w:pPr>
  </w:style>
  <w:style w:type="character" w:styleId="408">
    <w:name w:val="Heading 1 Char"/>
    <w:basedOn w:val="406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406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406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406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406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406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406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406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406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396"/>
    <w:next w:val="39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406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396"/>
    <w:next w:val="39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406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396"/>
    <w:next w:val="39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406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39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4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396"/>
    <w:next w:val="39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406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4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39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4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406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406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4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4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39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406"/>
    <w:link w:val="434"/>
    <w:uiPriority w:val="99"/>
    <w:pPr>
      <w:pBdr/>
      <w:spacing/>
      <w:ind/>
    </w:pPr>
  </w:style>
  <w:style w:type="paragraph" w:styleId="436">
    <w:name w:val="Footer"/>
    <w:basedOn w:val="39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406"/>
    <w:link w:val="436"/>
    <w:uiPriority w:val="99"/>
    <w:pPr>
      <w:pBdr/>
      <w:spacing/>
      <w:ind/>
    </w:pPr>
  </w:style>
  <w:style w:type="paragraph" w:styleId="438">
    <w:name w:val="Caption"/>
    <w:basedOn w:val="396"/>
    <w:next w:val="3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39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406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39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406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4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4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396"/>
    <w:next w:val="396"/>
    <w:uiPriority w:val="39"/>
    <w:unhideWhenUsed/>
    <w:pPr>
      <w:pBdr/>
      <w:spacing w:after="100"/>
      <w:ind/>
    </w:pPr>
  </w:style>
  <w:style w:type="paragraph" w:styleId="448">
    <w:name w:val="toc 2"/>
    <w:basedOn w:val="396"/>
    <w:next w:val="396"/>
    <w:uiPriority w:val="39"/>
    <w:unhideWhenUsed/>
    <w:pPr>
      <w:pBdr/>
      <w:spacing w:after="100"/>
      <w:ind w:left="220"/>
    </w:pPr>
  </w:style>
  <w:style w:type="paragraph" w:styleId="449">
    <w:name w:val="toc 3"/>
    <w:basedOn w:val="396"/>
    <w:next w:val="396"/>
    <w:uiPriority w:val="39"/>
    <w:unhideWhenUsed/>
    <w:pPr>
      <w:pBdr/>
      <w:spacing w:after="100"/>
      <w:ind w:left="440"/>
    </w:pPr>
  </w:style>
  <w:style w:type="paragraph" w:styleId="450">
    <w:name w:val="toc 4"/>
    <w:basedOn w:val="396"/>
    <w:next w:val="396"/>
    <w:uiPriority w:val="39"/>
    <w:unhideWhenUsed/>
    <w:pPr>
      <w:pBdr/>
      <w:spacing w:after="100"/>
      <w:ind w:left="660"/>
    </w:pPr>
  </w:style>
  <w:style w:type="paragraph" w:styleId="451">
    <w:name w:val="toc 5"/>
    <w:basedOn w:val="396"/>
    <w:next w:val="396"/>
    <w:uiPriority w:val="39"/>
    <w:unhideWhenUsed/>
    <w:pPr>
      <w:pBdr/>
      <w:spacing w:after="100"/>
      <w:ind w:left="880"/>
    </w:pPr>
  </w:style>
  <w:style w:type="paragraph" w:styleId="452">
    <w:name w:val="toc 6"/>
    <w:basedOn w:val="396"/>
    <w:next w:val="396"/>
    <w:uiPriority w:val="39"/>
    <w:unhideWhenUsed/>
    <w:pPr>
      <w:pBdr/>
      <w:spacing w:after="100"/>
      <w:ind w:left="1100"/>
    </w:pPr>
  </w:style>
  <w:style w:type="paragraph" w:styleId="453">
    <w:name w:val="toc 7"/>
    <w:basedOn w:val="396"/>
    <w:next w:val="396"/>
    <w:uiPriority w:val="39"/>
    <w:unhideWhenUsed/>
    <w:pPr>
      <w:pBdr/>
      <w:spacing w:after="100"/>
      <w:ind w:left="1320"/>
    </w:pPr>
  </w:style>
  <w:style w:type="paragraph" w:styleId="454">
    <w:name w:val="toc 8"/>
    <w:basedOn w:val="396"/>
    <w:next w:val="396"/>
    <w:uiPriority w:val="39"/>
    <w:unhideWhenUsed/>
    <w:pPr>
      <w:pBdr/>
      <w:spacing w:after="100"/>
      <w:ind w:left="1540"/>
    </w:pPr>
  </w:style>
  <w:style w:type="paragraph" w:styleId="455">
    <w:name w:val="toc 9"/>
    <w:basedOn w:val="396"/>
    <w:next w:val="39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406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396"/>
    <w:next w:val="39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3</cp:revision>
  <dcterms:created xsi:type="dcterms:W3CDTF">2026-04-23T13:45:30Z</dcterms:created>
  <dcterms:modified xsi:type="dcterms:W3CDTF">2026-04-25T07:41:30Z</dcterms:modified>
</cp:coreProperties>
</file>