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A96549">
      <w:pPr>
        <w:pBdr/>
        <w:spacing w:line="240" w:lineRule="auto"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Министерство науки и высшего образования РФ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38004277">
      <w:pPr>
        <w:pBdr/>
        <w:spacing w:line="240" w:lineRule="auto"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Федеральное государственное автономное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6FFAAE9A">
      <w:pPr>
        <w:pBdr/>
        <w:spacing w:line="240" w:lineRule="auto"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образовательное учреждение высшего образования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61BF036C">
      <w:pPr>
        <w:pBdr/>
        <w:spacing w:line="240" w:lineRule="auto"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  <w:t xml:space="preserve">«СИБИРСКИЙ ФЕДЕРАЛЬНЫЙ УНИВЕРСИТЕТ»</w:t>
      </w: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</w:p>
    <w:p w14:paraId="10FA253D">
      <w:pPr>
        <w:pBdr/>
        <w:spacing w:line="240" w:lineRule="auto"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</w:p>
    <w:p w14:paraId="6EA4E43F">
      <w:pPr>
        <w:pBdr/>
        <w:spacing w:line="240" w:lineRule="auto"/>
        <w:ind w:firstLine="0"/>
        <w:jc w:val="center"/>
        <w:rPr>
          <w:rFonts w:eastAsia="Times New Roman" w:cs="Times New Roman"/>
          <w:color w:val="auto"/>
          <w:sz w:val="12"/>
          <w:szCs w:val="12"/>
        </w:rPr>
      </w:pPr>
      <w:r>
        <w:rPr>
          <w:rFonts w:eastAsia="Times New Roman" w:cs="Times New Roman"/>
          <w:color w:val="auto"/>
          <w:sz w:val="12"/>
          <w:szCs w:val="12"/>
        </w:rPr>
      </w:r>
      <w:r>
        <w:rPr>
          <w:rFonts w:eastAsia="Times New Roman" w:cs="Times New Roman"/>
          <w:color w:val="auto"/>
          <w:sz w:val="12"/>
          <w:szCs w:val="12"/>
        </w:rPr>
      </w:r>
      <w:r>
        <w:rPr>
          <w:rFonts w:eastAsia="Times New Roman" w:cs="Times New Roman"/>
          <w:color w:val="auto"/>
          <w:sz w:val="12"/>
          <w:szCs w:val="12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541FB19B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Институт космических и информационных технологий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1DB0A5D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институт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10480AF2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Программная инженерия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E781A01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кафедра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</w:tr>
    </w:tbl>
    <w:p w14:paraId="31342743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szCs w:val="28"/>
          <w:lang w:eastAsia="ru-RU"/>
        </w:rPr>
      </w:r>
    </w:p>
    <w:p w14:paraId="4C63B6A6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val="en-US" w:eastAsia="ru-RU"/>
        </w:rPr>
      </w:pP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ОТЧЕТ О ПРАКТИЧЕСКОЙ РАБОТЕ</w:t>
      </w:r>
      <w:r>
        <w:rPr>
          <w:rFonts w:eastAsia="Times New Roman" w:cs="Times New Roman"/>
          <w:b/>
          <w:bCs/>
          <w:color w:val="auto"/>
          <w:szCs w:val="28"/>
          <w:lang w:val="en-US" w:eastAsia="ru-RU"/>
        </w:rPr>
        <w:t xml:space="preserve"> </w:t>
      </w: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№</w:t>
      </w:r>
      <w:r>
        <w:rPr>
          <w:rFonts w:eastAsia="Times New Roman" w:cs="Times New Roman"/>
          <w:b/>
          <w:bCs/>
          <w:color w:val="auto"/>
          <w:szCs w:val="28"/>
          <w:lang w:val="en-US" w:eastAsia="ru-RU"/>
        </w:rPr>
        <w:t xml:space="preserve">8</w:t>
      </w:r>
      <w:r>
        <w:rPr>
          <w:rFonts w:eastAsia="Times New Roman" w:cs="Times New Roman"/>
          <w:color w:val="auto"/>
          <w:szCs w:val="28"/>
          <w:lang w:val="en-US" w:eastAsia="ru-RU"/>
        </w:rPr>
      </w:r>
      <w:r>
        <w:rPr>
          <w:rFonts w:eastAsia="Times New Roman" w:cs="Times New Roman"/>
          <w:color w:val="auto"/>
          <w:szCs w:val="28"/>
          <w:lang w:val="en-US" w:eastAsia="ru-RU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73B817F1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Реструктуризация архитектуры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4D7EF9B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тема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</w:tr>
    </w:tbl>
    <w:p w14:paraId="240F053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szCs w:val="28"/>
          <w:lang w:eastAsia="ru-RU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1417"/>
        <w:gridCol w:w="3118"/>
        <w:gridCol w:w="283"/>
        <w:gridCol w:w="1700"/>
        <w:gridCol w:w="283"/>
        <w:gridCol w:w="2834"/>
      </w:tblGrid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3A9E2883">
            <w:pPr>
              <w:pBdr/>
              <w:spacing w:line="276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Преподаватель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48EAAD99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467458E6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4EC6FE5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15378056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Д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. В. 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Грузенкин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5892E175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753E7F74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0A6A0031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1990C4F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5E0C422D">
            <w:pPr>
              <w:pBdr/>
              <w:spacing w:line="240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2E0256A6">
            <w:pPr>
              <w:pBdr/>
              <w:spacing w:line="276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Студент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3118" w:type="dxa"/>
          </w:tcPr>
          <w:p w14:paraId="3A44769A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КИ23-1</w:t>
            </w:r>
            <w:r>
              <w:rPr>
                <w:rFonts w:eastAsia="Times New Roman" w:cs="Times New Roman"/>
                <w:color w:val="auto"/>
                <w:szCs w:val="28"/>
                <w:lang w:val="ru-RU"/>
              </w:rPr>
              <w:t xml:space="preserve">6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  <w:t xml:space="preserve">/1б, </w:t>
            </w:r>
            <w:r>
              <w:rPr>
                <w:rFonts w:eastAsia="Times New Roman" w:cs="Times New Roman"/>
                <w:color w:val="auto"/>
                <w:szCs w:val="28"/>
                <w:lang w:val="ru-RU"/>
              </w:rPr>
              <w:t xml:space="preserve">32322546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732419A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014FEC34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AD04786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077B6E56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auto"/>
                <w:szCs w:val="28"/>
                <w:lang w:val="ru-RU"/>
              </w:rPr>
              <w:t xml:space="preserve">Е. А. Гуртякин</w:t>
            </w:r>
            <w:r>
              <w:rPr>
                <w:rFonts w:eastAsia="Times New Roman" w:cs="Times New Roman"/>
                <w:color w:val="auto"/>
                <w:szCs w:val="28"/>
                <w:lang w:eastAsia="ru-RU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32786815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3118" w:type="dxa"/>
          </w:tcPr>
          <w:p w14:paraId="75D7249A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номер группы, зачётной книжки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254B384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2B3C8FEF">
            <w:pPr>
              <w:pBdr/>
              <w:spacing w:line="276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1FD50D6">
            <w:pPr>
              <w:pBdr/>
              <w:spacing w:line="240" w:lineRule="auto"/>
              <w:ind w:firstLine="0"/>
              <w:contextualSpacing w:val="false"/>
              <w:jc w:val="left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62B6603D">
            <w:pPr>
              <w:pBdr/>
              <w:spacing w:line="240" w:lineRule="auto"/>
              <w:ind w:firstLine="0"/>
              <w:contextualSpacing w:val="false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</w:r>
          </w:p>
        </w:tc>
      </w:tr>
    </w:tbl>
    <w:p w14:paraId="7E756502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szCs w:val="28"/>
          <w:lang w:eastAsia="ru-RU"/>
        </w:rPr>
      </w:r>
    </w:p>
    <w:p w14:paraId="6E0D0BE5">
      <w:pPr>
        <w:pBdr/>
        <w:spacing w:line="276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eastAsia="ru-RU"/>
        </w:rPr>
        <w:sectPr>
          <w:footnotePr/>
          <w:endnotePr/>
          <w:type w:val="nextPage"/>
          <w:pgSz w:h="16838" w:orient="portrait" w:w="11906"/>
          <w:pgMar w:top="1133" w:right="566" w:bottom="1133" w:left="1700" w:header="709" w:footer="709" w:gutter="0"/>
          <w:cols w:num="1" w:sep="0" w:space="708" w:equalWidth="1"/>
        </w:sectPr>
      </w:pPr>
      <w:r>
        <w:rPr>
          <w:rFonts w:eastAsia="Times New Roman" w:cs="Times New Roman"/>
          <w:color w:val="auto"/>
          <w:szCs w:val="28"/>
          <w:lang w:eastAsia="ru-RU"/>
        </w:rPr>
        <w:t xml:space="preserve">Красноярск 202</w:t>
      </w:r>
      <w:r>
        <w:rPr>
          <w:rFonts w:eastAsia="Times New Roman" w:cs="Times New Roman"/>
          <w:color w:val="auto"/>
          <w:szCs w:val="28"/>
          <w:lang w:eastAsia="ru-RU"/>
        </w:rPr>
        <w:t xml:space="preserve">6</w:t>
      </w: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szCs w:val="28"/>
          <w:lang w:eastAsia="ru-RU"/>
        </w:rPr>
      </w:r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лабораторной работы является выбор темы проекта, архитектура которой будет разрабатываться в течение семестра.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7"/>
        <w:suppressLineNumbers w:val="false"/>
        <w:pBdr/>
        <w:spacing/>
        <w:ind w:right="0" w:firstLine="720" w:left="0"/>
        <w:rPr>
          <w14:ligatures w14:val="none"/>
        </w:rPr>
      </w:pPr>
      <w:r>
        <w:t xml:space="preserve">выбрать тематику приложения;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продумать название и задачи, которые оно выполняет;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составить краткое описание системы и её характеристик;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UML-диаграмму вариантов использования описываемой системы.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Описание системы</w:t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Название и концепция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Назначение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назначение NewNote – предоставить пользователям удобный, минималистичный инструмент для ведения заметок без лишней функциональности. В отличие от громоздких аналогов, NewNote ориентирован на скорость и простоту: открыл, написал, сохранил.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Основные характеристики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системы – клиент-серверное веб-приложение;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платформа – браузерная (доступна с любого устройства);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 – двухканальная: по адресу электронной почты и по SMS-коду;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 заметок – персональное, привязанное к учётной записи пользователя;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операции с заметками – создание, просмотр, редактирование, удаление, поиск;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 – круглосуточная, без ограничений по количеству заметок.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1.4 Участники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Style w:val="937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Style w:val="937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UML-диаграмма вариантов использования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120" w:line="360" w:lineRule="auto"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616490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6985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6120764" cy="61649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5pt;height:485.43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Варианты использования системы: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«Зарегистрироваться» – создание новой учётной записи с указанием e-mail и номера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e-mail» – вход в систему через адрес электронной почты и пароль;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SMS» – вход через одноразовый SMS-код, отправляемый на привязанный номер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«Создать заметку» – добавление новой записи с заголовком и текстом;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«Просмотреть заметки» – отображение списка всех заметок пользователя;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«Редактировать заметку» – изменение содержимого существующей заметки;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«Удалить заметку» – безвозвратное удаление выбранной записи;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«Искать заметки» – фильтрация записей по ключевому слову в заголовке;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«Выйти из системы» – завершение сеанса работы с очисткой данных сессии.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составление требований к проектируемой системе NewNote на различных уровнях, а также определение источников и методов их получения.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сформулировать бизнес-требования к системе NewNote;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определить требования пользователей;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функциональные требования;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нефункциональные требования;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описать источники и методы получения требований.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 Требования к системе NewNote</w:t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3.1 Бизнес-требования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качестве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сформировать базу для будущей монетизации за счёт введения платных тарифов с расширенными возможностями;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MVP (минимально жизнеспособный продукт) в течение трёх месяцев с начала разработки;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3.2 Требования пользователей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зарегистрироваться, указав адрес электронной почты и номер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создавать текстовые заметки с заголовком и произвольным текстом;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видеть список всех своих заметок на главной странице после входа;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открыть и отредактировать любую свою заметку;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удалить заметку;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найти нужную заметку по ключевому слову в заголовке;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выйти из системы с любой страницы.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3.3 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регистрации с полями: e-mail, пароль, номер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входа по e-mail и паролю;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отправлять одноразовый SMS-код при запросе аутентификации по номеру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считать SMS-код недействительным по истечении 5 минут с момента его отправки;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сохранять заметки с привязкой к учётной записи пользователя;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редактирования заметки с сохранением внесённых изменений;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удалять заметку после явного подтверждения пользователем;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3.4 Нефункциональные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проектировании системы необходимо учитывать следующие нефункциональные 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производительность: время отклика системы на любой запрос пользователя не должно превышать 2 секунды при нагрузке до 500 одновременных пользователей;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доступность: система должна обеспечивать доступность не менее 99,5 % в месяц;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совместимость: система должна корректно работать в актуальных версиях браузеров Chrome, Firefox, Safari и Edge;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масштабируемость: архитектура должна допускать горизонтальное масштабирование серверной части без изменения клиентского кода;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удобство использования: интерфейс должен соответствовать принципам юзабилити; целевое значение показателя SUS (System Usability Scale) – не ниже 70 баллов.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 Источники и методы получения требований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работы с проектируемой системой NewNote были использованы следующие источники и методы получения требований.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Интервью с заказчиком. В роли заказчика выступае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ИП Серебряков А.В. На основании двух проведённых интервью были сформированы бизнес-требования: целевые показатели аудитории, сроки запуска MVP и стратегия монетизации. Интервью позволило зафиксировать приоритеты бизнеса и ограничения по срокам и бюджету.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Анкетирование потенциальных пользователей. Для формирования требований пользователей была составлена анкета из 10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вопросов, охватывающих сценарии использования заметок в повседневной жизни. Анкета была распространена среди 20 студентов направления «Программная инженерия». По результатам анализа ответов выявлены основные пользовательские сценарии и приоритеты функций.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конкурентов (бенчмаркинг). Для определения функциона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льных требований был выполнен анализ трёх аналогичных систем: Google Keep, Notion и Bear. Сравнительный анализ позволил определить минимальный набор функций, ожидаемых пользователями от подобного приложения, и избежать избыточности в проектируемой системе.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Изучение нормативно-технической докум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ентации. При формировании нефункциональных требований в части безопасности и качества были изучены рекомендации OWASP по безопасности веб-приложений [3], а также стандарт ISO/IEC 25010, регламентирующий характеристики качества программного обеспечения [4].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выбор и обоснование архитектурного паттерна для системы NewNote, а также его реализация в виде структуры программного проекта.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изучить основные архитектурные паттерны;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выбрать подходящий паттерн для системы NewNote;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выбор в формате ADR (Architecture Decision Record);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реализовать структуру проекта на Python FastAPI в соответствии с выбранным паттерном.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 Выбор архитектурного паттерна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обоснования выбора архитектурного решения был составлен ADR (Architecture Decision Record) – структурированный документ, фиксирующий принятое архитектурное решение, его контекст, обоснование и рассмотренные альтернативы.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Запись принятого решения № 1: Выбор архитектурного паттерна для системы NewNote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Дата: 2026-04-23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Контекст: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Разрабатывается веб-приложение NewNote – минималистичный сервис для создания и хранения текстовых заметок. Основные функциональные домены системы: управление пользователями (регистрация, ау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тентификация по e-mail и SMS), управление заметками (создание, просмотр, редактирование, удаление, поиск). Команда разработки: 1 разработчик. Срок разработки: один учебный семестр. Ожидаемая нагрузка на этапе MVP – не более 100 одновременных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Решение: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Принято решение реализовать систему NewNote в виде монолита с послойной (layered) структурой. Проект разбит на следующие слои и модули: точка входа (m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ain.py), подключение к базе данных (database.py), ORM-модели (models.py), схемы данных Pydantic (schemas.py), вспомогательные утилиты аутентификации (auth_utils.py), зависимости FastAPI (dependencies.py), маршрутизаторы (routers/auth.py, routers/notes.py).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Обоснование: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простота предметной области: система имеет два чётко ограниченных функциональных модуля (аутентификация и заметки) без сложных межсервисных зависимостей;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малая команда и ограниченный срок: для одного разработчика монолит обеспечивает наименьший накладной расход на инфраструктуру и настройку;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низкая ожидаемая нагрузка: ожидаемое число одновременных пользователей (до 100) не требует горизонтального масштабирования на уровне сервисов;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единая база данных: все данные хранятся в одной SQLite/PostgreSQL БД, что упрощает транзакционную целостность;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простота отладки и тестирования: весь код находится в одном процессе, что исключает проблемы распределённых вызовов.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Последствия: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Преимущества: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минимальная инфраструктура – один контейнер/процесс;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быстрый старт разработки;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единое логирование и обработка ошибок;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простая схема развёртывания (uvicorn + SQLite или PostgreSQL).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Недостатки и риски: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единая точка отказа: при падении процесса недоступна вся система;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при росте нагрузки потребуется рефакторинг в микросервисы;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риск нарастания связанности модулей при расширении функциональности.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Альтернативы: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Микросервисная архитектура была отклонена по следующим причинам: ожидаемая нагрузка не оправдывает затраты на DevOps-инфраструктуру (оркестрация, service mesh, распределённые транзакции); малый размер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анды и учебные сроки делают порог входа неприемлемым. Событийно-ориентированная архитектура избыточна для простого CRUD-приложения без асинхронных бизнес-процессов. SOA неприменима, так как система не интегрируется со сторонними сервисами через общую шину.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5.1 Структура программного проекта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соответствии с выбранным паттерном реализована следующая структура монолитного проекта на Python FastAPI: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main.py – точка входа; регистрирует маршрутизаторы и создаёт таблицы БД при запуске;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– настройка подключения к базе данных через SQLAlchemy, фабрика сессий и зависимость get_db;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models.py – ORM-модели User и Note; User хранит данные учётной записи и OTP-код для SMS-входа; Note хранит заголовок, текст и ссылку на владельца;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schemas.py – Pydantic-схемы для валидации входящих запросов и сериализации ответов (RegisterRequest, LoginRequest, SmsRequest, SmsVerifyRequest, NoteCreate, NoteUpdate, NoteResponse);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auth_utils.py – вспомогательные функции: хэширование пароля (bcrypt), создание JWT-токена, генерация шестизначного SMS-кода;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dependencies.py – FastAPI-зависимость get_current_user: декодирует JWT-токен из заголовка Authorization и возвращает текущего пользователя;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routers/auth.py – эндпоинты: POST /auth/register, POST /auth/login, POST /auth/sms/send, POST /auth/sms/verify;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routers/notes.py – эндпоинты: GET /notes/, POST /notes/, PUT /notes/{id}, DELETE /notes/{id}.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построение карты контекстов системы NewNote по методологии DDD, а также составление диаграмм контекста нотации C4 для смыслового ядра и вспомогательной подобласти.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определить подобласти системы NewNote: смысловое ядро, вспомогательные и общие подобласти;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выделить ограниченные контексты и описать отношения между ними;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карту контекстов по методологии DDD;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диаграмму контекста нотации C4 для смыслового ядра;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диаграмму контекста нотации C4 для одной вспомогательной подобласти.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 Карта контекстов по методологии DDD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Domain-Driven Design (DDD) – методология проектирования программных систем,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которой в основу архитектуры кладётся модель предметной области. Карта контекстов (Context Map) – один из стратегических артефактов DDD, который описывает все ограниченные контексты (Bounded Contexts) системы, их границы и виды взаимодействия между ними.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6.1 Определение подобластей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системы NewNote выделены следующие подобласти: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(Core Domain) – Управление заметками (Note Management). Это основная бизнес-ценность системы: создание, хранение, редактирование, удален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 и поиск текстовых заметок. Именно эта функциональность отличает NewNote от остальных систем и составляет конкурентное преимущество приложения. Ключевые агрегаты: Note (заметка с заголовком и текстом), NoteList (коллекция заметок пользователя с поиском).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Вспомогательная подобласть (Supporting Subdomain) – Профиль пользоват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еля (User Profile). Хранит персональные данные учётной записи: адрес электронной почты, номер телефона, дату регистрации. Необходима для корректной работы смыслового ядра, поскольку каждая заметка привязана к конкретному пользователю. Агрегат: UserProfile.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Общие подобласти (Generic Subdomains) – функциональность, не являющаяся уникальной для системы: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Идентификация (User Identity) – регистрация учётных записей, аутентификация по e-mail и паролю, аутентификация по одноразовому SMS-коду (OTP), управление JWT-сессиями;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Уведомления (Notification) – генерация и отправка SMS-кодов через внешний SMS-шлюз.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6.2 Ограниченные контексты и связи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основе выделенных подобластей определены следующие ограниченные контексты и отношения между ними: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 Management Context (Core) – обрабатывает всю логику работы с заметками; зависит от User Identity Context для получения идентификатора текущего пользователя.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User Identity Context (Generic) – управляет учётными записями и аутентификацией; зависит от Notification Context для отправки OTP-кодов.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 Context (Generic) – предоставляет возможность отправки SMS; является поставщиком (Upstream) для User Identity Context.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User Profile Context (Supporting) – хранит дополнительные данные профиля; предоставляет информацию о пользователе контексту Note Management.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связи между всеми контекстами – Customer-Supplier (C-S): один контекст (Upstream, поставщик) предоставляет данные или сервис, другой (Downstream, клиент) его использует. Изменения в поставщике влекут адаптацию у клиента.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6.3 Карта контекстов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Карта контекстов системы NewNote представлена на рисунке 2. На карте стрелки показывают направление зависимости: стрелка от поставщика (U – Upstream) к клиенту (D – Downstream). Обозначение C-S (Customer-Supplier) указывает тип отношения.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6000" cy="3298000"/>
                <wp:effectExtent l="0" t="0" r="0" b="0"/>
                <wp:docPr id="2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196000" cy="329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9.13pt;height:259.6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Карта контекстов системы NewNote по методологии DDD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(Note Management Context) выделено жёлтым фоном и является центральным элементом карты. Слева расположен User Identity Context (голубой), который выступает поставщиком идентификационных данных для Notes и одновременно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клиентом для Notification Context (жёлтый, внизу). Справа – User Profile Context (зелёный), предоставляющий дополнительные данные профиля. Внизу слева отображён внешний по отношению ко всей системе SMS-шлюз, с которым взаимодействует Notification Context.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 Диаграммы контекста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Нотация C4 (Context, 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tainers, Components, Code) – иерархическая система диаграмм для визуализации архитектуры программного обеспечения, предложенная Саймоном Брауном. Название нотации отражает четыре уровня детализации: Level 1 – диаграмма контекста (System Context), Level 2 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контейнеров (Container), Level 3 – диаграмма компонентов (Component), Level 4 – диаграмма кода (Code). В данной работе используется уровень 1 – System Context Diagram: показывает людей и внешние системы, взаимодействующие с описываемой системой.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7.1 Диаграмма контекста C4 для смыслового ядра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3 представлена диаграмма контекста нотации C4 для смыслового ядра системы NewNote – контекста управления заметками (Note Management Context).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29200" cy="2760000"/>
                <wp:effectExtent l="0" t="0" r="0" b="0"/>
                <wp:docPr id="3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029200" cy="27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6.00pt;height:217.3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3 – Диаграмма контекста C4 для смыслового ядра (Note Management Context)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Зарегистрированный пользователь (Person) – конечный пользователь системы, который после аутентификации создаёт, прос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матривает, редактирует, удаляет и ищет заметки. Система NewNote (Software System) – монолитное веб-приложение на Python FastAPI, реализующее CRUD-операции с заметками. REST API защищён JWT-токеном; данные сохраняются в SQLite (разработка) или PostgreSQL (п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родакшн). База данных (Software System, внешняя) – реляционное хранилище, с которым система взаимодействует через ORM SQLAlchemy. Веб-браузер (Software System, внешний) – клиентская часть: пользователь обращается к системе через браузер по протоколу HTTPS.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7.2 Диаграмма контекста C4 для вспомогательной подобласти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4 представлена диаграмма контекста нотации C4 для вспомогательной подобласти – контекста идентификации и аутентификации (User Identity Context).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6000" cy="2804400"/>
                <wp:effectExtent l="0" t="0" r="0" b="0"/>
                <wp:docPr id="4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196000" cy="280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9.13pt;height:220.8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4 – Диаграмма контекста C4 для вспомогательной подобласти (User Identity Context)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Незарегистрированный пользователь (Person) – посетитель, который впервые открывает приложение. Он может зарегистрироваться по e-mail и паролю, либо запросить вход по SMS-коду. Зар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егистрированный пользователь (Person) – существующий пользователь, который входит в систему по одному из двух каналов: e-mail/пароль или одноразовый SMS-код (OTP). После успешной аутентификации система выдаёт JWT-токен со сроком действия 6 часов. Система 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ewNote (Software System) – основная система: принимает запросы на регистрацию и аутентификацию, хэширует пароли с помощью bcrypt, управляет OTP-кодами и JWT-токенами. SMS-провайдер (External Software System) – сторонний сервис (например, Twilio или СМС.ру)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через HTTPS API которого система отправляет одноразовые коды при SMS-аутентификации. SMTP-сервер (External Software System) – почтовый сервер, используемый для отправки письма с подтверждением адреса электронной почты при регистрации нового пользователя.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 данной лабораторной работы является реализация не менее трёх паттернов проектирования (по одному каждого вида: порождающий, структурный, поведенческий) в коде системы NewNote, построение UML-диаграммы классов и обоснование выбора реализованных паттернов.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поведенческий паттерн проектирования;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структурный паттерн проектирования;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порождающий паттерн проектирования;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UML-диаграммы классов для каждого реализованного паттерна;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обосновать выбор каждого паттерна и привести примеры нецелесообразных альтернатив.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 Паттерны проектирования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проектирования (Design Pattern) – типовое решение часто встречающейся задачи при проект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ировании программного обеспечения. Паттерны не являются конкретным кодом, а представляют собой описание подхода, который можно адаптировать под нужды конкретного проекта. В системе NewNote реализованы три паттерна: поведенческий, структурный и порождающий.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8.1 Поведенческий паттерн: Стратегия (Strategy)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Стратегия применён для реализации аутентификации пользователей. Система NewNote поддерживает два способа входа: по e-mail и паролю,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по одноразовому SMS-коду (OTP). Оба способа имеют общий интерфейс (метод authenticate), но принципиально разные алгоритмы проверки. Паттерн Стратегия позволяет инкапсулировать каждый алгоритм в отдельный класс и переключать их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Паттерн Стратегия выбран, так как в системе присутствует несколько взаимозаменяемых алгоритмов аутентификации, которые не имеют общих пошаговых операций. Роутер (клиент) не должен зависеть от деталей реализации каждого способа входа.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Шаблонный метод (Template Method). Шаблонный метод предполагает, что у всех вариантов алгоритма есть фиксированная последовательность шагов, которые частично переопределяются в подклассах. У ema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il-аутентификации (проверка пароля bcrypt) и SMS-аутентификации (проверка OTP-кода и срока его действия) нет общей последовательности шагов, поэтому Шаблонный метод неприменим. Стратегия корректнее, так как алгоритмы независимы и полностью взаимозаменяемы.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Команда (Command). Паттерн Команда предназначен для инкапсуляции запроса как объекта с поддержкой отмены, очереди и журналирования. Аутентификация является немедленным действием без необходимости откладывать его или отменять, поэтому Команда избыточна.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ации: абстрактный класс AuthStrategy с методом authenticate(db, **kwargs), конкретные классы EmailAuthStrategy и SmsAuthStrategy, класс-контекст AuthContext, хранящий ссылку на стратегию и вызывающий её через метод login(). Файл: patterns/auth_strategy.py.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Стратегия представлена на рисунке 5.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0200" cy="2560000"/>
                <wp:effectExtent l="0" t="0" r="0" b="0"/>
                <wp:docPr id="5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990200" cy="25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2.93pt;height:201.5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5 – Диаграмма классов: паттерн Стратегия (Strategy)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8.2 Структурный паттерн: Репозиторий (Repository)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Репозиторий применён для изоляции логики доступа к данн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ым от бизнес-логики роутеров. До применения паттерна роутеры напрямую обращались к объекту Session SQLAlchemy, смешивая работу с базой данных и обработку HTTP-запросов. Это затрудняло тестирование: для unit-тестов роутеров требовалась реальная база данных.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Репозиторий предоставляет 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диный интерфейс для работы с коллекцией объектов модели, скрывая детали хранилища. При необходимости реальный NoteRepository можно подменить тестовой заглушкой (InMemoryNoteRepository), реализующей тот же абстрактный интерфейс, без изменения кода роутеров.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Фасад (Facade). Фа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сад предоставляет упрощённый интерфейс к сложной подсистеме, состоящей из нескольких классов. В данном случае подсистема одна (SQLAlchemy + модель Note), и цель – абстракция хранилища, а не упрощение сложной подсистемы. Это задача Репозитория, а не Фасада.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Декоратор (Decorator). Декоратор добавляет новое поведение существующему объекту, оборачивая его. Цель здесь – не расширить объект Session, а полностью скрыть его за стабильным интерфейсом. Декоратор не решает задачу изоляции хранилища.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класс AbstractNoteRepository с методами get_all, get_by_id, create, update, delete, конкретный класс NoteRepository, принимающий в конструктор объект Session. Файл: patterns/note_repository.py.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Репозиторий представлена на рисунке 6.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0200" cy="2686200"/>
                <wp:effectExtent l="0" t="0" r="0" b="0"/>
                <wp:docPr id="6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990200" cy="2686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2.93pt;height:211.5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6 – Диаграмма классов: паттерн Репозиторий (Repository)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8.3 Порождающий паттерн: Фабричный метод (Factory Method)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Фабричный метод применён для создания объектов-экспортёров заметок. Система NewNote поддерживает экспор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заметки в разные форматы (plain text, JSON) через endpoint GET /notes/{id}/export?fmt=txt|json. С появлением новых форматов (например, Markdown) необходимо добавлять новые экспортёры без изменения существующего кода роутера, соблюдая принцип Open/Closed.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Фабричный метод выносит ло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гику создания конкретного экспортёра из роутера в специализированные фабрики. Добавление нового формата требует только создания нового класса-экспортёра и новой фабрики, и регистрации её в реестре _FACTORIES, без изменения роутера или существующих классов.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Абстрактная фабрика (Abstract Factory). Абстрактная фабрика нужна 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создания семейств взаимосвязанных объектов (например, кнопка + форма + диалог одной темы UI). Здесь порождается только один тип объекта — экспортёр — без семейства связанных продуктов. Абстрактная фабрика создаёт излишнюю иерархию без практической пользы.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Строитель (Builder). Строитель предназначен для пошагового конструирования сложных объектов с множеством параметров. Экспортёры просты (не требуют пошаговой сборки), поэтому Строитель был бы избыточным усложнением.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продукт NoteExporter (методы export и content_type), конкретные продукты PlainTextExporter и JsonExporter,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абстрактный создатель NoteExporterFactory (фабричный метод create_exporter), конкретные создатели PlainTextExporterFactory и JsonExporterFactory, реестр фабрик _FACTORIES и вспомогательная функция get_exporter_factory(fmt). Файл: patterns/note_exporter.py.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Фабричный метод представлена на рисунке 7.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4600" cy="2752200"/>
                <wp:effectExtent l="0" t="0" r="0" b="0"/>
                <wp:docPr id="7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244600" cy="2752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12.96pt;height:216.7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7 – Диаграмма классов: паттерн Фабричный метод (Factory Method)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реализация принципов SOLID и принципов организации компонентов в коде системы NewNote, а также построение диаграмм кода и компонентов нотации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реализовать не менее трёх принципов SOLID;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реализовать не менее четырёх принципов организации компонентов (не менее двух из каждой группы);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диаграмму компонентов C4 (Level 3);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диаграмму кода C4 (Level 4).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 Реализация принципов SOLID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SOLID — пять принципов объектно-ориентированного проектирования, сформулированных Робертом Мартином. Их соблюдение делает код более гибким, тес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тируемым и сопровождаемым. В ходе рефакторинга кода NewNote реализованы пять принципов SOLID. Структура проекта была реорганизована: вместо плоской папки с файлами введены пакеты auth/, notes/ и interfaces/, что позволило явно разграничить ответственности.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9.1 Принцип единственной ответственности (SRP)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единственной ответственности (Single Responsibility Principle): каждый класс (модуль) должен иметь только одну причину для изменения.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файл auth_utils.py нарушал SRP, объединяя три несвязанные обязанности в одном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хэширование паролей, создание JWT-токенов и генерацию OTP-кодов. Каждая из этих функций имела свою причину для изменения: смена алгоритма хэширования не должна затрагивать логику токенов, а изменение длины OTP-кода не должно затрагивать ни то, ни другое.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auth_utils.py разбит на три специализированных класса: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auth/password_service.py — класс PasswordService: методы hash() и verify(). Единственная причина для изменения — смена алгоритма хэширования (bcrypt → Argon2 и т.п.);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auth/token_service.py — класс TokenService: методы create() и decode(). Единственная причина для изменения — смена алгоритма или формата JWT-токена;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auth/otp_service.py — класс OtpService: метод generate(). Единственная причина для изменения — смена формата или длины кода.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Аналогично, модели User и Note разнесены по пакетам (auth/models.py и notes/models.py), а каждый роутер (auth/router.py, notes/router.py) отвечает исключительно за маршрутизацию HTTP-запросов, делегируя всю логику сервисам и репозиторию.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9.2 Принцип открытости/закрытости (OCP)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открытости/закрытости (Open/Closed Principle): программные сущности должны быть открыты для расширения, но закрыты для модификации.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иерархия AuthStrategy в модуле auth/strategies.py. Абстрактный класс AuthStrategy определяет контракт — метод authenticate(db, **kwargs). Конкретные стратегии EmailAuthStrategy и SmsAuthStrategy реализуют этот контракт для двух каналов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аутентификации. При добавлении нового способа входа (например, OAuth2) необходимо лишь создать новый подкласс AuthStrategy — существующий код роутера и класса AuthContext остаётся неизменным, что и означает «закрыт для модификации, открыт для расширения».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 реализованы NoteExporter и NoteExporterFactory из предыдущей работы (patterns/): добавление нового формата экспорта (например, Markdown) требует только нового класса, не изменяя существующих.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9.3 Принцип подстановки Лисков (LSP)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подстановки Лисков (Liskov Substitution Principle): объекты подклассов должны быть полностью взаимозаменяемы с объектами базового класса без нарушения корректности программы.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классы EmailAuthStrategy и SmsAuthStrategy полностью реализуют контракт AuthStrategy. Класс AuthContext работает с переменной типа AuthStrategy и вызывает authenticate() — не зная и не завися от того, какая конкрет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ная стратегия передана. Подстановка одной стратегии другой не меняет поведения AuthContext. Аналогично, NoteRepository реализует интерфейсы INoteReader и INoteWriter и может быть заменён тестовой заглушкой InMemoryNoteRepository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9.4 Принцип разделения интерфейсов (ISP)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разделения интерфейсов (Interface Segregation Principle): клиенты не должны зависеть от методов, которые они не используют.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AbstractNoteRepository объединял все методы — get_all, get_by_id, create, update, delete — в одном интерфейсе. Клиент, которому нужно только читать заметки (например, функция экспорта), всё равно зависел от методов записи.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интерфейс разделён на два в пакете interfaces/: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INoteReader (interfaces/i_note_reader.py) — только get_all() и get_by_id(). Клиенты, которым нужно только чтение, зависят исключительно от этого интерфейса;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INoteWriter (interfaces/i_note_writer.py) — только create(), update(), delete(). Клиенты-писатели зависят только от него.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роутере notes/router.py функции аннотированы типами INoteReader и INoteWriter соответственно: функция list_notes получает INoteReader, функция create_note — INoteWriter. Это явно выражает намерения и исключает нежелательные зависимости.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9.5 Принцип инверсии зависимостей (DIP)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инверсии зависимостей (Dependency Inversion Principle): высокоуровневые модули не должны зависеть от низкоуровневых — оба должны зависеть от абстракций.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высокоуровневый модуль notes/router.py зависит от абстракций INoteReader и INoteWriter (пакет interfaces/), а не от конкретного класса NoteRepository. Конкретная реализация создаётся в вспомогательных функциях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_get_reader() и _get_writer() и «внедряется» через параметры FastAPI-зависимостей. При необходимости конкретный NoteRepository можно заменить тестовой заглушкой или реализацией поверх другого хранилища (Redis, файловая система)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 Реализация принципов организации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организаци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компонентов делятся на две группы: принципы связности компонентов (определяют, что входит в компонент) и принципы сочетаемости компонентов (определяют, как компоненты зависят друг от друга). В проекте NewNote реализованы по два принципа из каждой группы.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10.1 Принципы связности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замыкания (CCP — Common Closure Principle): в компонент должны входить классы, которые изменяются по одним и тем же причинам и в одно и то же время. Тогда при изменении требований затрагивается минимальное количество компонентов.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CCP в NewNote: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auth/ объединяет все классы, изменя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ющиеся при изменении способа аутентификации: router.py, strategies.py, password_service.py, token_service.py, otp_service.py, models.py, schemas.py. Если заказчик попросит добавить OAuth2 или изменить срок действия токена, затронут будет только этот пакет;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notes/ объединяет всё, что изменяется при изменении функциональности заметок: router.py, repository.py, models.py, schemas.py. Изменение полей заметки или добавление нового эндпоинта затрагивает только notes/.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повторного использования (CRP 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Common Reuse Principle): классы в компоненте используются вместе. Клиент, использующий один класс из компонента, неявно зависит от всех классов компонента. Поэтому в компоненте должны находиться только те классы, которые действительно используются вместе.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CRP в NewNote: пакет interfaces/ содержит исключительно INoteReader и INoteWriter — два интерфейса, которые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клиент (notes/router.py и notes/repository.py) использует вместе как единое целое. Не включены в interfaces/ никакие конкретные реализации, модели, схемы или утилиты. Клиент, зависящий от interfaces/, не притягивает нежелательных транзитивных зависимостей.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10.2 Принципы сочетаемости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ацикли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ческих зависимостей (ADP — Acyclic Dependencies Principle): в графе зависимостей между компонентами не должно быть циклов. Цикл приводит к тому, что компоненты становятся неразрывно связаны и не могут быть собраны, протестированы или задеплоены независимо.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ADP в NewNote: граф зависимостей между пакетами образует направленный ациклический граф (DAG):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interfaces/ (repository.py реализует INoteReader, INoteWriter);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interfaces/ (опционально, для расширения);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database/ (получение Session);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database/ (получение Session).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Циклов нет: interfaces/ ни от кого не зависит; notes/ зависит от interfaces/, но не наоборот; auth/ зависит от database/, но не от notes/. Каждый пакет можно скомпилировать, протестировать и задеплоить независимо, что соответствует требованию ADP.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стабильных зависимостей (SDP — Stable Depend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encies Principle): компоненты должны зависеть только от более стабильных компонентов. Стабильность определяется как отношение входящих зависимостей к суммарным: I = Fan-out / (Fan-in + Fan-out), где I=0 — максимально стабилен, I=1 — максимально нестабилен.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SDP в NewNote: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interfaces/ — наиболее стабильный компонент (I≈0): на него ссылаются notes/ и auth/, но сам он ни от кого не зависит. Именно от этого компонента зависят все volatile-компоненты;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notes/router.py — наиболее нестабильный модуль (I≈1): зависит от interfaces/, database/, auth/, schemas. Зависит только в направлении более стабильных компонентов, что соответствует SDP;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— стабильный компонент (I≈0): ни от кого не зависит внутри проекта, зависит только от внешней библиотеки SQLAlchemy.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11 Диаграммы кода и компонентов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8 представлена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компонентов нотации C4 (Level 3). Диаграмма отображает компоненты внутри контейнера NewNote Backend, их ответственности и зависимости. Каждый компонент соответствует пакету Python. В скобках рядом с каждым модулем указаны реализованные принципы.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531600"/>
                <wp:effectExtent l="0" t="0" r="0" b="0"/>
                <wp:docPr id="8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15000" cy="353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0.00pt;height:278.0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8 – Диаграмма компонентов C4 (Level 3)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выделены четыре компонента. Пакет auth/ (CCP) содержит все классы аутентификации, изменяющиеся вместе. Пакет interfaces/ (SAP, SDP, CRP) содержит только стабильные абстракции INoteReader и INoteWriter. Пакет notes/ (CCP)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 всё, связанное с заметками. Компонент database.py является стабильной инфраструктурной зависимостью. Стрелки показывают направление зависимостей, соответствующее принципам ADP и SDP: зависимости направлены от нестабильных компонентов к стабильным.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9 представлена диаграмма кода C4 (Level 4) для компонента auth/. Диаграмма показывает ключевые классы внутри компонента, их иерархию и взаимосвязи.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2000" cy="3327600"/>
                <wp:effectExtent l="0" t="0" r="0" b="0"/>
                <wp:docPr id="9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62000" cy="332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7.95pt;height:262.0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9 – Диаграмма кода C4 (Level 4) – компонент auth/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видно, что абстрактный класс AuthStrategy является единственной точкой расширения (OCP): добавление нового способа аутентификации означает создание нового подкласса. EmailAuthStrategy и SmsAuthStrategy полностью заменяемы в AuthCon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text (LSP). Три сервисных класса — PasswordService, TokenService, OtpService — изолированы по ответственностям (SRP) и не знают друг о друге. Класс auth.router зависит от этих сервисов и от AuthContext, но не от стратегий напрямую, что снижает связанность.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повышение безопасности системы NewNote не менее чем тремя способами, обоснование выбранных подходов, анализ компромиссов с нефункциональными требованиями и обновление диаграмм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реализовать три аспекта безопасности;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выбор каждого из них;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проанализировать компромиссы с нефункциональными требованиями;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обновить диаграммы контейнеров и компонентов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 Реализация аспектов безопасности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Заказчик системы NewNote озаботился безопасностью решения. Реализованы три ас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пекта безопасности: ограничение частоты запросов (Rate Limiting), заголовки безопасности HTTP (Security Headers Middleware) и ролевая модель авторизации (RBAC). Все изменения выполнены в новом пакете security/ и интегрированы без нарушения принципов SOLID.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12.1 Аспект безопасности №1: Rate Limiting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Атака перебором пароля (brute-force) на /auth/login позволяет злоумышленнику методично подбирать пароль. Атака SMS-флудинга на /auth/sms/send приводит к финансовым потерям и отказу в обслуживании легитимных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security/rate_limiter.py реализует функцию check_rate_limit(request, endpoint). Алгоритм: для каждой пары (IP-адрес, эндпоинт) хранится список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ременных меток запросов за скользящее окно 60 секунд. При достижении порога 5 запросов возвращается HTTP 429 Too Many Requests с заголовком Retry-After. Функция вызывается в начале обработчиков /auth/login, /auth/register, /auth/sms/send, /auth/sms/verify.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Rate Limiting — ста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ндартная мера первого уровня защиты согласно OWASP (A07:2021 Identification and Authentication Failures). Реализация без внешних зависимостей не требует дополнительной инфраструктуры для MVP и соответствует SRP: проверка лимита вынесена в отдельный модуль.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12.2 Аспект безопасности №2: Security Headers Middleware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Без специальных HTTP-заголовков возможны: XSS — кража JWT-токена из памяти страницы; кликджекинг — нежелательные действия через iframe; MIME-sniffing — интерпретация данных как исполняемого кода; downgrade-атака на HTTP при первом соединении.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Класс Secur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ityHeadersMiddleware (security/headers_middleware.py) наследует BaseHTTPMiddleware Starlette. Метод dispatch добавляет к каждому ответу: X-Content-Type-Options: nosniff, X-Frame-Options: DENY, X-XSS-Protection: 1; mode=block, Content-Security-Policy: defau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lt-src 'self', Strict-Transport-Security (в production: max-age=31536000), Referrer-Policy: strict-origin-when-cross-origin, Cache-Control: no-store. Middleware зарегистрирован в main.py через app.add_middleware() — единая точка, покрывающая все эндпоинты.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выбора. Security Headers — рекомендуемая практика OWASP (A05:2021 Security Misconfiguration). Реализация в виде Middleware соответствует DRY: заголовки не нужно добавлять в каждый обработчик. Добавление новых заголовков затрагивает только один файл (OCP).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12.3 Аспект безопасности №3: RBAC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исходной системе все пользователи обладали одинаковыми правами. Принцип наименьших привилегий нарушен: нет возможности выделить администраторов для модерации и управления данными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security/rbac.py определяет класс Role (константы USER, ADMIN), функцию require_role() и is_admin(). В auth/models.py добавлено поле role. В notes/router.py интегрированы проверки: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GET /notes/?owner_id=X — только администратор может запросить заметки другого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DELETE /notes/{id} — администратор может удалить любую заметку.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RBAC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— стандартная модель управления доступом согласно OWASP (A01:2021 Broken Access Control). Масштабируема: новые роли добавляются без изменения архитектуры. Проверка роли — атрибутный доступ к уже загруженному объекту User, без дополнительных запросов к БД.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12.4 Анализ компромиссов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Rate Limiting vs. производительность (НТ: время отклика ≤2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). In-memory хранилище добавляет операцию O(n) к каждому запросу аутентификации (n≤5). Overhead — микросекунды, требование не нарушено. Компромисс: при горизонтальном масштабировании счётчики не синхронизированы между инстансами. Решение при росте — Redis.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Rate Limiting vs. доступность (НТ: ≥99,5%). Легитимный пользователь, допустивший 5 ошибок подряд, блокируется на 60 секунд. Компромисс принят: ущерб от кратковременной блокировки одного IP меньше ущерба от компрометации учётной записи.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Security Headers vs. функциональность. Заголовок CSP (default-src 'self') ограничивает источники скриптов. При будущей интеграции внешних CDN потребуется расширение политики. HSTS в разработке отключён (max-age=0), чтобы не блокировать localhost.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RBAC vs. масштабируемость. Роль хранится в таблице users — работает при любом количестве инстансов (общая БД). Компромисс: при росте числа ролей &gt;4 строковое поле потребует рефакторинга в таблицу roles. Для MVP двух ролей достаточно.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12.5 Обновлённые диаграммы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10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представлена обновлённая диаграмма контейнеров C4 (Level 2). Добавлены три новых контейнера (выделены красным): Security Middleware, Rate Limiter, RBAC Module. Запрос пользователя проходит через них до попадания в Backend. База данных расширена полем role.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302400"/>
                <wp:effectExtent l="0" t="0" r="0" b="0"/>
                <wp:docPr id="10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15000" cy="330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0.00pt;height:260.03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10 – Обновлённая диаграмма контейнеров C4 (Level 2)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11 представлена обновлённая диаграмма компонентов C4 (Level 3). Новый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понент security/ содержит три модуля. Изменённые модули помечены символом ●: auth/router.py (вызов rate limit), auth/models.py (поле role), notes/router.py (RBAC-проверки). Граф зависимостей ациклический (ADP): security/ не зависит от notes/ и interfaces/.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42800" cy="3620400"/>
                <wp:effectExtent l="0" t="0" r="0" b="0"/>
                <wp:docPr id="11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842800" cy="362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0.06pt;height:285.0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11 – Обновлённая диаграмма компонентов C4 (Level 3)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реструктуризация архитектуры системы NewNote в связи с резким ростом аудитории. Необходимо выбрать 2–3 атрибута качества, перейти к новому архитектурному паттерну и описать архитектуру в нотации 4+1.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проанализировать новые бизнес-требования и выбрать приоритетные атрибуты качества;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и реализовать переход к новой архитектуре;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привести диаграммы C4 старой и новой архитектуры;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описать новую архитектуру в нотации 4+1.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13 Атрибуты качества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роста популярности NewNote бизнес-требования резко изменились: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число пользователей выросло с 1†00 до 100†00+ за первые шесть месяцев;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заказчик требует доступности 99,9% — текущие 99,5% (≈4 ч/мес простоя) неприемлемы;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пиковая нагрузка в 20–30 раз превышает среднюю: монолит не справляется;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команда выросла с 1 до 5 разработчиков: конфликты при слиянии кода в едином репозитории;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требуется независимая доставка функций: обновление логики заметок не должно затрагивать сервис аутентификации.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Выбраны три приоритетных атрибута качества.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Масштабируемость (Scalability). В монолите масштабирование применяется ко всему приложению, даже если нагружен толь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ко один компонент. Notes-service несёт 80% нагрузки (CRUD), тогда как Auth-service загружен равномерно. В новой архитектуре каждый сервис масштабируется независимо. Метрика: notes-service — 2–10 реплик, auth-service — 1–5 реплик, без перезапуска остальных.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 (Availability). В монолите сбой лю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бого модуля вызывает полную недоступность системы. В микросервисной архитектуре реализована изоляция сбоев: отказ notification-service не влияет на CRUD-операции с заметками. Метрика: доступность повышается с 99,5% до 99,9% (с ≈4 ч до ≈44 мин/мес простоя).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Сопровождаемость (Maintainability). Монолит привёл к тесной связанност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и: изменение в auth/models.py затрагивало notes/router.py. Растущая команда усиливает конфликты. Каждый микросервис имеет чётко определённую ответственность и независимо эволюционирует. Метрика: изменения в auth-service не требуют пересборки notes-service.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14 Новая архитектура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Выбранный паттерн: Микросервисная архитектура с API Gateway. Переход обусловлен тремя атрибутами качества: масштабируемостью, доступностью и сопровождаемостью.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Ключевые архитектурные решения: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 Gateway — единая точка входа. Маршрутизирует запросы, проверяет JWT-токен, применяет Rate Limiting и Security Headers;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auth-service — микросервис аутентификации: регистрация, вход по e-mail/SMS, JWT, bcrypt, RBAC. Собственная Auth DB (PostgreSQL);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notes-service — микросервис заметок: CRUD, поиск, экспорт. Идентификатор пользователя получает из заголовков Gateway. Собственная Notes DB (PostgreSQL);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notification-service — микросервис уведомлений: SMS и email. Изолирован; сбой не влияет на остальные сервисы;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каждый сервис — отдельный Docker-образ; оркестрация через docker-compose (MVP) или Kubernetes (production).</w:t>
      </w:r>
      <w:r/>
    </w:p>
    <w:p>
      <w:pPr>
        <w:pBdr/>
        <w:spacing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Причины выбора перед альтернативами: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вертикальное масштабирование монолита: ограничено физически и значительно дороже горизонтального;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SOA с ESB: шина становится узким местом; микросервисы взаимодействуют напрямую — меньше латентность;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модульный монолит: решает сопровождаемость, но не позволяет масштабировать компоненты независимо.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Диаграммы контекста C4 для старой (рисунок 12) и новой (рисунок 13) архитектуры: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2000" cy="2355000"/>
                <wp:effectExtent l="0" t="0" r="0" b="0"/>
                <wp:docPr id="12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572000" cy="235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60.00pt;height:185.4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12 – Старая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0000" cy="2540000"/>
                <wp:effectExtent l="0" t="0" r="0" b="0"/>
                <wp:docPr id="13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080000" cy="2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00.00pt;height:200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13 – Новая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контейнеров новой архитектуры C4 (Level 2) представлена на рисунке 14.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0000" cy="2820000"/>
                <wp:effectExtent l="0" t="0" r="0" b="0"/>
                <wp:docPr id="14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080000" cy="282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00.00pt;height:222.0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14 – Новая архитектура: диаграмма контейнеров C4 (Level 2)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 Описание архитектуры в нотации 4+1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Архитектурная нотация 4+1 описывает систему через пять взаимосвязанных представлений: Logical View (логическое), Process View (процессное), Physical View (физическое), Development View (представление разработки) и Scenarios (сценарии).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15.1 Logical View (Логическое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какова функциональная декомпозиция системы? Система разбита на четыре микросервиса, каждый инкапсулирует собственный поддомен.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api_gateway — маршрутизация и сквозные аспекты: проверка JWT, Rate Limiting (5 запросов / 60 с / IP), Security Headers (CSP, HSTS, X-Frame-Options). Не содержит бизнес-логики.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auth_service — домен идентификации: регистрация, вход по e-mail/паролю, SMS OTP, JWT-токен с полем role (USER/ADMIN). Внутри применены SRP-классы: PasswordService (bcrypt), TokenService (JWT), OtpService (генератор кода).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notes_service — домен заметок: CRUD, поиск по заголовку, экспорт (txt/json). Реализует RBAC через заголовки X-User-Id и X-User-Role от Gateway. Содержит INoteReader и INoteWriter (ISP), NoteRepository (DIP).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notification_service — доставка уведомлений: SMS и email. В MVP — HTTP-эндпоинт POST /notify; в production — потребитель очереди RabbitMQ. Изолирован: его сбой не влияет на остальные сервисы.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15.2 Process View (Процессное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ведёт себя во время выполнения?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ельности аутентификации (рисунок 15). Клиент отправляет POST /auth/login. API Gateway применяет Rate Limit, проксирует в auth-service. Auth-service запрашивает пользователя из Auth DB, проверяет bcrypt, генерирует JWT с полями sub и role, возвращает токен.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2000" cy="2413200"/>
                <wp:effectExtent l="0" t="0" r="0" b="0"/>
                <wp:docPr id="15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572000" cy="241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60.00pt;height:190.02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15 – Диаграмма последовательности: аутентификация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последовательности создания заме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тки (рисунок 16). Клиент отправляет POST /notes/ с токеном. Gateway проверяет токен, добавляет X-User-Id и X-User-Role, проксирует в notes-service. Notes-service сохраняет заметку в Notes DB, асинхронно уведомляет notification-service, возвращает HTTP 201.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540000"/>
                <wp:effectExtent l="0" t="0" r="0" b="0"/>
                <wp:docPr id="16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207760" cy="2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10.06pt;height:200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16 – Диаграмма последовательности: создание заметки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15.3 Physical View (Физическое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развёртывается? Каждый микросервис — Docker-контейнер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Конфигурация описана в docker-compose.yml. В production notes-service масштабируется горизонтально (2–10 реплик) за балансировщиком нагрузки. Stateless-природа сервисов позволяет добавлять реплики без изменения кода. Диаграмма развёртывания — рисунок 17.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667600"/>
                <wp:effectExtent l="0" t="0" r="0" b="0"/>
                <wp:docPr id="17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207760" cy="266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0.06pt;height:210.0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17 – Диаграмма развёртывания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15.4 Development View (Представление разработки)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организован исходный код? Каждый микросервис — отдельный Python-пакет (принцип Package by Feature / CCP). Каждый сервис имеет собственный Dockerfile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requirements.txt. Разработчики работают в изолированных ветках: изменения в auth_service/ не вызывают конфликтов в notes_service/. Принципы SOLID и паттерны проектирования, реализованные ранее, сохранены внутри каждого сервиса. Структура кода — рисунок 18.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600" cy="2413200"/>
                <wp:effectExtent l="0" t="0" r="0" b="0"/>
                <wp:docPr id="18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4953600" cy="241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90.05pt;height:190.02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18 – Структура кода (Development View)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15.5 Scenarios (Сценарии использования)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Связывает все представления через ключевые сценарии.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UC-01: Регистрация пользователя. Предусловие: не зарегистрирован. Поток: клиент POST /auth/register → API Gateway (Rate Limit) → auth-service (check email unique, bcrypt hash, save to Auth DB) → JWT-токен. Альтернативный поток: email занят → HTTP 400.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UC-02: Аутентификация по e-mail. Предусловие: зарегистрирован. Поток: POST /auth/login → Rate Limit → auth-service (SELECT user, bcrypt.verify, jwt.encode) → токен. Альтернативный: неверный пароль → 401; превышен лимит → 429.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3: Создание заметки. Предусловие: аутентифицирован. Поток: POST /notes/ + Bearer token → Gateway (jwt.decode, add X-User-Id/Role) → notes-service (validate, INSERT Notes DB, notify) → 201 Created. Альтернативный: пустой title → 422; невалидный токен → 401.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UC-04: Просмотр заметок администратором. Предусловие: role=admin. Поток: GET /notes/?owner_id=X → Gateway (role=admin) → notes-service (фильтр по owner_id разрешён) → список заметок. Альтернативный: role=user → 403 Forbidden.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выполнения восьми лабораторных раб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 была полностью спроектирована и реализована система NewNote. В рамках работы 8 выполнен переход от монолита к микросервисной архитектуре. Причины перехода: рост аудитории с 1†00 до 100†00+ пользователей, невозможность горизонтального масштабирования мон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олита, единая точка отказа (доступность только 99,5%) и конфликты в растущей команде. Приоритетные атрибуты качества: масштабируемость (независимые реплики сервисов), доступность (с 99,5% до 99,9% за счёт изоляции сбоев), сопровождаемость (независимые паке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ты и CI/CD). Реализованы четыре сервиса: api_gateway, auth_service, notes_service, notification_service. Архитектура описана в нотации 4+1 с семью диаграммами: контекст (old/new), контейнеры, две диаграммы последовательности, развёртывание, структура кода.</w:t>
      </w:r>
      <w:r/>
    </w:p>
    <w:sectPr>
      <w:footerReference w:type="default" r:id="rId9"/>
      <w:footnotePr/>
      <w:endnotePr/>
      <w:type w:val="continuous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pStyle w:val="937"/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 w:default="1">
    <w:name w:val="Normal"/>
    <w:qFormat/>
    <w:pPr>
      <w:pBdr/>
      <w:spacing/>
      <w:ind/>
    </w:pPr>
  </w:style>
  <w:style w:type="paragraph" w:styleId="883">
    <w:name w:val="Heading 7"/>
    <w:basedOn w:val="882"/>
    <w:next w:val="882"/>
    <w:link w:val="8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882"/>
    <w:next w:val="882"/>
    <w:link w:val="8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882"/>
    <w:next w:val="882"/>
    <w:link w:val="8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character" w:styleId="888">
    <w:name w:val="Heading 1 Char"/>
    <w:basedOn w:val="886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9">
    <w:name w:val="Heading 2 Char"/>
    <w:basedOn w:val="886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0">
    <w:name w:val="Heading 3 Char"/>
    <w:basedOn w:val="886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1">
    <w:name w:val="Heading 4 Char"/>
    <w:basedOn w:val="886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2">
    <w:name w:val="Heading 5 Char"/>
    <w:basedOn w:val="886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3">
    <w:name w:val="Heading 6 Char"/>
    <w:basedOn w:val="886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4">
    <w:name w:val="Heading 7 Char"/>
    <w:basedOn w:val="886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5">
    <w:name w:val="Heading 8 Char"/>
    <w:basedOn w:val="886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9 Char"/>
    <w:basedOn w:val="88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7">
    <w:name w:val="Title Char"/>
    <w:basedOn w:val="886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8">
    <w:name w:val="Subtitle"/>
    <w:basedOn w:val="882"/>
    <w:next w:val="882"/>
    <w:link w:val="8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>
    <w:name w:val="Subtitle Char"/>
    <w:basedOn w:val="886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0">
    <w:name w:val="Quote"/>
    <w:basedOn w:val="882"/>
    <w:next w:val="882"/>
    <w:link w:val="9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1">
    <w:name w:val="Quote Char"/>
    <w:basedOn w:val="886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3">
    <w:name w:val="Intense Quote"/>
    <w:basedOn w:val="882"/>
    <w:next w:val="882"/>
    <w:link w:val="9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4">
    <w:name w:val="Intense Quote Char"/>
    <w:basedOn w:val="886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5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6">
    <w:name w:val="No Spacing"/>
    <w:basedOn w:val="882"/>
    <w:uiPriority w:val="1"/>
    <w:qFormat/>
    <w:pPr>
      <w:pBdr/>
      <w:spacing w:after="0" w:line="240" w:lineRule="auto"/>
      <w:ind/>
    </w:pPr>
  </w:style>
  <w:style w:type="character" w:styleId="907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8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909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882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6"/>
    <w:link w:val="911"/>
    <w:uiPriority w:val="99"/>
    <w:pPr>
      <w:pBdr/>
      <w:spacing/>
      <w:ind/>
    </w:pPr>
  </w:style>
  <w:style w:type="paragraph" w:styleId="913">
    <w:name w:val="Footer"/>
    <w:basedOn w:val="882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6"/>
    <w:link w:val="913"/>
    <w:uiPriority w:val="99"/>
    <w:pPr>
      <w:pBdr/>
      <w:spacing/>
      <w:ind/>
    </w:pPr>
  </w:style>
  <w:style w:type="paragraph" w:styleId="915">
    <w:name w:val="Caption"/>
    <w:basedOn w:val="882"/>
    <w:next w:val="8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16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7">
    <w:name w:val="toc 1"/>
    <w:basedOn w:val="882"/>
    <w:next w:val="882"/>
    <w:uiPriority w:val="39"/>
    <w:unhideWhenUsed/>
    <w:pPr>
      <w:pBdr/>
      <w:spacing w:after="100"/>
      <w:ind/>
    </w:pPr>
  </w:style>
  <w:style w:type="paragraph" w:styleId="918">
    <w:name w:val="toc 2"/>
    <w:basedOn w:val="882"/>
    <w:next w:val="882"/>
    <w:uiPriority w:val="39"/>
    <w:unhideWhenUsed/>
    <w:pPr>
      <w:pBdr/>
      <w:spacing w:after="100"/>
      <w:ind w:left="220"/>
    </w:pPr>
  </w:style>
  <w:style w:type="paragraph" w:styleId="919">
    <w:name w:val="toc 3"/>
    <w:basedOn w:val="882"/>
    <w:next w:val="882"/>
    <w:uiPriority w:val="39"/>
    <w:unhideWhenUsed/>
    <w:pPr>
      <w:pBdr/>
      <w:spacing w:after="100"/>
      <w:ind w:left="440"/>
    </w:pPr>
  </w:style>
  <w:style w:type="paragraph" w:styleId="920">
    <w:name w:val="toc 4"/>
    <w:basedOn w:val="882"/>
    <w:next w:val="882"/>
    <w:uiPriority w:val="39"/>
    <w:unhideWhenUsed/>
    <w:pPr>
      <w:pBdr/>
      <w:spacing w:after="100"/>
      <w:ind w:left="660"/>
    </w:pPr>
  </w:style>
  <w:style w:type="paragraph" w:styleId="921">
    <w:name w:val="toc 5"/>
    <w:basedOn w:val="882"/>
    <w:next w:val="882"/>
    <w:uiPriority w:val="39"/>
    <w:unhideWhenUsed/>
    <w:pPr>
      <w:pBdr/>
      <w:spacing w:after="100"/>
      <w:ind w:left="880"/>
    </w:pPr>
  </w:style>
  <w:style w:type="paragraph" w:styleId="922">
    <w:name w:val="toc 6"/>
    <w:basedOn w:val="882"/>
    <w:next w:val="882"/>
    <w:uiPriority w:val="39"/>
    <w:unhideWhenUsed/>
    <w:pPr>
      <w:pBdr/>
      <w:spacing w:after="100"/>
      <w:ind w:left="1100"/>
    </w:pPr>
  </w:style>
  <w:style w:type="paragraph" w:styleId="923">
    <w:name w:val="toc 7"/>
    <w:basedOn w:val="882"/>
    <w:next w:val="882"/>
    <w:uiPriority w:val="39"/>
    <w:unhideWhenUsed/>
    <w:pPr>
      <w:pBdr/>
      <w:spacing w:after="100"/>
      <w:ind w:left="1320"/>
    </w:pPr>
  </w:style>
  <w:style w:type="paragraph" w:styleId="924">
    <w:name w:val="toc 8"/>
    <w:basedOn w:val="882"/>
    <w:next w:val="882"/>
    <w:uiPriority w:val="39"/>
    <w:unhideWhenUsed/>
    <w:pPr>
      <w:pBdr/>
      <w:spacing w:after="100"/>
      <w:ind w:left="1540"/>
    </w:pPr>
  </w:style>
  <w:style w:type="paragraph" w:styleId="925">
    <w:name w:val="toc 9"/>
    <w:basedOn w:val="882"/>
    <w:next w:val="882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882"/>
    <w:next w:val="882"/>
    <w:uiPriority w:val="99"/>
    <w:unhideWhenUsed/>
    <w:pPr>
      <w:pBdr/>
      <w:spacing w:after="0" w:afterAutospacing="0"/>
      <w:ind/>
    </w:pPr>
  </w:style>
  <w:style w:type="paragraph" w:styleId="929">
    <w:name w:val="Title"/>
    <w:qFormat/>
    <w:pPr>
      <w:pBdr/>
      <w:spacing/>
      <w:ind/>
    </w:pPr>
    <w:rPr>
      <w:sz w:val="56"/>
      <w:szCs w:val="56"/>
    </w:rPr>
  </w:style>
  <w:style w:type="paragraph" w:styleId="930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931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93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33">
    <w:name w:val="Heading 4"/>
    <w:qFormat/>
    <w:pPr>
      <w:pBdr/>
      <w:spacing/>
      <w:ind/>
    </w:pPr>
    <w:rPr>
      <w:i/>
      <w:iCs/>
      <w:color w:val="2e74b5"/>
    </w:rPr>
  </w:style>
  <w:style w:type="paragraph" w:styleId="934">
    <w:name w:val="Heading 5"/>
    <w:qFormat/>
    <w:pPr>
      <w:pBdr/>
      <w:spacing/>
      <w:ind/>
    </w:pPr>
    <w:rPr>
      <w:color w:val="2e74b5"/>
    </w:rPr>
  </w:style>
  <w:style w:type="paragraph" w:styleId="935">
    <w:name w:val="Heading 6"/>
    <w:qFormat/>
    <w:pPr>
      <w:pBdr/>
      <w:spacing/>
      <w:ind/>
    </w:pPr>
    <w:rPr>
      <w:color w:val="1f4d78"/>
    </w:rPr>
  </w:style>
  <w:style w:type="paragraph" w:styleId="936">
    <w:name w:val="Strong"/>
    <w:qFormat/>
    <w:pPr>
      <w:pBdr/>
      <w:spacing/>
      <w:ind/>
    </w:pPr>
    <w:rPr>
      <w:b/>
      <w:bCs/>
    </w:rPr>
  </w:style>
  <w:style w:type="paragraph" w:styleId="937">
    <w:name w:val="List Paragraph"/>
    <w:qFormat/>
    <w:pPr>
      <w:numPr>
        <w:ilvl w:val="0"/>
        <w:numId w:val="2"/>
      </w:numPr>
      <w:suppressLineNumbers w:val="false"/>
      <w:pBdr/>
      <w:spacing w:after="0" w:before="0" w:line="360" w:lineRule="auto"/>
      <w:ind w:right="0" w:firstLine="720" w:left="0"/>
      <w:jc w:val="both"/>
    </w:pPr>
  </w:style>
  <w:style w:type="character" w:styleId="93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footnote text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Footnote Text Char"/>
    <w:link w:val="94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3">
    <w:name w:val="endnote text"/>
    <w:link w:val="9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4">
    <w:name w:val="Endnote Text Char"/>
    <w:link w:val="94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5</cp:revision>
  <dcterms:created xsi:type="dcterms:W3CDTF">2026-04-23T13:45:30Z</dcterms:created>
  <dcterms:modified xsi:type="dcterms:W3CDTF">2026-05-02T06:00:38Z</dcterms:modified>
</cp:coreProperties>
</file>