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EF5B6" w14:textId="77777777" w:rsidR="0056725B" w:rsidRP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725B">
        <w:rPr>
          <w:rFonts w:ascii="Arial" w:hAnsi="Arial" w:cs="Arial"/>
          <w:b/>
          <w:bCs/>
          <w:color w:val="333333"/>
          <w:sz w:val="28"/>
          <w:szCs w:val="28"/>
        </w:rPr>
        <w:t>1. Суть метода ранжирования</w:t>
      </w:r>
    </w:p>
    <w:p w14:paraId="3597C27C" w14:textId="371050D0" w:rsid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07F8FD6E" wp14:editId="19A0E295">
            <wp:extent cx="5940425" cy="1466850"/>
            <wp:effectExtent l="0" t="0" r="3175" b="0"/>
            <wp:docPr id="165505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589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186A" w14:textId="77777777" w:rsidR="0056725B" w:rsidRP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725B">
        <w:rPr>
          <w:rFonts w:ascii="Arial" w:hAnsi="Arial" w:cs="Arial"/>
          <w:b/>
          <w:bCs/>
          <w:color w:val="333333"/>
          <w:sz w:val="28"/>
          <w:szCs w:val="28"/>
        </w:rPr>
        <w:t>2. Что такое связные ранги и способы их назначения</w:t>
      </w:r>
    </w:p>
    <w:p w14:paraId="3068EE15" w14:textId="259E11A6" w:rsid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56725B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3C17C5CD" wp14:editId="376187B4">
            <wp:extent cx="5940425" cy="1013460"/>
            <wp:effectExtent l="0" t="0" r="3175" b="0"/>
            <wp:docPr id="1487619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9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10D5" w14:textId="5BD8D149" w:rsidR="00467708" w:rsidRDefault="00467708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  <w:r w:rsidRPr="00467708">
        <w:rPr>
          <w:rFonts w:ascii="Arial" w:hAnsi="Arial" w:cs="Arial"/>
          <w:color w:val="333333"/>
          <w:sz w:val="22"/>
          <w:szCs w:val="22"/>
        </w:rPr>
        <w:drawing>
          <wp:inline distT="0" distB="0" distL="0" distR="0" wp14:anchorId="27E1C2D3" wp14:editId="3001BC44">
            <wp:extent cx="5940425" cy="2745105"/>
            <wp:effectExtent l="0" t="0" r="3175" b="0"/>
            <wp:docPr id="1297008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08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87DD" w14:textId="77777777" w:rsidR="00467708" w:rsidRDefault="00467708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68360C59" w14:textId="77777777" w:rsidR="00467708" w:rsidRDefault="00467708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09940584" w14:textId="77777777" w:rsidR="00467708" w:rsidRDefault="00467708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4E6B7CC6" w14:textId="77777777" w:rsidR="00467708" w:rsidRDefault="00467708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39A44BBD" w14:textId="77777777" w:rsidR="00467708" w:rsidRDefault="00467708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193CD0B1" w14:textId="77777777" w:rsidR="00467708" w:rsidRDefault="00467708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30F62B8D" w14:textId="77777777" w:rsidR="00467708" w:rsidRDefault="00467708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color w:val="333333"/>
          <w:sz w:val="22"/>
          <w:szCs w:val="22"/>
        </w:rPr>
      </w:pPr>
    </w:p>
    <w:p w14:paraId="5DA6776B" w14:textId="77777777" w:rsid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725B">
        <w:rPr>
          <w:rFonts w:ascii="Arial" w:hAnsi="Arial" w:cs="Arial"/>
          <w:b/>
          <w:bCs/>
          <w:color w:val="333333"/>
          <w:sz w:val="28"/>
          <w:szCs w:val="28"/>
        </w:rPr>
        <w:lastRenderedPageBreak/>
        <w:t>3. Как определяется обобщенная оценка при групповом ранжировании</w:t>
      </w:r>
    </w:p>
    <w:p w14:paraId="65A50CF1" w14:textId="028A6998" w:rsidR="00D03782" w:rsidRPr="0056725B" w:rsidRDefault="00D03782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D03782">
        <w:rPr>
          <w:rFonts w:ascii="Arial" w:hAnsi="Arial" w:cs="Arial"/>
          <w:b/>
          <w:bCs/>
          <w:color w:val="333333"/>
          <w:sz w:val="28"/>
          <w:szCs w:val="28"/>
        </w:rPr>
        <w:drawing>
          <wp:inline distT="0" distB="0" distL="0" distR="0" wp14:anchorId="3682FD4B" wp14:editId="2C83452D">
            <wp:extent cx="5940425" cy="2596515"/>
            <wp:effectExtent l="0" t="0" r="3175" b="0"/>
            <wp:docPr id="410698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98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26B3" w14:textId="77777777" w:rsid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725B">
        <w:rPr>
          <w:rFonts w:ascii="Arial" w:hAnsi="Arial" w:cs="Arial"/>
          <w:b/>
          <w:bCs/>
          <w:color w:val="333333"/>
          <w:sz w:val="28"/>
          <w:szCs w:val="28"/>
        </w:rPr>
        <w:t>4. Для чего служит коэффициент конкордации? Какой диапазон значения этого коэффициента и как их интерпретировать?</w:t>
      </w:r>
    </w:p>
    <w:p w14:paraId="2D7499C6" w14:textId="6364BD2A" w:rsidR="00D03782" w:rsidRDefault="00D03782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D03782">
        <w:rPr>
          <w:rFonts w:ascii="Arial" w:hAnsi="Arial" w:cs="Arial"/>
          <w:b/>
          <w:bCs/>
          <w:color w:val="333333"/>
          <w:sz w:val="28"/>
          <w:szCs w:val="28"/>
        </w:rPr>
        <w:drawing>
          <wp:inline distT="0" distB="0" distL="0" distR="0" wp14:anchorId="2AB9DD89" wp14:editId="40FEEE1F">
            <wp:extent cx="5940425" cy="2627630"/>
            <wp:effectExtent l="0" t="0" r="3175" b="1270"/>
            <wp:docPr id="1984791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91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8329" w14:textId="5593BBD3" w:rsidR="00467708" w:rsidRDefault="00467708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467708">
        <w:rPr>
          <w:rFonts w:ascii="Arial" w:hAnsi="Arial" w:cs="Arial"/>
          <w:b/>
          <w:bCs/>
          <w:color w:val="333333"/>
          <w:sz w:val="28"/>
          <w:szCs w:val="28"/>
        </w:rPr>
        <w:drawing>
          <wp:inline distT="0" distB="0" distL="0" distR="0" wp14:anchorId="1F996DF0" wp14:editId="5DFDD84C">
            <wp:extent cx="5940425" cy="1858645"/>
            <wp:effectExtent l="0" t="0" r="3175" b="8255"/>
            <wp:docPr id="2071826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26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9E9F" w14:textId="77777777" w:rsidR="0074634E" w:rsidRPr="0056725B" w:rsidRDefault="0074634E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</w:p>
    <w:p w14:paraId="76199144" w14:textId="77777777" w:rsid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725B">
        <w:rPr>
          <w:rFonts w:ascii="Arial" w:hAnsi="Arial" w:cs="Arial"/>
          <w:b/>
          <w:bCs/>
          <w:color w:val="333333"/>
          <w:sz w:val="28"/>
          <w:szCs w:val="28"/>
        </w:rPr>
        <w:lastRenderedPageBreak/>
        <w:t>5. Суть метода парного сравнения</w:t>
      </w:r>
    </w:p>
    <w:p w14:paraId="3274F5F2" w14:textId="1DA82F81" w:rsidR="0074634E" w:rsidRDefault="0074634E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74634E">
        <w:rPr>
          <w:rFonts w:ascii="Arial" w:hAnsi="Arial" w:cs="Arial"/>
          <w:b/>
          <w:bCs/>
          <w:color w:val="333333"/>
          <w:sz w:val="28"/>
          <w:szCs w:val="28"/>
        </w:rPr>
        <w:drawing>
          <wp:inline distT="0" distB="0" distL="0" distR="0" wp14:anchorId="583327A0" wp14:editId="2F779A3E">
            <wp:extent cx="5940425" cy="3386455"/>
            <wp:effectExtent l="0" t="0" r="3175" b="4445"/>
            <wp:docPr id="883961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618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6A2" w14:textId="4CE271D3" w:rsidR="0074634E" w:rsidRDefault="0074634E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74634E">
        <w:rPr>
          <w:rFonts w:ascii="Arial" w:hAnsi="Arial" w:cs="Arial"/>
          <w:b/>
          <w:bCs/>
          <w:color w:val="333333"/>
          <w:sz w:val="28"/>
          <w:szCs w:val="28"/>
        </w:rPr>
        <w:drawing>
          <wp:inline distT="0" distB="0" distL="0" distR="0" wp14:anchorId="263596F4" wp14:editId="21E5C149">
            <wp:extent cx="5940425" cy="2729230"/>
            <wp:effectExtent l="0" t="0" r="3175" b="0"/>
            <wp:docPr id="53692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9E9F" w14:textId="77777777" w:rsidR="0074634E" w:rsidRDefault="0074634E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</w:p>
    <w:p w14:paraId="40F0323C" w14:textId="77777777" w:rsidR="0074634E" w:rsidRDefault="0074634E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</w:p>
    <w:p w14:paraId="4FECD6F9" w14:textId="77777777" w:rsidR="0074634E" w:rsidRDefault="0074634E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</w:p>
    <w:p w14:paraId="32F5837D" w14:textId="77777777" w:rsidR="0074634E" w:rsidRDefault="0074634E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</w:p>
    <w:p w14:paraId="27FD1B5B" w14:textId="77777777" w:rsidR="0074634E" w:rsidRPr="0056725B" w:rsidRDefault="0074634E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</w:p>
    <w:p w14:paraId="4DE6E1A7" w14:textId="77777777" w:rsid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725B">
        <w:rPr>
          <w:rFonts w:ascii="Arial" w:hAnsi="Arial" w:cs="Arial"/>
          <w:b/>
          <w:bCs/>
          <w:color w:val="333333"/>
          <w:sz w:val="28"/>
          <w:szCs w:val="28"/>
        </w:rPr>
        <w:lastRenderedPageBreak/>
        <w:t>6. Какие варианты числовых представлений используют в матрицах парных сравнений? Какие условия согласованности матрицы?</w:t>
      </w:r>
    </w:p>
    <w:p w14:paraId="30857D13" w14:textId="590F97DF" w:rsidR="0074634E" w:rsidRPr="0056725B" w:rsidRDefault="0074634E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74634E">
        <w:rPr>
          <w:rFonts w:ascii="Arial" w:hAnsi="Arial" w:cs="Arial"/>
          <w:b/>
          <w:bCs/>
          <w:color w:val="333333"/>
          <w:sz w:val="28"/>
          <w:szCs w:val="28"/>
        </w:rPr>
        <w:drawing>
          <wp:inline distT="0" distB="0" distL="0" distR="0" wp14:anchorId="464224A5" wp14:editId="1799BD2A">
            <wp:extent cx="5940425" cy="1713230"/>
            <wp:effectExtent l="0" t="0" r="3175" b="1270"/>
            <wp:docPr id="24224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4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9890" w14:textId="77777777" w:rsid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725B">
        <w:rPr>
          <w:rFonts w:ascii="Arial" w:hAnsi="Arial" w:cs="Arial"/>
          <w:b/>
          <w:bCs/>
          <w:color w:val="333333"/>
          <w:sz w:val="28"/>
          <w:szCs w:val="28"/>
        </w:rPr>
        <w:t>7. Как определить ранги по матрице парных сравнений?</w:t>
      </w:r>
    </w:p>
    <w:p w14:paraId="230D8AF8" w14:textId="41ABF968" w:rsidR="00264DAC" w:rsidRPr="0056725B" w:rsidRDefault="00264DAC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264DAC">
        <w:rPr>
          <w:rFonts w:ascii="Arial" w:hAnsi="Arial" w:cs="Arial"/>
          <w:b/>
          <w:bCs/>
          <w:color w:val="333333"/>
          <w:sz w:val="28"/>
          <w:szCs w:val="28"/>
        </w:rPr>
        <w:drawing>
          <wp:inline distT="0" distB="0" distL="0" distR="0" wp14:anchorId="7D8BD3C2" wp14:editId="4ED1ED51">
            <wp:extent cx="5940425" cy="989965"/>
            <wp:effectExtent l="0" t="0" r="3175" b="635"/>
            <wp:docPr id="39712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2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9E70" w14:textId="77777777" w:rsidR="0056725B" w:rsidRP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725B">
        <w:rPr>
          <w:rFonts w:ascii="Arial" w:hAnsi="Arial" w:cs="Arial"/>
          <w:b/>
          <w:bCs/>
          <w:color w:val="333333"/>
          <w:sz w:val="28"/>
          <w:szCs w:val="28"/>
        </w:rPr>
        <w:t>8. Как построить обобщенную матрицу парных сравнений?</w:t>
      </w:r>
    </w:p>
    <w:p w14:paraId="1272E52A" w14:textId="77777777" w:rsid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725B">
        <w:rPr>
          <w:rFonts w:ascii="Arial" w:hAnsi="Arial" w:cs="Arial"/>
          <w:b/>
          <w:bCs/>
          <w:color w:val="333333"/>
          <w:sz w:val="28"/>
          <w:szCs w:val="28"/>
        </w:rPr>
        <w:t>9. Суть метода непосредственного оценивания</w:t>
      </w:r>
    </w:p>
    <w:p w14:paraId="76D1F56A" w14:textId="5E3A4ED9" w:rsidR="000208A8" w:rsidRDefault="000208A8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0208A8">
        <w:rPr>
          <w:rFonts w:ascii="Arial" w:hAnsi="Arial" w:cs="Arial"/>
          <w:b/>
          <w:bCs/>
          <w:color w:val="333333"/>
          <w:sz w:val="28"/>
          <w:szCs w:val="28"/>
        </w:rPr>
        <w:drawing>
          <wp:inline distT="0" distB="0" distL="0" distR="0" wp14:anchorId="7DEFC108" wp14:editId="222C1CD8">
            <wp:extent cx="5940425" cy="3053715"/>
            <wp:effectExtent l="0" t="0" r="3175" b="0"/>
            <wp:docPr id="96815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53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5A45" w14:textId="77777777" w:rsidR="00C80404" w:rsidRDefault="00C80404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</w:p>
    <w:p w14:paraId="1DA96357" w14:textId="77777777" w:rsidR="00C80404" w:rsidRPr="0056725B" w:rsidRDefault="00C80404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</w:p>
    <w:p w14:paraId="5CCE31C1" w14:textId="77777777" w:rsid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725B">
        <w:rPr>
          <w:rFonts w:ascii="Arial" w:hAnsi="Arial" w:cs="Arial"/>
          <w:b/>
          <w:bCs/>
          <w:color w:val="333333"/>
          <w:sz w:val="28"/>
          <w:szCs w:val="28"/>
        </w:rPr>
        <w:lastRenderedPageBreak/>
        <w:t>10. Как рассчитывается агрегированная (обобщенная) оценка в случае группового непосредственного оценивания?</w:t>
      </w:r>
    </w:p>
    <w:p w14:paraId="32846CE9" w14:textId="609EED70" w:rsidR="00C611CC" w:rsidRPr="0056725B" w:rsidRDefault="00C611CC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C611CC">
        <w:rPr>
          <w:rFonts w:ascii="Arial" w:hAnsi="Arial" w:cs="Arial"/>
          <w:b/>
          <w:bCs/>
          <w:color w:val="333333"/>
          <w:sz w:val="28"/>
          <w:szCs w:val="28"/>
        </w:rPr>
        <w:drawing>
          <wp:inline distT="0" distB="0" distL="0" distR="0" wp14:anchorId="4C07CEDC" wp14:editId="5990C643">
            <wp:extent cx="5940425" cy="1835785"/>
            <wp:effectExtent l="0" t="0" r="3175" b="0"/>
            <wp:docPr id="42795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55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AD79" w14:textId="77777777" w:rsid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725B">
        <w:rPr>
          <w:rFonts w:ascii="Arial" w:hAnsi="Arial" w:cs="Arial"/>
          <w:b/>
          <w:bCs/>
          <w:color w:val="333333"/>
          <w:sz w:val="28"/>
          <w:szCs w:val="28"/>
        </w:rPr>
        <w:t>11. Условие нормировки весов компетентности экспертов</w:t>
      </w:r>
    </w:p>
    <w:p w14:paraId="49AE9349" w14:textId="07A59E76" w:rsidR="00A73F73" w:rsidRPr="0056725B" w:rsidRDefault="00A73F73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A73F73">
        <w:rPr>
          <w:rFonts w:ascii="Arial" w:hAnsi="Arial" w:cs="Arial"/>
          <w:b/>
          <w:bCs/>
          <w:color w:val="333333"/>
          <w:sz w:val="28"/>
          <w:szCs w:val="28"/>
        </w:rPr>
        <w:drawing>
          <wp:inline distT="0" distB="0" distL="0" distR="0" wp14:anchorId="77BCD17B" wp14:editId="75B5E9B5">
            <wp:extent cx="5940425" cy="1155065"/>
            <wp:effectExtent l="0" t="0" r="3175" b="6985"/>
            <wp:docPr id="700376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76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FE88" w14:textId="77777777" w:rsid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725B">
        <w:rPr>
          <w:rFonts w:ascii="Arial" w:hAnsi="Arial" w:cs="Arial"/>
          <w:b/>
          <w:bCs/>
          <w:color w:val="333333"/>
          <w:sz w:val="28"/>
          <w:szCs w:val="28"/>
        </w:rPr>
        <w:t>12. Как оценивается согласованность экспертов при неподсредственном оценивании?</w:t>
      </w:r>
    </w:p>
    <w:p w14:paraId="7C1C1F4C" w14:textId="5DE9B19A" w:rsidR="00996E80" w:rsidRPr="0056725B" w:rsidRDefault="00566AF1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6AF1">
        <w:rPr>
          <w:rFonts w:ascii="Arial" w:hAnsi="Arial" w:cs="Arial"/>
          <w:b/>
          <w:bCs/>
          <w:color w:val="333333"/>
          <w:sz w:val="28"/>
          <w:szCs w:val="28"/>
        </w:rPr>
        <w:drawing>
          <wp:inline distT="0" distB="0" distL="0" distR="0" wp14:anchorId="160FF23E" wp14:editId="0E8D7221">
            <wp:extent cx="5940425" cy="1100455"/>
            <wp:effectExtent l="0" t="0" r="3175" b="4445"/>
            <wp:docPr id="1994747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471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7FBF" w14:textId="41926243" w:rsidR="0056725B" w:rsidRPr="0056725B" w:rsidRDefault="0056725B" w:rsidP="0056725B">
      <w:pPr>
        <w:pStyle w:val="a3"/>
        <w:shd w:val="clear" w:color="auto" w:fill="F8F9FA"/>
        <w:spacing w:before="0" w:beforeAutospacing="0"/>
        <w:rPr>
          <w:rFonts w:ascii="Arial" w:hAnsi="Arial" w:cs="Arial"/>
          <w:b/>
          <w:bCs/>
          <w:color w:val="333333"/>
          <w:sz w:val="28"/>
          <w:szCs w:val="28"/>
        </w:rPr>
      </w:pPr>
      <w:r w:rsidRPr="0056725B">
        <w:rPr>
          <w:rFonts w:ascii="Arial" w:hAnsi="Arial" w:cs="Arial"/>
          <w:b/>
          <w:bCs/>
          <w:color w:val="333333"/>
          <w:sz w:val="28"/>
          <w:szCs w:val="28"/>
        </w:rPr>
        <w:t>1</w:t>
      </w:r>
      <w:r w:rsidR="000134A8">
        <w:rPr>
          <w:rFonts w:ascii="Arial" w:hAnsi="Arial" w:cs="Arial"/>
          <w:b/>
          <w:bCs/>
          <w:color w:val="333333"/>
          <w:sz w:val="28"/>
          <w:szCs w:val="28"/>
        </w:rPr>
        <w:t>3</w:t>
      </w:r>
      <w:r w:rsidRPr="0056725B">
        <w:rPr>
          <w:rFonts w:ascii="Arial" w:hAnsi="Arial" w:cs="Arial"/>
          <w:b/>
          <w:bCs/>
          <w:color w:val="333333"/>
          <w:sz w:val="28"/>
          <w:szCs w:val="28"/>
        </w:rPr>
        <w:t>. Метод последовательного сравнения – этапы, выполняемые операции.</w:t>
      </w:r>
    </w:p>
    <w:p w14:paraId="00C27243" w14:textId="1F30327F" w:rsidR="00472221" w:rsidRDefault="00996E80">
      <w:r w:rsidRPr="00996E80">
        <w:drawing>
          <wp:inline distT="0" distB="0" distL="0" distR="0" wp14:anchorId="170E0383" wp14:editId="6FD338E7">
            <wp:extent cx="3893571" cy="2446020"/>
            <wp:effectExtent l="0" t="0" r="0" b="0"/>
            <wp:docPr id="1713163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63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424" cy="245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2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669"/>
    <w:rsid w:val="000134A8"/>
    <w:rsid w:val="000208A8"/>
    <w:rsid w:val="00264DAC"/>
    <w:rsid w:val="00467708"/>
    <w:rsid w:val="00472221"/>
    <w:rsid w:val="00566AF1"/>
    <w:rsid w:val="0056725B"/>
    <w:rsid w:val="0074634E"/>
    <w:rsid w:val="00996E80"/>
    <w:rsid w:val="00A50669"/>
    <w:rsid w:val="00A73F73"/>
    <w:rsid w:val="00C611CC"/>
    <w:rsid w:val="00C80404"/>
    <w:rsid w:val="00D03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AB5C7"/>
  <w15:chartTrackingRefBased/>
  <w15:docId w15:val="{7C3902B0-6D2F-467E-A7A9-DD167F586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67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137</Words>
  <Characters>781</Characters>
  <Application>Microsoft Office Word</Application>
  <DocSecurity>0</DocSecurity>
  <Lines>6</Lines>
  <Paragraphs>1</Paragraphs>
  <ScaleCrop>false</ScaleCrop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14</cp:revision>
  <dcterms:created xsi:type="dcterms:W3CDTF">2023-10-03T09:52:00Z</dcterms:created>
  <dcterms:modified xsi:type="dcterms:W3CDTF">2023-10-03T10:06:00Z</dcterms:modified>
</cp:coreProperties>
</file>