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The Credibility Flywheel: How Experts Earn Trust Through Publishing</w:t>
      </w:r>
    </w:p>
    <w:p>
      <w:r>
        <w:t/>
      </w:r>
    </w:p>
    <w:p>
      <w:r>
        <w:t>Great publishing isn’t about volume. It’s about consistency, clarity, and the kind of insights that help a reader make a better decision today.</w:t>
      </w:r>
    </w:p>
    <w:p>
      <w:r>
        <w:t>At TalentImpact Media, the most effective experts follow a simple flywheel: define a point of view, publish in short cycles, and connect every article to a specific audience question.</w:t>
      </w:r>
    </w:p>
    <w:p>
      <w:r>
        <w:t>Start with a single tension. For example: ‘Why do product teams ship fast but still miss outcomes?’ That tension becomes the spine of the piece. Then map three sections: context, decision, and action.</w:t>
      </w:r>
    </w:p>
    <w:p>
      <w:r>
        <w:t>Context answers: what changed, why now, and who this matters for. Decision answers: what tradeoff to make, and how to evaluate it. Action answers: the first step a reader can take within a week.</w:t>
      </w:r>
    </w:p>
    <w:p>
      <w:r>
        <w:t>Strong articles show receipts. Include one real metric, one user quote, and one concrete example of a mistake you made and fixed. That honesty creates credibility faster than polished storytelling.</w:t>
      </w:r>
    </w:p>
    <w:p>
      <w:r>
        <w:t>Finally, close with a tight recap: one sentence that a reader can repeat to a teammate. That sentence is your article’s shareability engine.</w:t>
      </w:r>
    </w:p>
    <w:p>
      <w:r>
        <w:t>Publishing creates a public trail of your thinking. Over time, that trail becomes a reputation asset. And reputation is the most durable growth lever an expert can build.</w:t>
      </w:r>
    </w:p>
    <w:sectPr/>
  </w:body>
</w:document>
</file>