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5C"/>
          <w:sz w:val="52"/>
        </w:rPr>
        <w:t>PROPUESTA COMERCIAL</w:t>
      </w:r>
    </w:p>
    <w:p>
      <w:pPr>
        <w:jc w:val="center"/>
      </w:pPr>
      <w:r>
        <w:rPr>
          <w:color w:val="123A5C"/>
          <w:sz w:val="30"/>
        </w:rPr>
        <w:t>Torre de Control para el Gerenciamiento Diario</w:t>
        <w:br/>
        <w:t>de Centrales Médicas, con Inteligencia Artificial</w:t>
      </w:r>
    </w:p>
    <w:p>
      <w:pPr>
        <w:jc w:val="center"/>
      </w:pPr>
      <w:r>
        <w:rPr>
          <w:sz w:val="26"/>
        </w:rPr>
        <w:t>Presentado a VERIS</w:t>
      </w:r>
    </w:p>
    <w:p>
      <w:pPr>
        <w:jc w:val="center"/>
      </w:pPr>
      <w:r>
        <w:rPr>
          <w:i/>
          <w:sz w:val="20"/>
        </w:rPr>
        <w:t>En respuesta al documento “Proyecto de Gerenciamiento Diario de Centrales Médicas”</w:t>
        <w:br/>
        <w:t>de la Gerencia Nacional de Operaciones (17 de junio de 2026)</w:t>
      </w:r>
    </w:p>
    <w:p/>
    <w:p>
      <w:pPr>
        <w:jc w:val="center"/>
      </w:pPr>
      <w:r>
        <w:rPr>
          <w:sz w:val="20"/>
        </w:rPr>
        <w:t>Preparado por: SEMPITECNO</w:t>
        <w:br/>
        <w:t>Iván García  ·  ivang@sempitecno.com  ·  +593 999 989 522</w:t>
        <w:br/>
        <w:t>Guayaquil, junio 2026  ·  Oferta N°: OFR20260622002.VERIS — Rev. 5</w:t>
      </w:r>
    </w:p>
    <w:p>
      <w:r>
        <w:br w:type="page"/>
      </w:r>
    </w:p>
    <w:p>
      <w:pPr>
        <w:pStyle w:val="Heading1"/>
      </w:pPr>
      <w:r>
        <w:rPr>
          <w:color w:val="123A5C"/>
        </w:rPr>
        <w:t>1. Antecedentes</w:t>
      </w:r>
    </w:p>
    <w:p>
      <w:r>
        <w:rPr>
          <w:i w:val="0"/>
        </w:rPr>
        <w:t>La Gerencia Nacional de Operaciones de VERIS ha definido el proyecto de Gerenciamiento Diario de Centrales Médicas: construir una torre de control de los principales indicadores del día a día de la operación, correspondientes a factores críticos de éxito que deben gestionarse en tiempo real, para garantizar el cumplimiento de las metas diarias de cada central médica.</w:t>
      </w:r>
    </w:p>
    <w:p>
      <w:r>
        <w:rPr>
          <w:i w:val="0"/>
        </w:rPr>
        <w:t>La presente oferta responde íntegramente a ese requerimiento. SEMPITECNO propone la implementación de la torre de control con sus dos frentes —control de gestión administrativa y control de gestión del ingreso—, la reportería consolidada para Jefaturas y Gerencia Nacional de Operaciones, y la incorporación de inteligencia artificial como generador de valor agregado, desplegada en la cuenta AWS de VERIS y con entrega del código en propiedad al cierre del proyecto.</w:t>
      </w:r>
    </w:p>
    <w:p>
      <w:pPr>
        <w:pStyle w:val="Heading1"/>
      </w:pPr>
      <w:r>
        <w:rPr>
          <w:color w:val="123A5C"/>
        </w:rPr>
        <w:t>2. Objetivos de la solución</w:t>
      </w:r>
    </w:p>
    <w:p>
      <w:pPr>
        <w:pStyle w:val="ListBullet"/>
      </w:pPr>
      <w:r>
        <w:rPr>
          <w:b/>
        </w:rPr>
        <w:t xml:space="preserve">Disponibilizar información en tiempo real </w:t>
      </w:r>
      <w:r>
        <w:t>que permita generar accionables inmediatos y un seguimiento oportuno por parte de la Jefatura y los Líderes de central, con indicadores homologados a la información oficial que se reporta en los dashboards de Power BI.</w:t>
      </w:r>
    </w:p>
    <w:p>
      <w:pPr>
        <w:pStyle w:val="ListBullet"/>
      </w:pPr>
      <w:r>
        <w:rPr>
          <w:b/>
        </w:rPr>
        <w:t xml:space="preserve">Generar la cultura de autogestión y autorregulación </w:t>
      </w:r>
      <w:r>
        <w:t>del desempeño diario por parte de los Médicos y Ejecutivos de Caja, mediante avisos semaforizados, recomendaciones personalizadas y reportes de fin de turno que instalen progresivamente una cultura de cumplimiento diario.</w:t>
      </w:r>
    </w:p>
    <w:p>
      <w:pPr>
        <w:pStyle w:val="ListBullet"/>
      </w:pPr>
      <w:r>
        <w:rPr>
          <w:b/>
        </w:rPr>
        <w:t xml:space="preserve">Dar visibilidad consolidada a la Gerencia Nacional de Operaciones </w:t>
      </w:r>
      <w:r>
        <w:t>sobre la gestión de cada central durante la jornada y al cierre del día, con semaforización por indicador y navegación hasta el detalle de cada Médico o Cajero.</w:t>
      </w:r>
    </w:p>
    <w:p>
      <w:pPr>
        <w:pStyle w:val="Heading1"/>
      </w:pPr>
      <w:r>
        <w:rPr>
          <w:color w:val="123A5C"/>
        </w:rPr>
        <w:t>3. Factores críticos de éxito y cómo los abordamos</w:t>
      </w:r>
    </w:p>
    <w:p>
      <w:pPr>
        <w:pStyle w:val="Heading2"/>
      </w:pPr>
      <w:r>
        <w:rPr>
          <w:color w:val="123A5C"/>
        </w:rPr>
        <w:t>3.1 Unificación del transaccional Phantom X con las reglas de negocio del Power BI</w:t>
      </w:r>
    </w:p>
    <w:p>
      <w:r>
        <w:rPr>
          <w:i w:val="0"/>
        </w:rPr>
        <w:t>El factor crítico número uno del proyecto es que los indicadores de la torre de control en tiempo real estén homologados a la información que se reporta en los dashboards de Power BI, los cuales funcionan a día caído. Nuestra solución lo resuelve con un componente específico: el motor de homologación.</w:t>
      </w:r>
    </w:p>
    <w:p>
      <w:pPr>
        <w:pStyle w:val="ListBullet"/>
      </w:pPr>
      <w:r>
        <w:rPr>
          <w:b/>
        </w:rPr>
        <w:t xml:space="preserve">Levantamiento de reglas: </w:t>
      </w:r>
      <w:r>
        <w:t>en la fase inicial documentamos, dashboard por dashboard y pestaña por pestaña, las reglas de limpieza, transformación y cálculo vigentes en los tableros institucionales que sirven de fuente a cada indicador.</w:t>
      </w:r>
    </w:p>
    <w:p>
      <w:pPr>
        <w:pStyle w:val="ListBullet"/>
      </w:pPr>
      <w:r>
        <w:rPr>
          <w:b/>
        </w:rPr>
        <w:t xml:space="preserve">Réplica en streaming: </w:t>
      </w:r>
      <w:r>
        <w:t>esas mismas reglas se aplican sobre los datos capturados en vivo desde Phantom X, antes del cálculo de los indicadores, de modo que la cifra en caliente y la cifra oficial del día siguiente concilien.</w:t>
      </w:r>
    </w:p>
    <w:p>
      <w:pPr>
        <w:pStyle w:val="ListBullet"/>
      </w:pPr>
      <w:r>
        <w:rPr>
          <w:b/>
        </w:rPr>
        <w:t xml:space="preserve">Pruebas de conciliación: </w:t>
      </w:r>
      <w:r>
        <w:t>durante la estabilización ejecutamos ciclos formales de cuadratura entre la torre de control y los dashboards de Power BI, con actas de validación por indicador firmadas con las áreas responsables.</w:t>
      </w:r>
    </w:p>
    <w:p>
      <w:r>
        <w:rPr>
          <w:i w:val="0"/>
        </w:rPr>
        <w:t>La lectura del transaccional se realiza mediante captura de cambios (CDC), sin consultas pesadas contra la base productiva, con una latencia objetivo de segundos: el indicador se actualiza durante la jornada sin comprometer el desempeño de Phantom X.</w:t>
      </w:r>
    </w:p>
    <w:p>
      <w:pPr>
        <w:pStyle w:val="Heading2"/>
      </w:pPr>
      <w:r>
        <w:rPr>
          <w:color w:val="123A5C"/>
        </w:rPr>
        <w:t>3.2 La IA como generador de valor agregado</w:t>
      </w:r>
    </w:p>
    <w:p>
      <w:r>
        <w:rPr>
          <w:i w:val="0"/>
        </w:rPr>
        <w:t>El segundo factor crítico es que la inteligencia artificial proporcione sugerencias que permitan a los Médicos y Cajeros identificar los principales insights y tomar decisiones en el momento. La plataforma incorpora cuatro mecanismos de IA, todos alineados al estilo de recomendación “tipo Amazon” descrito en el requerimiento:</w:t>
      </w:r>
    </w:p>
    <w:p>
      <w:pPr>
        <w:pStyle w:val="ListBullet"/>
      </w:pPr>
      <w:r>
        <w:rPr>
          <w:b/>
        </w:rPr>
        <w:t xml:space="preserve">Avisos y pop-ups semaforizados </w:t>
      </w:r>
      <w:r>
        <w:t>que llegan al Médico o Cajero en el instante en que su indicador se desvía, con la acción sugerida para recalibrarse dentro de la misma jornada.</w:t>
      </w:r>
    </w:p>
    <w:p>
      <w:pPr>
        <w:pStyle w:val="ListBullet"/>
      </w:pPr>
      <w:r>
        <w:rPr>
          <w:b/>
        </w:rPr>
        <w:t xml:space="preserve">Recomendaciones comparativas: </w:t>
      </w:r>
      <w:r>
        <w:t>mensajes en lenguaje natural que comparan al profesional con sus pares referentes (“Gold Standard”) de la misma especialidad, patología y franja horaria. Por ejemplo: “Pediatras como tú en tu misma franja horaria con excelente puntualidad tienen el siguiente comportamiento: entre 5 y 10 minutos un 4 % y más de 10 minutos un 2 %; te recomiendo calibrar tus tiempos de atención”.</w:t>
      </w:r>
    </w:p>
    <w:p>
      <w:pPr>
        <w:pStyle w:val="ListBullet"/>
      </w:pPr>
      <w:r>
        <w:rPr>
          <w:b/>
        </w:rPr>
        <w:t xml:space="preserve">Reporte de fin de turno: </w:t>
      </w:r>
      <w:r>
        <w:t>al cierre de la jornada, cada Médico y Cajero recibe un informe automático con insights del comportamiento de sus pacientes, el monto aportado en el día, el monto que se dejó escapar por órdenes no facturadas en caliente, y un benchmark frente a sus pares. Es un reporte diseñado para pasar a la acción y aprender del día a día.</w:t>
      </w:r>
    </w:p>
    <w:p>
      <w:pPr>
        <w:pStyle w:val="ListBullet"/>
      </w:pPr>
      <w:r>
        <w:rPr>
          <w:b/>
        </w:rPr>
        <w:t xml:space="preserve">Coach conversacional: </w:t>
      </w:r>
      <w:r>
        <w:t>un asistente con el que el colaborador puede dialogar para entender un indicador o pedir un plan concreto de mejora, con respuestas fundamentadas en sus propios datos y en las reglas de su cargo.</w:t>
      </w:r>
    </w:p>
    <w:p>
      <w:r>
        <w:rPr>
          <w:i w:val="0"/>
        </w:rPr>
        <w:t>Técnicamente, la IA opera en dos capas para mantener el costo bajo control: la clasificación, detección de anomalías y proyección de cierre de turno se ejecutan con modelos analíticos locales (sin consumo de tokens), y la redacción de recomendaciones, benchmarks e insights se delega en Amazon Bedrock, invocado únicamente cuando aporta valor.</w:t>
      </w:r>
    </w:p>
    <w:p>
      <w:pPr>
        <w:pStyle w:val="Heading1"/>
      </w:pPr>
      <w:r>
        <w:rPr>
          <w:color w:val="123A5C"/>
        </w:rPr>
        <w:t>4. Alcance funcional de la torre de control</w:t>
      </w:r>
    </w:p>
    <w:p>
      <w:r>
        <w:rPr>
          <w:i w:val="0"/>
        </w:rPr>
        <w:t>Conforme al requerimiento, la torre de control se estructura en dos frentes: el control de gestión administrativa, enfocado en el journey del cliente previo, durante y posterior a la consulta; y el control de gestión del ingreso, enfocado en la generación del ingreso a partir de las órdenes médicas prescritas. Todos los indicadores se presentan por central, especialidad, profesional y franja horaria, con semaforización verde / amarillo / rojo y escalamiento automático al Jefe y Líder de central.</w:t>
      </w:r>
    </w:p>
    <w:p>
      <w:pPr>
        <w:pStyle w:val="Heading2"/>
      </w:pPr>
      <w:r>
        <w:rPr>
          <w:color w:val="123A5C"/>
        </w:rPr>
        <w:t>4.1 Control de gestión administrativa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shd w:fill="123A5C"/>
          </w:tcPr>
          <w:p>
            <w:r>
              <w:rPr>
                <w:b/>
                <w:color w:val="FFFFFF"/>
                <w:sz w:val="17"/>
              </w:rPr>
              <w:t>INDICADOR</w:t>
            </w:r>
          </w:p>
        </w:tc>
        <w:tc>
          <w:tcPr>
            <w:tcW w:type="dxa" w:w="1944"/>
            <w:shd w:fill="123A5C"/>
          </w:tcPr>
          <w:p>
            <w:r>
              <w:rPr>
                <w:b/>
                <w:color w:val="FFFFFF"/>
                <w:sz w:val="17"/>
              </w:rPr>
              <w:t>DASHBOARD FUENTE (HOMOLOGACIÓN)</w:t>
            </w:r>
          </w:p>
        </w:tc>
        <w:tc>
          <w:tcPr>
            <w:tcW w:type="dxa" w:w="1944"/>
            <w:shd w:fill="123A5C"/>
          </w:tcPr>
          <w:p>
            <w:r>
              <w:rPr>
                <w:b/>
                <w:color w:val="FFFFFF"/>
                <w:sz w:val="17"/>
              </w:rPr>
              <w:t>SEMAFORIZACIÓN</w:t>
            </w:r>
          </w:p>
        </w:tc>
        <w:tc>
          <w:tcPr>
            <w:tcW w:type="dxa" w:w="4248"/>
            <w:shd w:fill="123A5C"/>
          </w:tcPr>
          <w:p>
            <w:r>
              <w:rPr>
                <w:b/>
                <w:color w:val="FFFFFF"/>
                <w:sz w:val="17"/>
              </w:rPr>
              <w:t>APOYO DE IA</w:t>
            </w:r>
          </w:p>
        </w:tc>
      </w:tr>
      <w:tr>
        <w:tc>
          <w:tcPr>
            <w:tcW w:type="dxa" w:w="1944"/>
          </w:tcPr>
          <w:p>
            <w:r>
              <w:rPr>
                <w:sz w:val="17"/>
              </w:rPr>
              <w:t>Puntualidad de citas por especialidad y Médico</w:t>
            </w:r>
          </w:p>
        </w:tc>
        <w:tc>
          <w:tcPr>
            <w:tcW w:type="dxa" w:w="1944"/>
          </w:tcPr>
          <w:p>
            <w:r>
              <w:rPr>
                <w:sz w:val="17"/>
              </w:rPr>
              <w:t>Productividad CMV – Sedes / Puntualidad</w:t>
            </w:r>
          </w:p>
        </w:tc>
        <w:tc>
          <w:tcPr>
            <w:tcW w:type="dxa" w:w="1944"/>
          </w:tcPr>
          <w:p>
            <w:r>
              <w:rPr>
                <w:sz w:val="17"/>
              </w:rPr>
              <w:t>Verde: anticipado, puntual o &lt; 5 min · Amarillo: 5–10 min · Rojo: &gt; 10 min</w:t>
            </w:r>
          </w:p>
        </w:tc>
        <w:tc>
          <w:tcPr>
            <w:tcW w:type="dxa" w:w="4248"/>
          </w:tcPr>
          <w:p>
            <w:r>
              <w:rPr>
                <w:sz w:val="17"/>
              </w:rPr>
              <w:t>Pop-up semaforizado al Médico para recalibrar sus tiempos; recomendación comparativa con pares puntuales de su misma franja; escalamiento al Jefe y Líder para gestionar la espera de los siguientes pacientes con turno.</w:t>
            </w:r>
          </w:p>
        </w:tc>
      </w:tr>
      <w:tr>
        <w:tc>
          <w:tcPr>
            <w:tcW w:type="dxa" w:w="1944"/>
            <w:shd w:fill="EDF3F8"/>
          </w:tcPr>
          <w:p>
            <w:r>
              <w:rPr>
                <w:sz w:val="17"/>
              </w:rPr>
              <w:t>Duración de citas médicas</w:t>
            </w:r>
          </w:p>
        </w:tc>
        <w:tc>
          <w:tcPr>
            <w:tcW w:type="dxa" w:w="1944"/>
            <w:shd w:fill="EDF3F8"/>
          </w:tcPr>
          <w:p>
            <w:r>
              <w:rPr>
                <w:sz w:val="17"/>
              </w:rPr>
              <w:t>Productividad CMV – Sedes / Duración citas</w:t>
            </w:r>
          </w:p>
        </w:tc>
        <w:tc>
          <w:tcPr>
            <w:tcW w:type="dxa" w:w="1944"/>
            <w:shd w:fill="EDF3F8"/>
          </w:tcPr>
          <w:p>
            <w:r>
              <w:rPr>
                <w:sz w:val="17"/>
              </w:rPr>
              <w:t>Verde: 18–20 min · Amarillo: 10–17 min · Rojo: &lt; 10 min</w:t>
            </w:r>
          </w:p>
        </w:tc>
        <w:tc>
          <w:tcPr>
            <w:tcW w:type="dxa" w:w="4248"/>
            <w:shd w:fill="EDF3F8"/>
          </w:tcPr>
          <w:p>
            <w:r>
              <w:rPr>
                <w:sz w:val="17"/>
              </w:rPr>
              <w:t>Pop-up al Médico para proteger la propuesta de valor de 20 minutos y aprovechar la consulta en generar demanda inducida de prevención y cierre de tratamiento; benchmark frente a Médicos Gold Standard de la misma patología con alto % de tratamiento terminado; visibilidad para Jefe, Líder y Jefe Médico.</w:t>
            </w:r>
          </w:p>
        </w:tc>
      </w:tr>
      <w:tr>
        <w:tc>
          <w:tcPr>
            <w:tcW w:type="dxa" w:w="1944"/>
          </w:tcPr>
          <w:p>
            <w:r>
              <w:rPr>
                <w:sz w:val="17"/>
              </w:rPr>
              <w:t>Llenado de agenda médica por especialidad y Médico</w:t>
            </w:r>
          </w:p>
        </w:tc>
        <w:tc>
          <w:tcPr>
            <w:tcW w:type="dxa" w:w="1944"/>
          </w:tcPr>
          <w:p>
            <w:r>
              <w:rPr>
                <w:sz w:val="17"/>
              </w:rPr>
              <w:t>Operaciones y Gestión Clínica / Productividad</w:t>
            </w:r>
          </w:p>
        </w:tc>
        <w:tc>
          <w:tcPr>
            <w:tcW w:type="dxa" w:w="1944"/>
          </w:tcPr>
          <w:p>
            <w:r>
              <w:rPr>
                <w:sz w:val="17"/>
              </w:rPr>
              <w:t>Verde: 80–100 % · Amarillo: 60–79 % · Rojo: &lt; 59 %</w:t>
            </w:r>
          </w:p>
        </w:tc>
        <w:tc>
          <w:tcPr>
            <w:tcW w:type="dxa" w:w="4248"/>
          </w:tcPr>
          <w:p>
            <w:r>
              <w:rPr>
                <w:sz w:val="17"/>
              </w:rPr>
              <w:t>Pop-up al Médico con el comportamiento del llenado de su agenda conforme avanza el agendamiento; mensaje comparativo con médicos de su misma franja; semáforo al Jefe y Líder para correctivos.</w:t>
            </w:r>
          </w:p>
        </w:tc>
      </w:tr>
      <w:tr>
        <w:tc>
          <w:tcPr>
            <w:tcW w:type="dxa" w:w="1944"/>
            <w:shd w:fill="EDF3F8"/>
          </w:tcPr>
          <w:p>
            <w:r>
              <w:rPr>
                <w:sz w:val="17"/>
              </w:rPr>
              <w:t>Ausentismo de clientes por especialidad y Médico</w:t>
            </w:r>
          </w:p>
        </w:tc>
        <w:tc>
          <w:tcPr>
            <w:tcW w:type="dxa" w:w="1944"/>
            <w:shd w:fill="EDF3F8"/>
          </w:tcPr>
          <w:p>
            <w:r>
              <w:rPr>
                <w:sz w:val="17"/>
              </w:rPr>
              <w:t>Operaciones y Gestión Clínica / Ausentismo</w:t>
            </w:r>
          </w:p>
        </w:tc>
        <w:tc>
          <w:tcPr>
            <w:tcW w:type="dxa" w:w="1944"/>
            <w:shd w:fill="EDF3F8"/>
          </w:tcPr>
          <w:p>
            <w:r>
              <w:rPr>
                <w:sz w:val="17"/>
              </w:rPr>
              <w:t>Verde: 1–7 % · Amarillo: 8–10 % · Rojo: &gt; 11 %</w:t>
            </w:r>
          </w:p>
        </w:tc>
        <w:tc>
          <w:tcPr>
            <w:tcW w:type="dxa" w:w="4248"/>
            <w:shd w:fill="EDF3F8"/>
          </w:tcPr>
          <w:p>
            <w:r>
              <w:rPr>
                <w:sz w:val="17"/>
              </w:rPr>
              <w:t>Actualización continua conforme avanzan los agendamientos; semáforo al Jefe y Líder para activar correctivos de confirmación y recuperación con los pacientes.</w:t>
            </w:r>
          </w:p>
        </w:tc>
      </w:tr>
      <w:tr>
        <w:tc>
          <w:tcPr>
            <w:tcW w:type="dxa" w:w="1944"/>
          </w:tcPr>
          <w:p>
            <w:r>
              <w:rPr>
                <w:sz w:val="17"/>
              </w:rPr>
              <w:t>Pagos en kioscos de autogestión y proporción kioscos vs. cajas</w:t>
            </w:r>
          </w:p>
        </w:tc>
        <w:tc>
          <w:tcPr>
            <w:tcW w:type="dxa" w:w="1944"/>
          </w:tcPr>
          <w:p>
            <w:r>
              <w:rPr>
                <w:sz w:val="17"/>
              </w:rPr>
              <w:t>Indicadores Digiturno / Pagos (incluye dólares de venta)</w:t>
            </w:r>
          </w:p>
        </w:tc>
        <w:tc>
          <w:tcPr>
            <w:tcW w:type="dxa" w:w="1944"/>
          </w:tcPr>
          <w:p>
            <w:r>
              <w:rPr>
                <w:sz w:val="17"/>
              </w:rPr>
              <w:t>Umbrales por franja horaria, a definir en el levantamiento</w:t>
            </w:r>
          </w:p>
        </w:tc>
        <w:tc>
          <w:tcPr>
            <w:tcW w:type="dxa" w:w="4248"/>
          </w:tcPr>
          <w:p>
            <w:r>
              <w:rPr>
                <w:sz w:val="17"/>
              </w:rPr>
              <w:t>Reporte de IA que cruza las transacciones gestionadas en caja que pertenecían al mercado objetivo del kiosco (aseguradoras con webservices: Saludsa, BMI, Ecuasanitas, BUPA y VUMI; chequeos; particulares con tarjeta de crédito), mostrando por franja y por Host/Cajero las transacciones que saturan cajas de forma evitable.</w:t>
            </w:r>
          </w:p>
        </w:tc>
      </w:tr>
      <w:tr>
        <w:tc>
          <w:tcPr>
            <w:tcW w:type="dxa" w:w="1944"/>
            <w:shd w:fill="EDF3F8"/>
          </w:tcPr>
          <w:p>
            <w:r>
              <w:rPr>
                <w:sz w:val="17"/>
              </w:rPr>
              <w:t>Productividad de kioscos de autogestión</w:t>
            </w:r>
          </w:p>
        </w:tc>
        <w:tc>
          <w:tcPr>
            <w:tcW w:type="dxa" w:w="1944"/>
            <w:shd w:fill="EDF3F8"/>
          </w:tcPr>
          <w:p>
            <w:r>
              <w:rPr>
                <w:sz w:val="17"/>
              </w:rPr>
              <w:t>Indicadores Digiturno / Productividad</w:t>
            </w:r>
          </w:p>
        </w:tc>
        <w:tc>
          <w:tcPr>
            <w:tcW w:type="dxa" w:w="1944"/>
            <w:shd w:fill="EDF3F8"/>
          </w:tcPr>
          <w:p>
            <w:r>
              <w:rPr>
                <w:sz w:val="17"/>
              </w:rPr>
              <w:t>Umbrales por franja horaria y por Host/Cajero logueado</w:t>
            </w:r>
          </w:p>
        </w:tc>
        <w:tc>
          <w:tcPr>
            <w:tcW w:type="dxa" w:w="4248"/>
            <w:shd w:fill="EDF3F8"/>
          </w:tcPr>
          <w:p>
            <w:r>
              <w:rPr>
                <w:sz w:val="17"/>
              </w:rPr>
              <w:t>Semáforo al Jefe y Líder por franja horaria y Host/Cajero, con evaluación en tiempo real de la saturación de uso durante el turno.</w:t>
            </w:r>
          </w:p>
        </w:tc>
      </w:tr>
      <w:tr>
        <w:tc>
          <w:tcPr>
            <w:tcW w:type="dxa" w:w="1944"/>
          </w:tcPr>
          <w:p>
            <w:r>
              <w:rPr>
                <w:sz w:val="17"/>
              </w:rPr>
              <w:t>Tiempos de espera en caja</w:t>
            </w:r>
          </w:p>
        </w:tc>
        <w:tc>
          <w:tcPr>
            <w:tcW w:type="dxa" w:w="1944"/>
          </w:tcPr>
          <w:p>
            <w:r>
              <w:rPr>
                <w:sz w:val="17"/>
              </w:rPr>
              <w:t>Integración con el turnero (ticket emitido en kiosco)</w:t>
            </w:r>
          </w:p>
        </w:tc>
        <w:tc>
          <w:tcPr>
            <w:tcW w:type="dxa" w:w="1944"/>
          </w:tcPr>
          <w:p>
            <w:r>
              <w:rPr>
                <w:sz w:val="17"/>
              </w:rPr>
              <w:t>Umbrales de tiempo definidos por central</w:t>
            </w:r>
          </w:p>
        </w:tc>
        <w:tc>
          <w:tcPr>
            <w:tcW w:type="dxa" w:w="4248"/>
          </w:tcPr>
          <w:p>
            <w:r>
              <w:rPr>
                <w:sz w:val="17"/>
              </w:rPr>
              <w:t>Mapa de calor en tiempo real por franja horaria de los minutos en cola; pop-up al Cajero con la semaforización de la espera; alertas inmediatas de saturación al Líder para derivar al kiosco a los clientes del mercado objetivo.</w:t>
            </w:r>
          </w:p>
        </w:tc>
      </w:tr>
      <w:tr>
        <w:tc>
          <w:tcPr>
            <w:tcW w:type="dxa" w:w="1944"/>
            <w:shd w:fill="EDF3F8"/>
          </w:tcPr>
          <w:p>
            <w:r>
              <w:rPr>
                <w:sz w:val="17"/>
              </w:rPr>
              <w:t>Tiempos de atención en caja por Ejecutivo</w:t>
            </w:r>
          </w:p>
        </w:tc>
        <w:tc>
          <w:tcPr>
            <w:tcW w:type="dxa" w:w="1944"/>
            <w:shd w:fill="EDF3F8"/>
          </w:tcPr>
          <w:p>
            <w:r>
              <w:rPr>
                <w:sz w:val="17"/>
              </w:rPr>
              <w:t>Tiempos Interacciones Cajas / Tiempos</w:t>
            </w:r>
          </w:p>
        </w:tc>
        <w:tc>
          <w:tcPr>
            <w:tcW w:type="dxa" w:w="1944"/>
            <w:shd w:fill="EDF3F8"/>
          </w:tcPr>
          <w:p>
            <w:r>
              <w:rPr>
                <w:sz w:val="17"/>
              </w:rPr>
              <w:t>Umbrales de tiempo definidos por central</w:t>
            </w:r>
          </w:p>
        </w:tc>
        <w:tc>
          <w:tcPr>
            <w:tcW w:type="dxa" w:w="4248"/>
            <w:shd w:fill="EDF3F8"/>
          </w:tcPr>
          <w:p>
            <w:r>
              <w:rPr>
                <w:sz w:val="17"/>
              </w:rPr>
              <w:t>Mapa de calor por Cajero y franja horaria; recomendación comparativa con base en IPN (p. ej.: “Cajeros con IPN de 90 o más atienden en 2,98 min en promedio; tu promedio es 4,32 min, una brecha de 1,34 min”); alertas inmediatas al Líder ante tiempos altos para descartar problemas de sistema.</w:t>
            </w:r>
          </w:p>
        </w:tc>
      </w:tr>
    </w:tbl>
    <w:p/>
    <w:p>
      <w:pPr>
        <w:pStyle w:val="Heading2"/>
      </w:pPr>
      <w:r>
        <w:rPr>
          <w:color w:val="123A5C"/>
        </w:rPr>
        <w:t>4.2 Control de gestión del ingreso</w:t>
      </w:r>
    </w:p>
    <w:p>
      <w:r>
        <w:rPr>
          <w:i w:val="0"/>
        </w:rPr>
        <w:t>La Adherencia Terapéutica es la aguja que mueve el ingreso diario de las centrales médicas: el porcentaje de lo que el cliente compra en función de lo prescrito por el Médico (Laboratorios, Imágenes diagnósticas, Procedimientos, Terapias, Farmacia, Odontología y Óptica). La torre de control mide la Adherencia Terapéutica de primer impulso en tiempo real: desde que el Médico cierra la historia clínica en Phantom X y se liberan las órdenes, se monitorea cuántos clientes facturan en caliente antes de salir de la central. Las metas por producto definidas por VERIS son: Laboratorios 71 %, Imágenes diagnósticas 74 %, Procedimientos 63 %, Terapias 58 % y Farmacia 68 %.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shd w:fill="123A5C"/>
          </w:tcPr>
          <w:p>
            <w:r>
              <w:rPr>
                <w:b/>
                <w:color w:val="FFFFFF"/>
                <w:sz w:val="17"/>
              </w:rPr>
              <w:t>INDICADOR</w:t>
            </w:r>
          </w:p>
        </w:tc>
        <w:tc>
          <w:tcPr>
            <w:tcW w:type="dxa" w:w="1944"/>
            <w:shd w:fill="123A5C"/>
          </w:tcPr>
          <w:p>
            <w:r>
              <w:rPr>
                <w:b/>
                <w:color w:val="FFFFFF"/>
                <w:sz w:val="17"/>
              </w:rPr>
              <w:t>DASHBOARD FUENTE (HOMOLOGACIÓN)</w:t>
            </w:r>
          </w:p>
        </w:tc>
        <w:tc>
          <w:tcPr>
            <w:tcW w:type="dxa" w:w="1944"/>
            <w:shd w:fill="123A5C"/>
          </w:tcPr>
          <w:p>
            <w:r>
              <w:rPr>
                <w:b/>
                <w:color w:val="FFFFFF"/>
                <w:sz w:val="17"/>
              </w:rPr>
              <w:t>SEMAFORIZACIÓN / META</w:t>
            </w:r>
          </w:p>
        </w:tc>
        <w:tc>
          <w:tcPr>
            <w:tcW w:type="dxa" w:w="4248"/>
            <w:shd w:fill="123A5C"/>
          </w:tcPr>
          <w:p>
            <w:r>
              <w:rPr>
                <w:b/>
                <w:color w:val="FFFFFF"/>
                <w:sz w:val="17"/>
              </w:rPr>
              <w:t>APOYO DE IA</w:t>
            </w:r>
          </w:p>
        </w:tc>
      </w:tr>
      <w:tr>
        <w:tc>
          <w:tcPr>
            <w:tcW w:type="dxa" w:w="1944"/>
          </w:tcPr>
          <w:p>
            <w:r>
              <w:rPr>
                <w:sz w:val="17"/>
              </w:rPr>
              <w:t>Adherencia Terapéutica de primer impulso por Médico</w:t>
            </w:r>
          </w:p>
        </w:tc>
        <w:tc>
          <w:tcPr>
            <w:tcW w:type="dxa" w:w="1944"/>
          </w:tcPr>
          <w:p>
            <w:r>
              <w:rPr>
                <w:sz w:val="17"/>
              </w:rPr>
              <w:t>Adherencia Terapéutica / varias pestañas</w:t>
            </w:r>
          </w:p>
        </w:tc>
        <w:tc>
          <w:tcPr>
            <w:tcW w:type="dxa" w:w="1944"/>
          </w:tcPr>
          <w:p>
            <w:r>
              <w:rPr>
                <w:sz w:val="17"/>
              </w:rPr>
              <w:t>Metas por producto: Laboratorios 71 % · Imágenes 74 % · Procedimientos 63 % · Terapias 58 % · Farmacia 68 %</w:t>
            </w:r>
          </w:p>
        </w:tc>
        <w:tc>
          <w:tcPr>
            <w:tcW w:type="dxa" w:w="4248"/>
          </w:tcPr>
          <w:p>
            <w:r>
              <w:rPr>
                <w:sz w:val="17"/>
              </w:rPr>
              <w:t>Pop-up semaforizado por orden prescrita conforme atiende a cada paciente; recomendación comparativa con Médicos referentes de la misma patología; reporte de fin de turno con el monto aportado y el monto que se dejó escapar por órdenes no captadas; alerta inmediata al Jefe y Líder ante Médicos en rojo.</w:t>
            </w:r>
          </w:p>
        </w:tc>
      </w:tr>
      <w:tr>
        <w:tc>
          <w:tcPr>
            <w:tcW w:type="dxa" w:w="1944"/>
            <w:shd w:fill="EDF3F8"/>
          </w:tcPr>
          <w:p>
            <w:r>
              <w:rPr>
                <w:sz w:val="17"/>
              </w:rPr>
              <w:t>Adherencia Terapéutica de primer impulso por Cajero</w:t>
            </w:r>
          </w:p>
        </w:tc>
        <w:tc>
          <w:tcPr>
            <w:tcW w:type="dxa" w:w="1944"/>
            <w:shd w:fill="EDF3F8"/>
          </w:tcPr>
          <w:p>
            <w:r>
              <w:rPr>
                <w:sz w:val="17"/>
              </w:rPr>
              <w:t>Adherencia Terapéutica / varias pestañas</w:t>
            </w:r>
          </w:p>
        </w:tc>
        <w:tc>
          <w:tcPr>
            <w:tcW w:type="dxa" w:w="1944"/>
            <w:shd w:fill="EDF3F8"/>
          </w:tcPr>
          <w:p>
            <w:r>
              <w:rPr>
                <w:sz w:val="17"/>
              </w:rPr>
              <w:t>Mismas metas por producto</w:t>
            </w:r>
          </w:p>
        </w:tc>
        <w:tc>
          <w:tcPr>
            <w:tcW w:type="dxa" w:w="4248"/>
            <w:shd w:fill="EDF3F8"/>
          </w:tcPr>
          <w:p>
            <w:r>
              <w:rPr>
                <w:sz w:val="17"/>
              </w:rPr>
              <w:t>Recomendaciones de cierre de venta en el punto de pago; reporte de fin de turno con benchmark frente a otros Cajeros que lograron el cierre de sus órdenes; alerta inmediata al Jefe y Líder ante Cajeros en rojo.</w:t>
            </w:r>
          </w:p>
        </w:tc>
      </w:tr>
      <w:tr>
        <w:tc>
          <w:tcPr>
            <w:tcW w:type="dxa" w:w="1944"/>
          </w:tcPr>
          <w:p>
            <w:r>
              <w:rPr>
                <w:sz w:val="17"/>
              </w:rPr>
              <w:t>Cantidad de clientes y atenciones por tipo de nivel</w:t>
            </w:r>
          </w:p>
        </w:tc>
        <w:tc>
          <w:tcPr>
            <w:tcW w:type="dxa" w:w="1944"/>
          </w:tcPr>
          <w:p>
            <w:r>
              <w:rPr>
                <w:sz w:val="17"/>
              </w:rPr>
              <w:t>Estadísticas Ventas Diarias – Centrales y Sedes / Presupuesto diario</w:t>
            </w:r>
          </w:p>
        </w:tc>
        <w:tc>
          <w:tcPr>
            <w:tcW w:type="dxa" w:w="1944"/>
          </w:tcPr>
          <w:p>
            <w:r>
              <w:rPr>
                <w:sz w:val="17"/>
              </w:rPr>
              <w:t>Comparativa contra metas diarias por nivel: Asegurado · Particular · Empresarial · Empaquetado</w:t>
            </w:r>
          </w:p>
        </w:tc>
        <w:tc>
          <w:tcPr>
            <w:tcW w:type="dxa" w:w="4248"/>
          </w:tcPr>
          <w:p>
            <w:r>
              <w:rPr>
                <w:sz w:val="17"/>
              </w:rPr>
              <w:t>Monitoreo del flujo de clientes y atenciones por franja horaria y especialidad frente a las metas diarias asignadas.</w:t>
            </w:r>
          </w:p>
        </w:tc>
      </w:tr>
      <w:tr>
        <w:tc>
          <w:tcPr>
            <w:tcW w:type="dxa" w:w="1944"/>
            <w:shd w:fill="EDF3F8"/>
          </w:tcPr>
          <w:p>
            <w:r>
              <w:rPr>
                <w:sz w:val="17"/>
              </w:rPr>
              <w:t>Cierre de venta de empaquetados por Cajero</w:t>
            </w:r>
          </w:p>
        </w:tc>
        <w:tc>
          <w:tcPr>
            <w:tcW w:type="dxa" w:w="1944"/>
            <w:shd w:fill="EDF3F8"/>
          </w:tcPr>
          <w:p>
            <w:r>
              <w:rPr>
                <w:sz w:val="17"/>
              </w:rPr>
              <w:t>Control Venta Empaquetados / Detallado Centrales</w:t>
            </w:r>
          </w:p>
        </w:tc>
        <w:tc>
          <w:tcPr>
            <w:tcW w:type="dxa" w:w="1944"/>
            <w:shd w:fill="EDF3F8"/>
          </w:tcPr>
          <w:p>
            <w:r>
              <w:rPr>
                <w:sz w:val="17"/>
              </w:rPr>
              <w:t>Verde: 90–100 % o más · Amarillo: 70–89 % · Rojo: &lt; 69 %</w:t>
            </w:r>
          </w:p>
        </w:tc>
        <w:tc>
          <w:tcPr>
            <w:tcW w:type="dxa" w:w="4248"/>
            <w:shd w:fill="EDF3F8"/>
          </w:tcPr>
          <w:p>
            <w:r>
              <w:rPr>
                <w:sz w:val="17"/>
              </w:rPr>
              <w:t>Pop-up al Cajero con el avance del día frente al presupuesto diario; recomendación de los empaquetados con mayor probabilidad de cierre según los Cajeros que alcanzan su meta; reporte de fin de turno con benchmark; alerta al Jefe y Líder ante Cajeros en rojo.</w:t>
            </w:r>
          </w:p>
        </w:tc>
      </w:tr>
      <w:tr>
        <w:tc>
          <w:tcPr>
            <w:tcW w:type="dxa" w:w="1944"/>
          </w:tcPr>
          <w:p>
            <w:r>
              <w:rPr>
                <w:sz w:val="17"/>
              </w:rPr>
              <w:t>Cierre de venta por Dependientes de Farmacia</w:t>
            </w:r>
          </w:p>
        </w:tc>
        <w:tc>
          <w:tcPr>
            <w:tcW w:type="dxa" w:w="1944"/>
          </w:tcPr>
          <w:p>
            <w:r>
              <w:rPr>
                <w:sz w:val="17"/>
              </w:rPr>
              <w:t>Adherencia Terapéutica / Farmacia</w:t>
            </w:r>
          </w:p>
        </w:tc>
        <w:tc>
          <w:tcPr>
            <w:tcW w:type="dxa" w:w="1944"/>
          </w:tcPr>
          <w:p>
            <w:r>
              <w:rPr>
                <w:sz w:val="17"/>
              </w:rPr>
              <w:t>Mismo enfoque del indicador por Cajero</w:t>
            </w:r>
          </w:p>
        </w:tc>
        <w:tc>
          <w:tcPr>
            <w:tcW w:type="dxa" w:w="4248"/>
          </w:tcPr>
          <w:p>
            <w:r>
              <w:rPr>
                <w:sz w:val="17"/>
              </w:rPr>
              <w:t>Recomendaciones e insights de cierre aplicados a los Dependientes de Farmacia, como cajeros de farmacia.</w:t>
            </w:r>
          </w:p>
        </w:tc>
      </w:tr>
    </w:tbl>
    <w:p/>
    <w:p>
      <w:pPr>
        <w:pStyle w:val="Heading2"/>
      </w:pPr>
      <w:r>
        <w:rPr>
          <w:color w:val="123A5C"/>
        </w:rPr>
        <w:t>4.3 Reportería consolidada para Jefaturas y Gerencia Nacional de Operaciones</w:t>
      </w:r>
    </w:p>
    <w:p>
      <w:r>
        <w:rPr>
          <w:i w:val="0"/>
        </w:rPr>
        <w:t>La torre de control incluye el diseño de indicadores consolidados que se generan en tiempo real, alimentados por los resultados de cada uno de los indicadores anteriores. La Gerencia Nacional de Operaciones puede monitorear durante la jornada el estado de cada central y, al final del día, conocer de manera consolidada cómo quedó la gestión de cada una en relación con la semaforización de cada indicador. La vista consolidada ofrece:</w:t>
      </w:r>
    </w:p>
    <w:p>
      <w:pPr>
        <w:pStyle w:val="ListBullet"/>
      </w:pPr>
      <w:r>
        <w:rPr>
          <w:b/>
        </w:rPr>
        <w:t xml:space="preserve">Salud operativa de la red: </w:t>
      </w:r>
      <w:r>
        <w:t>cuántas centrales están en meta, en alerta o en estado crítico, con un mapa de calor por central.</w:t>
      </w:r>
    </w:p>
    <w:p>
      <w:pPr>
        <w:pStyle w:val="ListBullet"/>
      </w:pPr>
      <w:r>
        <w:rPr>
          <w:b/>
        </w:rPr>
        <w:t xml:space="preserve">Drill-down progresivo: </w:t>
      </w:r>
      <w:r>
        <w:t>desde la red nacional hacia la central, la especialidad, la franja horaria y el colaborador individual.</w:t>
      </w:r>
    </w:p>
    <w:p>
      <w:pPr>
        <w:pStyle w:val="ListBullet"/>
      </w:pPr>
      <w:r>
        <w:rPr>
          <w:b/>
        </w:rPr>
        <w:t xml:space="preserve">Cierre del día: </w:t>
      </w:r>
      <w:r>
        <w:t>resumen ejecutivo automático con la semaforización final por indicador y por central, y los principales hallazgos de la IA (alertas, recomendaciones e insights de la jornada).</w:t>
      </w:r>
    </w:p>
    <w:p>
      <w:pPr>
        <w:pStyle w:val="Heading1"/>
      </w:pPr>
      <w:r>
        <w:rPr>
          <w:color w:val="123A5C"/>
        </w:rPr>
        <w:t>5. Portal del colaborador y niveles de acceso</w:t>
      </w:r>
    </w:p>
    <w:p>
      <w:r>
        <w:rPr>
          <w:i w:val="0"/>
        </w:rPr>
        <w:t>El colaborador accede al portal con su identificación corporativa. En una sola pantalla visualiza los indicadores de su cargo con su semaforización al momento, su evolución en la jornada y en el mes, y las recomendaciones generadas por la IA. La plataforma habilita tres niveles de visualización y gestión:</w:t>
      </w:r>
    </w:p>
    <w:p>
      <w:pPr>
        <w:pStyle w:val="ListBullet"/>
      </w:pPr>
      <w:r>
        <w:rPr>
          <w:b/>
        </w:rPr>
        <w:t xml:space="preserve">Médicos, Cajeros y Dependientes de Farmacia: </w:t>
      </w:r>
      <w:r>
        <w:t>pop-ups semaforizados, recomendaciones comparativas, reporte de fin de turno y coach conversacional, orientados a la autogestión y autorregulación del desempeño diario.</w:t>
      </w:r>
    </w:p>
    <w:p>
      <w:pPr>
        <w:pStyle w:val="ListBullet"/>
      </w:pPr>
      <w:r>
        <w:rPr>
          <w:b/>
        </w:rPr>
        <w:t xml:space="preserve">Jefes y Líderes de central: </w:t>
      </w:r>
      <w:r>
        <w:t>vista minuto a minuto de sus Médicos y Cajeros, identificación inmediata de quién está en rojo, alertas de saturación y herramientas para tomar correctivos en el momento.</w:t>
      </w:r>
    </w:p>
    <w:p>
      <w:pPr>
        <w:pStyle w:val="ListBullet"/>
      </w:pPr>
      <w:r>
        <w:rPr>
          <w:b/>
        </w:rPr>
        <w:t xml:space="preserve">Gerencia Nacional de Operaciones: </w:t>
      </w:r>
      <w:r>
        <w:t>reportería consolidada en tiempo real y al cierre del día, central por central, con drill-down hasta el detalle individual.</w:t>
      </w:r>
    </w:p>
    <w:p>
      <w:pPr>
        <w:pStyle w:val="Heading1"/>
      </w:pPr>
      <w:r>
        <w:rPr>
          <w:color w:val="123A5C"/>
        </w:rPr>
        <w:t>6. Módulos funcionales de la plataforma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fill="123A5C"/>
          </w:tcPr>
          <w:p>
            <w:r>
              <w:rPr>
                <w:b/>
                <w:color w:val="FFFFFF"/>
                <w:sz w:val="18"/>
              </w:rPr>
              <w:t>#</w:t>
            </w:r>
          </w:p>
        </w:tc>
        <w:tc>
          <w:tcPr>
            <w:tcW w:type="dxa" w:w="2160"/>
            <w:shd w:fill="123A5C"/>
          </w:tcPr>
          <w:p>
            <w:r>
              <w:rPr>
                <w:b/>
                <w:color w:val="FFFFFF"/>
                <w:sz w:val="18"/>
              </w:rPr>
              <w:t>MÓDULO</w:t>
            </w:r>
          </w:p>
        </w:tc>
        <w:tc>
          <w:tcPr>
            <w:tcW w:type="dxa" w:w="6336"/>
            <w:shd w:fill="123A5C"/>
          </w:tcPr>
          <w:p>
            <w:r>
              <w:rPr>
                <w:b/>
                <w:color w:val="FFFFFF"/>
                <w:sz w:val="18"/>
              </w:rPr>
              <w:t>DESCRIPCIÓN</w:t>
            </w:r>
          </w:p>
        </w:tc>
        <w:tc>
          <w:tcPr>
            <w:tcW w:type="dxa" w:w="1080"/>
            <w:shd w:fill="123A5C"/>
          </w:tcPr>
          <w:p>
            <w:r>
              <w:rPr>
                <w:b/>
                <w:color w:val="FFFFFF"/>
                <w:sz w:val="18"/>
              </w:rPr>
              <w:t>MOTOR</w:t>
            </w:r>
          </w:p>
        </w:tc>
      </w:tr>
      <w:tr>
        <w:tc>
          <w:tcPr>
            <w:tcW w:type="dxa" w:w="504"/>
          </w:tcPr>
          <w:p>
            <w:r>
              <w:rPr>
                <w:sz w:val="18"/>
              </w:rPr>
              <w:t>1</w:t>
            </w:r>
          </w:p>
        </w:tc>
        <w:tc>
          <w:tcPr>
            <w:tcW w:type="dxa" w:w="2160"/>
          </w:tcPr>
          <w:p>
            <w:r>
              <w:rPr>
                <w:sz w:val="18"/>
              </w:rPr>
              <w:t>Sincronización con el transaccional</w:t>
            </w:r>
          </w:p>
        </w:tc>
        <w:tc>
          <w:tcPr>
            <w:tcW w:type="dxa" w:w="6336"/>
          </w:tcPr>
          <w:p>
            <w:r>
              <w:rPr>
                <w:sz w:val="18"/>
              </w:rPr>
              <w:t>Conector de captura de cambios (CDC) sobre Phantom X y demás fuentes (Digiturno, IPN, presupuesto diario), con lectura no intrusiva, trazabilidad punto a punto y latencia objetivo de segundos.</w:t>
            </w:r>
          </w:p>
        </w:tc>
        <w:tc>
          <w:tcPr>
            <w:tcW w:type="dxa" w:w="1080"/>
          </w:tcPr>
          <w:p>
            <w:r>
              <w:rPr>
                <w:sz w:val="18"/>
              </w:rPr>
              <w:t>Backend</w:t>
            </w:r>
          </w:p>
        </w:tc>
      </w:tr>
      <w:tr>
        <w:tc>
          <w:tcPr>
            <w:tcW w:type="dxa" w:w="504"/>
            <w:shd w:fill="EDF3F8"/>
          </w:tcPr>
          <w:p>
            <w:r>
              <w:rPr>
                <w:sz w:val="18"/>
              </w:rPr>
              <w:t>2</w:t>
            </w:r>
          </w:p>
        </w:tc>
        <w:tc>
          <w:tcPr>
            <w:tcW w:type="dxa" w:w="2160"/>
            <w:shd w:fill="EDF3F8"/>
          </w:tcPr>
          <w:p>
            <w:r>
              <w:rPr>
                <w:sz w:val="18"/>
              </w:rPr>
              <w:t>Motor de homologación con Power BI</w:t>
            </w:r>
          </w:p>
        </w:tc>
        <w:tc>
          <w:tcPr>
            <w:tcW w:type="dxa" w:w="6336"/>
            <w:shd w:fill="EDF3F8"/>
          </w:tcPr>
          <w:p>
            <w:r>
              <w:rPr>
                <w:sz w:val="18"/>
              </w:rPr>
              <w:t>Réplica de las reglas de negocio de los dashboards fuente (Productividad CMV – Sedes, Operaciones y Gestión Clínica, Indicadores Digiturno, Tiempos Interacciones Cajas, Adherencia Terapéutica, Estadísticas Ventas Diarias, Control Venta Empaquetados), aplicadas en streaming para que la torre de control concilie con la reportería oficial.</w:t>
            </w:r>
          </w:p>
        </w:tc>
        <w:tc>
          <w:tcPr>
            <w:tcW w:type="dxa" w:w="1080"/>
            <w:shd w:fill="EDF3F8"/>
          </w:tcPr>
          <w:p>
            <w:r>
              <w:rPr>
                <w:sz w:val="18"/>
              </w:rPr>
              <w:t>Backend</w:t>
            </w:r>
          </w:p>
        </w:tc>
      </w:tr>
      <w:tr>
        <w:tc>
          <w:tcPr>
            <w:tcW w:type="dxa" w:w="504"/>
          </w:tcPr>
          <w:p>
            <w:r>
              <w:rPr>
                <w:sz w:val="18"/>
              </w:rPr>
              <w:t>3</w:t>
            </w:r>
          </w:p>
        </w:tc>
        <w:tc>
          <w:tcPr>
            <w:tcW w:type="dxa" w:w="2160"/>
          </w:tcPr>
          <w:p>
            <w:r>
              <w:rPr>
                <w:sz w:val="18"/>
              </w:rPr>
              <w:t>Gestión de KPIs y estructura organizacional</w:t>
            </w:r>
          </w:p>
        </w:tc>
        <w:tc>
          <w:tcPr>
            <w:tcW w:type="dxa" w:w="6336"/>
          </w:tcPr>
          <w:p>
            <w:r>
              <w:rPr>
                <w:sz w:val="18"/>
              </w:rPr>
              <w:t>Diccionario de los 13 indicadores (fórmulas, metas, frecuencias, umbrales verde/amarillo/rojo) administrable sin desarrollo; jerarquía colaborador → central → red; control de acceso por rol (RBAC).</w:t>
            </w:r>
          </w:p>
        </w:tc>
        <w:tc>
          <w:tcPr>
            <w:tcW w:type="dxa" w:w="1080"/>
          </w:tcPr>
          <w:p>
            <w:r>
              <w:rPr>
                <w:sz w:val="18"/>
              </w:rPr>
              <w:t>Backend</w:t>
            </w:r>
          </w:p>
        </w:tc>
      </w:tr>
      <w:tr>
        <w:tc>
          <w:tcPr>
            <w:tcW w:type="dxa" w:w="504"/>
            <w:shd w:fill="EDF3F8"/>
          </w:tcPr>
          <w:p>
            <w:r>
              <w:rPr>
                <w:sz w:val="18"/>
              </w:rPr>
              <w:t>4</w:t>
            </w:r>
          </w:p>
        </w:tc>
        <w:tc>
          <w:tcPr>
            <w:tcW w:type="dxa" w:w="2160"/>
            <w:shd w:fill="EDF3F8"/>
          </w:tcPr>
          <w:p>
            <w:r>
              <w:rPr>
                <w:sz w:val="18"/>
              </w:rPr>
              <w:t>Torre de control multirol</w:t>
            </w:r>
          </w:p>
        </w:tc>
        <w:tc>
          <w:tcPr>
            <w:tcW w:type="dxa" w:w="6336"/>
            <w:shd w:fill="EDF3F8"/>
          </w:tcPr>
          <w:p>
            <w:r>
              <w:rPr>
                <w:sz w:val="18"/>
              </w:rPr>
              <w:t>Dashboards en tiempo real para Médico/Cajero (pulso individual), Jefe y Líder de central (equipo minuto a minuto, mapas de calor) y Gerencia Nacional (consolidado por central con drill-down).</w:t>
            </w:r>
          </w:p>
        </w:tc>
        <w:tc>
          <w:tcPr>
            <w:tcW w:type="dxa" w:w="1080"/>
            <w:shd w:fill="EDF3F8"/>
          </w:tcPr>
          <w:p>
            <w:r>
              <w:rPr>
                <w:sz w:val="18"/>
              </w:rPr>
              <w:t>Frontend</w:t>
            </w:r>
          </w:p>
        </w:tc>
      </w:tr>
      <w:tr>
        <w:tc>
          <w:tcPr>
            <w:tcW w:type="dxa" w:w="504"/>
          </w:tcPr>
          <w:p>
            <w:r>
              <w:rPr>
                <w:sz w:val="18"/>
              </w:rPr>
              <w:t>5</w:t>
            </w:r>
          </w:p>
        </w:tc>
        <w:tc>
          <w:tcPr>
            <w:tcW w:type="dxa" w:w="2160"/>
          </w:tcPr>
          <w:p>
            <w:r>
              <w:rPr>
                <w:sz w:val="18"/>
              </w:rPr>
              <w:t>Motor de semaforización y alertas</w:t>
            </w:r>
          </w:p>
        </w:tc>
        <w:tc>
          <w:tcPr>
            <w:tcW w:type="dxa" w:w="6336"/>
          </w:tcPr>
          <w:p>
            <w:r>
              <w:rPr>
                <w:sz w:val="18"/>
              </w:rPr>
              <w:t>Evaluación continua de cada indicador contra sus umbrales por franja horaria; generación de pop-ups al colaborador y alertas de escalamiento al Jefe y Líder según la cadena configurada.</w:t>
            </w:r>
          </w:p>
        </w:tc>
        <w:tc>
          <w:tcPr>
            <w:tcW w:type="dxa" w:w="1080"/>
          </w:tcPr>
          <w:p>
            <w:r>
              <w:rPr>
                <w:sz w:val="18"/>
              </w:rPr>
              <w:t>Backend</w:t>
            </w:r>
          </w:p>
        </w:tc>
      </w:tr>
      <w:tr>
        <w:tc>
          <w:tcPr>
            <w:tcW w:type="dxa" w:w="504"/>
            <w:shd w:fill="EDF3F8"/>
          </w:tcPr>
          <w:p>
            <w:r>
              <w:rPr>
                <w:sz w:val="18"/>
              </w:rPr>
              <w:t>6</w:t>
            </w:r>
          </w:p>
        </w:tc>
        <w:tc>
          <w:tcPr>
            <w:tcW w:type="dxa" w:w="2160"/>
            <w:shd w:fill="EDF3F8"/>
          </w:tcPr>
          <w:p>
            <w:r>
              <w:rPr>
                <w:sz w:val="18"/>
              </w:rPr>
              <w:t>Coach Virtual IA</w:t>
            </w:r>
          </w:p>
        </w:tc>
        <w:tc>
          <w:tcPr>
            <w:tcW w:type="dxa" w:w="6336"/>
            <w:shd w:fill="EDF3F8"/>
          </w:tcPr>
          <w:p>
            <w:r>
              <w:rPr>
                <w:sz w:val="18"/>
              </w:rPr>
              <w:t>Recomendaciones comparativas tipo Amazon con referentes Gold Standard, análisis de brechas en lenguaje natural, reporte de fin de turno con monto aportado y monto no captado, y asistente conversacional.</w:t>
            </w:r>
          </w:p>
        </w:tc>
        <w:tc>
          <w:tcPr>
            <w:tcW w:type="dxa" w:w="1080"/>
            <w:shd w:fill="EDF3F8"/>
          </w:tcPr>
          <w:p>
            <w:r>
              <w:rPr>
                <w:sz w:val="18"/>
              </w:rPr>
              <w:t>IA</w:t>
            </w:r>
          </w:p>
        </w:tc>
      </w:tr>
      <w:tr>
        <w:tc>
          <w:tcPr>
            <w:tcW w:type="dxa" w:w="504"/>
          </w:tcPr>
          <w:p>
            <w:r>
              <w:rPr>
                <w:sz w:val="18"/>
              </w:rPr>
              <w:t>7</w:t>
            </w:r>
          </w:p>
        </w:tc>
        <w:tc>
          <w:tcPr>
            <w:tcW w:type="dxa" w:w="2160"/>
          </w:tcPr>
          <w:p>
            <w:r>
              <w:rPr>
                <w:sz w:val="18"/>
              </w:rPr>
              <w:t>Analítica predictiva embebida</w:t>
            </w:r>
          </w:p>
        </w:tc>
        <w:tc>
          <w:tcPr>
            <w:tcW w:type="dxa" w:w="6336"/>
          </w:tcPr>
          <w:p>
            <w:r>
              <w:rPr>
                <w:sz w:val="18"/>
              </w:rPr>
              <w:t>Modelos locales de control estadístico y aprendizaje supervisado que detectan anomalías y anticipan el incumplimiento de la meta antes del cierre del turno, sin consumo de servicios generativos.</w:t>
            </w:r>
          </w:p>
        </w:tc>
        <w:tc>
          <w:tcPr>
            <w:tcW w:type="dxa" w:w="1080"/>
          </w:tcPr>
          <w:p>
            <w:r>
              <w:rPr>
                <w:sz w:val="18"/>
              </w:rPr>
              <w:t>IA</w:t>
            </w:r>
          </w:p>
        </w:tc>
      </w:tr>
      <w:tr>
        <w:tc>
          <w:tcPr>
            <w:tcW w:type="dxa" w:w="504"/>
            <w:shd w:fill="EDF3F8"/>
          </w:tcPr>
          <w:p>
            <w:r>
              <w:rPr>
                <w:sz w:val="18"/>
              </w:rPr>
              <w:t>8</w:t>
            </w:r>
          </w:p>
        </w:tc>
        <w:tc>
          <w:tcPr>
            <w:tcW w:type="dxa" w:w="2160"/>
            <w:shd w:fill="EDF3F8"/>
          </w:tcPr>
          <w:p>
            <w:r>
              <w:rPr>
                <w:sz w:val="18"/>
              </w:rPr>
              <w:t>Notificaciones inteligentes</w:t>
            </w:r>
          </w:p>
        </w:tc>
        <w:tc>
          <w:tcPr>
            <w:tcW w:type="dxa" w:w="6336"/>
            <w:shd w:fill="EDF3F8"/>
          </w:tcPr>
          <w:p>
            <w:r>
              <w:rPr>
                <w:sz w:val="18"/>
              </w:rPr>
              <w:t>Alertas por correo y en plataforma cuando un KPI cae bajo el umbral, con cuerpo redactado por IA: estado del indicador, desviación cuantificada y acción sugerida.</w:t>
            </w:r>
          </w:p>
        </w:tc>
        <w:tc>
          <w:tcPr>
            <w:tcW w:type="dxa" w:w="1080"/>
            <w:shd w:fill="EDF3F8"/>
          </w:tcPr>
          <w:p>
            <w:r>
              <w:rPr>
                <w:sz w:val="18"/>
              </w:rPr>
              <w:t>IA</w:t>
            </w:r>
          </w:p>
        </w:tc>
      </w:tr>
      <w:tr>
        <w:tc>
          <w:tcPr>
            <w:tcW w:type="dxa" w:w="504"/>
          </w:tcPr>
          <w:p>
            <w:r>
              <w:rPr>
                <w:sz w:val="18"/>
              </w:rPr>
              <w:t>9</w:t>
            </w:r>
          </w:p>
        </w:tc>
        <w:tc>
          <w:tcPr>
            <w:tcW w:type="dxa" w:w="2160"/>
          </w:tcPr>
          <w:p>
            <w:r>
              <w:rPr>
                <w:sz w:val="18"/>
              </w:rPr>
              <w:t>Reportería y cierre del día</w:t>
            </w:r>
          </w:p>
        </w:tc>
        <w:tc>
          <w:tcPr>
            <w:tcW w:type="dxa" w:w="6336"/>
          </w:tcPr>
          <w:p>
            <w:r>
              <w:rPr>
                <w:sz w:val="18"/>
              </w:rPr>
              <w:t>Tendencias históricas, ranking de cumplimiento, detalle de desviaciones, resumen ejecutivo diario consolidado para la Gerencia Nacional y exportador profesional (PDF + Excel).</w:t>
            </w:r>
          </w:p>
        </w:tc>
        <w:tc>
          <w:tcPr>
            <w:tcW w:type="dxa" w:w="1080"/>
          </w:tcPr>
          <w:p>
            <w:r>
              <w:rPr>
                <w:sz w:val="18"/>
              </w:rPr>
              <w:t>Backend</w:t>
            </w:r>
          </w:p>
        </w:tc>
      </w:tr>
    </w:tbl>
    <w:p/>
    <w:p>
      <w:pPr>
        <w:pStyle w:val="Heading1"/>
      </w:pPr>
      <w:r>
        <w:rPr>
          <w:color w:val="123A5C"/>
        </w:rPr>
        <w:t>7. Arquitectura de la solución</w:t>
      </w:r>
    </w:p>
    <w:p>
      <w:r>
        <w:rPr>
          <w:i w:val="0"/>
        </w:rPr>
        <w:t>La solución se organiza en cinco bloques desacoplados dentro de la cuenta AWS de VERIS, más una capa transversal de seguridad y observabilidad. SEMPITECNO configura la arquitectura completa —conectores, motor de homologación, núcleo de indicadores, agente de IA con sus Knowledge Bases, funciones Lambda, API Gateway, almacenamiento y monitoreo— y desarrolla los prompts y flujos. Los costos de consumo de AWS y de Bedrock los paga VERIS directamente a Amazon, sin intermediarios.</w:t>
      </w:r>
    </w:p>
    <w:p>
      <w:pPr>
        <w:pStyle w:val="Heading2"/>
      </w:pPr>
      <w:r>
        <w:rPr>
          <w:color w:val="123A5C"/>
        </w:rPr>
        <w:t>7.1 Enfoque serverless-first</w:t>
      </w:r>
    </w:p>
    <w:p>
      <w:r>
        <w:rPr>
          <w:i w:val="0"/>
        </w:rPr>
        <w:t>La arquitectura está diseñada bajo un principio serverless-first: todos los componentes de la plataforma que lo permiten se implementan sobre servicios administrados de AWS que escalan automáticamente con la demanda y se facturan por consumo, no por servidores encendidos. En la práctica esto significa que el corazón de la aplicación —las APIs, la lógica de negocio, el motor de semaforización, los servicios de inteligencia artificial, las notificaciones y el portal web— no requiere aprovisionar, parchar ni administrar servidor alguno.</w:t>
      </w:r>
    </w:p>
    <w:p>
      <w:r>
        <w:rPr>
          <w:i w:val="0"/>
        </w:rPr>
        <w:t>Este enfoque aporta ventajas concretas para la operación de VERIS:</w:t>
      </w:r>
    </w:p>
    <w:p>
      <w:pPr>
        <w:pStyle w:val="ListBullet"/>
      </w:pPr>
      <w:r>
        <w:rPr>
          <w:b/>
        </w:rPr>
        <w:t xml:space="preserve">Costo proporcional al uso. </w:t>
      </w:r>
      <w:r>
        <w:t>El gasto de nube acompaña el horario de operación de las centrales médicas: durante la jornada la plataforma escala para atender a todos los roles en simultáneo, y en horas de cierre el consumo cae prácticamente a cero. No se paga capacidad ociosa de madrugada ni los fines de semana de baja actividad.</w:t>
      </w:r>
    </w:p>
    <w:p>
      <w:pPr>
        <w:pStyle w:val="ListBullet"/>
      </w:pPr>
      <w:r>
        <w:rPr>
          <w:b/>
        </w:rPr>
        <w:t xml:space="preserve">Escalamiento automático ante picos. </w:t>
      </w:r>
      <w:r>
        <w:t>Las franjas horarias de mayor afluencia (aperturas, mediodía) generan ráfagas de eventos desde el transaccional; Lambda, DynamoDB en modo on-demand y Kinesis on-demand absorben esos picos sin intervención manual y sin necesidad de sobredimensionar infraestructura para el peor caso.</w:t>
      </w:r>
    </w:p>
    <w:p>
      <w:pPr>
        <w:pStyle w:val="ListBullet"/>
      </w:pPr>
      <w:r>
        <w:rPr>
          <w:b/>
        </w:rPr>
        <w:t xml:space="preserve">Menor carga operativa para el equipo de TI de VERIS. </w:t>
      </w:r>
      <w:r>
        <w:t>Al no existir servidores que administrar, no hay parchado de sistemas operativos, gestión de capacidad ni ventanas de mantenimiento de infraestructura: AWS administra la plataforma subyacente y el equipo de VERIS se concentra en el negocio.</w:t>
      </w:r>
    </w:p>
    <w:p>
      <w:pPr>
        <w:pStyle w:val="ListBullet"/>
      </w:pPr>
      <w:r>
        <w:rPr>
          <w:b/>
        </w:rPr>
        <w:t xml:space="preserve">Alta disponibilidad incluida. </w:t>
      </w:r>
      <w:r>
        <w:t>Los servicios administrados operan sobre múltiples zonas de disponibilidad de forma nativa, sin configuraciones adicionales de contingencia.</w:t>
      </w:r>
    </w:p>
    <w:p>
      <w:r>
        <w:rPr>
          <w:i w:val="0"/>
        </w:rPr>
        <w:t>La única excepción estructural a este principio es el enlace de datos en vivo: la captura de cambios (CDC) sobre el transaccional requiere un componente de escucha continua durante la ventana de operación, que constituye el único costo de nube de naturaleza fija. Es precisamente el componente que diferencia una torre de control en tiempo real de un tablero a día vencido, y su dimensionamiento se optimiza en el levantamiento técnico (evaluando AWS DMS clásico frente a DMS Serverless según el volumen transaccional observado). El resultado es un modelo de costos de nube transparente y predecible: un componente fijo acotado y todo lo demás proporcional al uso real.</w:t>
      </w:r>
    </w:p>
    <w:p>
      <w:pPr>
        <w:jc w:val="center"/>
      </w:pPr>
      <w:r>
        <w:drawing>
          <wp:inline xmlns:a="http://schemas.openxmlformats.org/drawingml/2006/main" xmlns:pic="http://schemas.openxmlformats.org/drawingml/2006/picture">
            <wp:extent cx="6309360" cy="3659870"/>
            <wp:docPr id="1" name="Picture 1"/>
            <wp:cNvGraphicFramePr>
              <a:graphicFrameLocks noChangeAspect="1"/>
            </wp:cNvGraphicFramePr>
            <a:graphic>
              <a:graphicData uri="http://schemas.openxmlformats.org/drawingml/2006/picture">
                <pic:pic>
                  <pic:nvPicPr>
                    <pic:cNvPr id="0" name="arquitectura_v2.png"/>
                    <pic:cNvPicPr/>
                  </pic:nvPicPr>
                  <pic:blipFill>
                    <a:blip r:embed="rId9"/>
                    <a:stretch>
                      <a:fillRect/>
                    </a:stretch>
                  </pic:blipFill>
                  <pic:spPr>
                    <a:xfrm>
                      <a:off x="0" y="0"/>
                      <a:ext cx="6309360" cy="3659870"/>
                    </a:xfrm>
                    <a:prstGeom prst="rect"/>
                  </pic:spPr>
                </pic:pic>
              </a:graphicData>
            </a:graphic>
          </wp:inline>
        </w:drawing>
      </w:r>
    </w:p>
    <w:p>
      <w:pPr>
        <w:jc w:val="center"/>
      </w:pPr>
      <w:r>
        <w:rPr>
          <w:i/>
          <w:sz w:val="18"/>
        </w:rPr>
        <w:t>Figura 1 — Vista de arquitectura de la torre de control en la cuenta AWS de VERIS</w:t>
      </w:r>
    </w:p>
    <w:p/>
    <w:p>
      <w:pPr>
        <w:pStyle w:val="Heading2"/>
      </w:pPr>
      <w:r>
        <w:rPr>
          <w:color w:val="123A5C"/>
        </w:rPr>
        <w:t>7.2 Descripción de los bloques</w:t>
      </w:r>
    </w:p>
    <w:p>
      <w:pPr>
        <w:pStyle w:val="ListBullet"/>
      </w:pPr>
      <w:r>
        <w:rPr>
          <w:b/>
        </w:rPr>
        <w:t xml:space="preserve">Fuentes de información. </w:t>
      </w:r>
      <w:r>
        <w:t>Phantom X (transaccional clínico y de facturación), Digiturno y kioscos de autogestión, los dashboards de Power BI como fuente de las reglas de negocio, y fuentes complementarias (IPN, presupuesto diario, agenda médica). La plataforma lee de estas fuentes sin intervenirlas.</w:t>
      </w:r>
    </w:p>
    <w:p>
      <w:pPr>
        <w:pStyle w:val="ListBullet"/>
      </w:pPr>
      <w:r>
        <w:rPr>
          <w:b/>
        </w:rPr>
        <w:t xml:space="preserve">Sincronización y homologación. </w:t>
      </w:r>
      <w:r>
        <w:t>Captura de cambios con AWS DMS y transporte en streaming con Kinesis en modo on-demand; motor de homologación que aplica las reglas del Power BI en vivo; almacén operacional en DynamoDB on-demand con histórico en S3. Si el consolidado gerencial demandara agregaciones SQL complejas, se incorpora Aurora Serverless v2, que escala su capacidad automáticamente manteniendo el principio de pago por consumo.</w:t>
      </w:r>
    </w:p>
    <w:p>
      <w:pPr>
        <w:pStyle w:val="ListBullet"/>
      </w:pPr>
      <w:r>
        <w:rPr>
          <w:b/>
        </w:rPr>
        <w:t xml:space="preserve">Núcleo de la torre de control. </w:t>
      </w:r>
      <w:r>
        <w:t>Motor de cálculo de los 13 indicadores por franja horaria, cargo y central; semaforización con umbrales configurables; motor de alertas con escalamiento Colaborador → Jefe y Líder → Gerencia Nacional; diccionario de KPIs con jerarquía organizacional y RBAC.</w:t>
      </w:r>
    </w:p>
    <w:p>
      <w:pPr>
        <w:pStyle w:val="ListBullet"/>
      </w:pPr>
      <w:r>
        <w:rPr>
          <w:b/>
        </w:rPr>
        <w:t xml:space="preserve">Servicios de inteligencia artificial. </w:t>
      </w:r>
      <w:r>
        <w:t>Avisos y pop-ups semaforizados, recomendaciones comparativas con referentes, reporte de fin de turno con monto aportado y no captado, y Coach Virtual sobre Amazon Bedrock con Knowledge Bases por cargo.</w:t>
      </w:r>
    </w:p>
    <w:p>
      <w:pPr>
        <w:pStyle w:val="ListBullet"/>
      </w:pPr>
      <w:r>
        <w:rPr>
          <w:b/>
        </w:rPr>
        <w:t xml:space="preserve">Torre de control multirol. </w:t>
      </w:r>
      <w:r>
        <w:t>Portal web responsivo (Amplify/CloudFront) con las tres vistas: Médicos y Cajeros, Jefes y Líderes de central, y Gerencia Nacional de Operaciones.</w:t>
      </w:r>
    </w:p>
    <w:p>
      <w:pPr>
        <w:pStyle w:val="ListBullet"/>
      </w:pPr>
      <w:r>
        <w:rPr>
          <w:b/>
        </w:rPr>
        <w:t xml:space="preserve">Capa transversal. </w:t>
      </w:r>
      <w:r>
        <w:t>Autenticación y control de acceso por rol con Amazon Cognito e IAM, cifrado en tránsito y en reposo, y monitoreo y auditoría con CloudWatch. El tratamiento de datos clínicos sensibles se valida en el levantamiento técnico junto con el área de seguridad de la información de VERIS.</w:t>
      </w:r>
    </w:p>
    <w:p>
      <w:pPr>
        <w:pStyle w:val="Heading2"/>
      </w:pPr>
      <w:r>
        <w:rPr>
          <w:color w:val="123A5C"/>
        </w:rPr>
        <w:t>7.3 Recorrido del dato por los servicios de AWS</w:t>
      </w:r>
    </w:p>
    <w:p>
      <w:r>
        <w:rPr>
          <w:i w:val="0"/>
        </w:rPr>
        <w:t>La siguiente figura ilustra, con los servicios concretos de AWS, el recorrido completo de un dato desde que se genera en el transaccional hasta que llega a cada rol de la torre de control:</w:t>
      </w:r>
    </w:p>
    <w:p>
      <w:pPr>
        <w:pStyle w:val="ListBullet"/>
      </w:pPr>
      <w:r>
        <w:rPr>
          <w:b/>
        </w:rPr>
        <w:t xml:space="preserve">AWS DMS </w:t>
      </w:r>
      <w:r>
        <w:t>se conecta en modo de solo lectura al log de transacciones de Phantom X y captura cada cambio confirmado (técnica CDC), sin ejecutar consultas contra las tablas operativas y, por tanto, sin competir con la operación de cajas y consultorios.</w:t>
      </w:r>
    </w:p>
    <w:p>
      <w:pPr>
        <w:pStyle w:val="ListBullet"/>
      </w:pPr>
      <w:r>
        <w:rPr>
          <w:b/>
        </w:rPr>
        <w:t xml:space="preserve">Amazon Kinesis </w:t>
      </w:r>
      <w:r>
        <w:t>transporta esos eventos de cambio en streaming, en modo on-demand, hacia la capa de procesamiento con una latencia de segundos.</w:t>
      </w:r>
    </w:p>
    <w:p>
      <w:pPr>
        <w:pStyle w:val="ListBullet"/>
      </w:pPr>
      <w:r>
        <w:rPr>
          <w:b/>
        </w:rPr>
        <w:t xml:space="preserve">AWS Lambda </w:t>
      </w:r>
      <w:r>
        <w:t>aplica las reglas de negocio homologadas con el Power BI, recalcula el indicador afectado y determina su semaforización; si un umbral se cruza, dispara el flujo de alertas.</w:t>
      </w:r>
    </w:p>
    <w:p>
      <w:pPr>
        <w:pStyle w:val="ListBullet"/>
      </w:pPr>
      <w:r>
        <w:rPr>
          <w:b/>
        </w:rPr>
        <w:t xml:space="preserve">Amazon DynamoDB y S3 </w:t>
      </w:r>
      <w:r>
        <w:t>conservan el estado operacional de los indicadores y el histórico, respectivamente. Los dashboards y la IA trabajan siempre contra esta copia: el transaccional de VERIS nunca recibe carga de la aplicación.</w:t>
      </w:r>
    </w:p>
    <w:p>
      <w:pPr>
        <w:pStyle w:val="ListBullet"/>
      </w:pPr>
      <w:r>
        <w:rPr>
          <w:b/>
        </w:rPr>
        <w:t xml:space="preserve">Amazon Bedrock </w:t>
      </w:r>
      <w:r>
        <w:t>se invoca bajo demanda para redactar en lenguaje natural las recomendaciones comparativas, los insights y las respuestas del coach virtual, pagando solo por los tokens consumidos.</w:t>
      </w:r>
    </w:p>
    <w:p>
      <w:pPr>
        <w:pStyle w:val="ListBullet"/>
      </w:pPr>
      <w:r>
        <w:rPr>
          <w:b/>
        </w:rPr>
        <w:t xml:space="preserve">EventBridge y Amazon SES </w:t>
      </w:r>
      <w:r>
        <w:t>programan y despachan las notificaciones y correos semaforizados hacia los responsables.</w:t>
      </w:r>
    </w:p>
    <w:p>
      <w:pPr>
        <w:pStyle w:val="ListBullet"/>
      </w:pPr>
      <w:r>
        <w:rPr>
          <w:b/>
        </w:rPr>
        <w:t xml:space="preserve">API Gateway, Cognito y Amplify/CloudFront </w:t>
      </w:r>
      <w:r>
        <w:t>exponen las APIs, validan la identidad y el rol de cada usuario, y sirven el portal web multirol.</w:t>
      </w:r>
    </w:p>
    <w:p>
      <w:pPr>
        <w:pStyle w:val="ListBullet"/>
      </w:pPr>
      <w:r>
        <w:rPr>
          <w:b/>
        </w:rPr>
        <w:t xml:space="preserve">Amazon CloudWatch </w:t>
      </w:r>
      <w:r>
        <w:t>monitorea y audita el funcionamiento de toda la cadena.</w:t>
      </w:r>
    </w:p>
    <w:p>
      <w:pPr>
        <w:jc w:val="center"/>
      </w:pPr>
      <w:r>
        <w:drawing>
          <wp:inline xmlns:a="http://schemas.openxmlformats.org/drawingml/2006/main" xmlns:pic="http://schemas.openxmlformats.org/drawingml/2006/picture">
            <wp:extent cx="6126480" cy="5039802"/>
            <wp:docPr id="2" name="Picture 2"/>
            <wp:cNvGraphicFramePr>
              <a:graphicFrameLocks noChangeAspect="1"/>
            </wp:cNvGraphicFramePr>
            <a:graphic>
              <a:graphicData uri="http://schemas.openxmlformats.org/drawingml/2006/picture">
                <pic:pic>
                  <pic:nvPicPr>
                    <pic:cNvPr id="0" name="aws_servicios.png"/>
                    <pic:cNvPicPr/>
                  </pic:nvPicPr>
                  <pic:blipFill>
                    <a:blip r:embed="rId10"/>
                    <a:stretch>
                      <a:fillRect/>
                    </a:stretch>
                  </pic:blipFill>
                  <pic:spPr>
                    <a:xfrm>
                      <a:off x="0" y="0"/>
                      <a:ext cx="6126480" cy="5039802"/>
                    </a:xfrm>
                    <a:prstGeom prst="rect"/>
                  </pic:spPr>
                </pic:pic>
              </a:graphicData>
            </a:graphic>
          </wp:inline>
        </w:drawing>
      </w:r>
    </w:p>
    <w:p>
      <w:pPr>
        <w:jc w:val="center"/>
      </w:pPr>
      <w:r>
        <w:rPr>
          <w:i/>
          <w:sz w:val="18"/>
        </w:rPr>
        <w:t>Figura 2 — Recorrido del dato por los servicios de AWS, desde el transaccional hasta cada rol de la torre de control</w:t>
      </w:r>
    </w:p>
    <w:p/>
    <w:p>
      <w:pPr>
        <w:pStyle w:val="Heading2"/>
      </w:pPr>
      <w:r>
        <w:rPr>
          <w:color w:val="123A5C"/>
        </w:rPr>
        <w:t>7.4 Componentes AWS y modelo de facturación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23A5C"/>
          </w:tcPr>
          <w:p>
            <w:r>
              <w:rPr>
                <w:b/>
                <w:color w:val="FFFFFF"/>
                <w:sz w:val="17"/>
              </w:rPr>
              <w:t>COMPONENTE AWS</w:t>
            </w:r>
          </w:p>
        </w:tc>
        <w:tc>
          <w:tcPr>
            <w:tcW w:type="dxa" w:w="4752"/>
            <w:shd w:fill="123A5C"/>
          </w:tcPr>
          <w:p>
            <w:r>
              <w:rPr>
                <w:b/>
                <w:color w:val="FFFFFF"/>
                <w:sz w:val="17"/>
              </w:rPr>
              <w:t>FUNCIÓN EN LA PLATAFORMA</w:t>
            </w:r>
          </w:p>
        </w:tc>
        <w:tc>
          <w:tcPr>
            <w:tcW w:type="dxa" w:w="2880"/>
            <w:shd w:fill="123A5C"/>
          </w:tcPr>
          <w:p>
            <w:r>
              <w:rPr>
                <w:b/>
                <w:color w:val="FFFFFF"/>
                <w:sz w:val="17"/>
              </w:rPr>
              <w:t>MODELO DE COSTO</w:t>
            </w:r>
          </w:p>
        </w:tc>
      </w:tr>
      <w:tr>
        <w:tc>
          <w:tcPr>
            <w:tcW w:type="dxa" w:w="2448"/>
          </w:tcPr>
          <w:p>
            <w:r>
              <w:rPr>
                <w:sz w:val="17"/>
              </w:rPr>
              <w:t>Amazon Bedrock — Agente IA</w:t>
            </w:r>
          </w:p>
        </w:tc>
        <w:tc>
          <w:tcPr>
            <w:tcW w:type="dxa" w:w="4752"/>
          </w:tcPr>
          <w:p>
            <w:r>
              <w:rPr>
                <w:sz w:val="17"/>
              </w:rPr>
              <w:t>Motor del Coach Virtual: recomendaciones comparativas, insights y reportes de fin de turno en lenguaje natural.</w:t>
            </w:r>
          </w:p>
        </w:tc>
        <w:tc>
          <w:tcPr>
            <w:tcW w:type="dxa" w:w="2880"/>
          </w:tcPr>
          <w:p>
            <w:r>
              <w:rPr>
                <w:sz w:val="17"/>
              </w:rPr>
              <w:t>Serverless — pago por tokens consumidos</w:t>
            </w:r>
          </w:p>
        </w:tc>
      </w:tr>
      <w:tr>
        <w:tc>
          <w:tcPr>
            <w:tcW w:type="dxa" w:w="2448"/>
            <w:shd w:fill="EDF3F8"/>
          </w:tcPr>
          <w:p>
            <w:r>
              <w:rPr>
                <w:sz w:val="17"/>
              </w:rPr>
              <w:t>Knowledge Bases</w:t>
            </w:r>
          </w:p>
        </w:tc>
        <w:tc>
          <w:tcPr>
            <w:tcW w:type="dxa" w:w="4752"/>
            <w:shd w:fill="EDF3F8"/>
          </w:tcPr>
          <w:p>
            <w:r>
              <w:rPr>
                <w:sz w:val="17"/>
              </w:rPr>
              <w:t>Base de conocimiento con las reglas, metas y contexto de cada cargo (Médico, Cajero, Dependiente de Farmacia).</w:t>
            </w:r>
          </w:p>
        </w:tc>
        <w:tc>
          <w:tcPr>
            <w:tcW w:type="dxa" w:w="2880"/>
            <w:shd w:fill="EDF3F8"/>
          </w:tcPr>
          <w:p>
            <w:r>
              <w:rPr>
                <w:sz w:val="17"/>
              </w:rPr>
              <w:t>Serverless — pago por consulta</w:t>
            </w:r>
          </w:p>
        </w:tc>
      </w:tr>
      <w:tr>
        <w:tc>
          <w:tcPr>
            <w:tcW w:type="dxa" w:w="2448"/>
          </w:tcPr>
          <w:p>
            <w:r>
              <w:rPr>
                <w:sz w:val="17"/>
              </w:rPr>
              <w:t>AWS DMS</w:t>
            </w:r>
          </w:p>
        </w:tc>
        <w:tc>
          <w:tcPr>
            <w:tcW w:type="dxa" w:w="4752"/>
          </w:tcPr>
          <w:p>
            <w:r>
              <w:rPr>
                <w:sz w:val="17"/>
              </w:rPr>
              <w:t>Captura de cambios (CDC) desde Phantom X y demás fuentes, sin impacto en el transaccional.</w:t>
            </w:r>
          </w:p>
        </w:tc>
        <w:tc>
          <w:tcPr>
            <w:tcW w:type="dxa" w:w="2880"/>
          </w:tcPr>
          <w:p>
            <w:r>
              <w:rPr>
                <w:sz w:val="17"/>
              </w:rPr>
              <w:t>Componente de escucha continua — costo fijo acotado; se evalúa DMS Serverless en el levantamiento</w:t>
            </w:r>
          </w:p>
        </w:tc>
      </w:tr>
      <w:tr>
        <w:tc>
          <w:tcPr>
            <w:tcW w:type="dxa" w:w="2448"/>
            <w:shd w:fill="EDF3F8"/>
          </w:tcPr>
          <w:p>
            <w:r>
              <w:rPr>
                <w:sz w:val="17"/>
              </w:rPr>
              <w:t>Amazon Kinesis (on-demand)</w:t>
            </w:r>
          </w:p>
        </w:tc>
        <w:tc>
          <w:tcPr>
            <w:tcW w:type="dxa" w:w="4752"/>
            <w:shd w:fill="EDF3F8"/>
          </w:tcPr>
          <w:p>
            <w:r>
              <w:rPr>
                <w:sz w:val="17"/>
              </w:rPr>
              <w:t>Transporte en streaming de los eventos capturados hacia el motor de cálculo.</w:t>
            </w:r>
          </w:p>
        </w:tc>
        <w:tc>
          <w:tcPr>
            <w:tcW w:type="dxa" w:w="2880"/>
            <w:shd w:fill="EDF3F8"/>
          </w:tcPr>
          <w:p>
            <w:r>
              <w:rPr>
                <w:sz w:val="17"/>
              </w:rPr>
              <w:t>Serverless — pago por datos transportados</w:t>
            </w:r>
          </w:p>
        </w:tc>
      </w:tr>
      <w:tr>
        <w:tc>
          <w:tcPr>
            <w:tcW w:type="dxa" w:w="2448"/>
          </w:tcPr>
          <w:p>
            <w:r>
              <w:rPr>
                <w:sz w:val="17"/>
              </w:rPr>
              <w:t>AWS Lambda + API Gateway</w:t>
            </w:r>
          </w:p>
        </w:tc>
        <w:tc>
          <w:tcPr>
            <w:tcW w:type="dxa" w:w="4752"/>
          </w:tcPr>
          <w:p>
            <w:r>
              <w:rPr>
                <w:sz w:val="17"/>
              </w:rPr>
              <w:t>Orquestación de la lógica de negocio, del motor de semaforización y de las llamadas entre el portal y el agente de IA.</w:t>
            </w:r>
          </w:p>
        </w:tc>
        <w:tc>
          <w:tcPr>
            <w:tcW w:type="dxa" w:w="2880"/>
          </w:tcPr>
          <w:p>
            <w:r>
              <w:rPr>
                <w:sz w:val="17"/>
              </w:rPr>
              <w:t>Serverless — pago por invocación</w:t>
            </w:r>
          </w:p>
        </w:tc>
      </w:tr>
      <w:tr>
        <w:tc>
          <w:tcPr>
            <w:tcW w:type="dxa" w:w="2448"/>
            <w:shd w:fill="EDF3F8"/>
          </w:tcPr>
          <w:p>
            <w:r>
              <w:rPr>
                <w:sz w:val="17"/>
              </w:rPr>
              <w:t>Amazon DynamoDB (on-demand)</w:t>
            </w:r>
          </w:p>
        </w:tc>
        <w:tc>
          <w:tcPr>
            <w:tcW w:type="dxa" w:w="4752"/>
            <w:shd w:fill="EDF3F8"/>
          </w:tcPr>
          <w:p>
            <w:r>
              <w:rPr>
                <w:sz w:val="17"/>
              </w:rPr>
              <w:t>Almacén operacional: indicadores por franja horaria, sesiones, configuración de cargos e histórico de mensajes.</w:t>
            </w:r>
          </w:p>
        </w:tc>
        <w:tc>
          <w:tcPr>
            <w:tcW w:type="dxa" w:w="2880"/>
            <w:shd w:fill="EDF3F8"/>
          </w:tcPr>
          <w:p>
            <w:r>
              <w:rPr>
                <w:sz w:val="17"/>
              </w:rPr>
              <w:t>Serverless — pago por lectura/escritura</w:t>
            </w:r>
          </w:p>
        </w:tc>
      </w:tr>
      <w:tr>
        <w:tc>
          <w:tcPr>
            <w:tcW w:type="dxa" w:w="2448"/>
          </w:tcPr>
          <w:p>
            <w:r>
              <w:rPr>
                <w:sz w:val="17"/>
              </w:rPr>
              <w:t>Aurora Serverless v2 (opcional)</w:t>
            </w:r>
          </w:p>
        </w:tc>
        <w:tc>
          <w:tcPr>
            <w:tcW w:type="dxa" w:w="4752"/>
          </w:tcPr>
          <w:p>
            <w:r>
              <w:rPr>
                <w:sz w:val="17"/>
              </w:rPr>
              <w:t>Agregaciones SQL complejas del consolidado gerencial, si el levantamiento lo determina necesario.</w:t>
            </w:r>
          </w:p>
        </w:tc>
        <w:tc>
          <w:tcPr>
            <w:tcW w:type="dxa" w:w="2880"/>
          </w:tcPr>
          <w:p>
            <w:r>
              <w:rPr>
                <w:sz w:val="17"/>
              </w:rPr>
              <w:t>Serverless — capacidad autoescalable</w:t>
            </w:r>
          </w:p>
        </w:tc>
      </w:tr>
      <w:tr>
        <w:tc>
          <w:tcPr>
            <w:tcW w:type="dxa" w:w="2448"/>
            <w:shd w:fill="EDF3F8"/>
          </w:tcPr>
          <w:p>
            <w:r>
              <w:rPr>
                <w:sz w:val="17"/>
              </w:rPr>
              <w:t>Amazon S3</w:t>
            </w:r>
          </w:p>
        </w:tc>
        <w:tc>
          <w:tcPr>
            <w:tcW w:type="dxa" w:w="4752"/>
            <w:shd w:fill="EDF3F8"/>
          </w:tcPr>
          <w:p>
            <w:r>
              <w:rPr>
                <w:sz w:val="17"/>
              </w:rPr>
              <w:t>Histórico de indicadores, documentación de cargos, reportes y exportaciones.</w:t>
            </w:r>
          </w:p>
        </w:tc>
        <w:tc>
          <w:tcPr>
            <w:tcW w:type="dxa" w:w="2880"/>
            <w:shd w:fill="EDF3F8"/>
          </w:tcPr>
          <w:p>
            <w:r>
              <w:rPr>
                <w:sz w:val="17"/>
              </w:rPr>
              <w:t>Serverless — pago por almacenamiento</w:t>
            </w:r>
          </w:p>
        </w:tc>
      </w:tr>
      <w:tr>
        <w:tc>
          <w:tcPr>
            <w:tcW w:type="dxa" w:w="2448"/>
          </w:tcPr>
          <w:p>
            <w:r>
              <w:rPr>
                <w:sz w:val="17"/>
              </w:rPr>
              <w:t>Amazon SES + EventBridge</w:t>
            </w:r>
          </w:p>
        </w:tc>
        <w:tc>
          <w:tcPr>
            <w:tcW w:type="dxa" w:w="4752"/>
          </w:tcPr>
          <w:p>
            <w:r>
              <w:rPr>
                <w:sz w:val="17"/>
              </w:rPr>
              <w:t>Programación y despacho de las notificaciones y alertas inteligentes.</w:t>
            </w:r>
          </w:p>
        </w:tc>
        <w:tc>
          <w:tcPr>
            <w:tcW w:type="dxa" w:w="2880"/>
          </w:tcPr>
          <w:p>
            <w:r>
              <w:rPr>
                <w:sz w:val="17"/>
              </w:rPr>
              <w:t>Serverless — pago por evento/correo</w:t>
            </w:r>
          </w:p>
        </w:tc>
      </w:tr>
      <w:tr>
        <w:tc>
          <w:tcPr>
            <w:tcW w:type="dxa" w:w="2448"/>
            <w:shd w:fill="EDF3F8"/>
          </w:tcPr>
          <w:p>
            <w:r>
              <w:rPr>
                <w:sz w:val="17"/>
              </w:rPr>
              <w:t>Amazon Cognito + IAM</w:t>
            </w:r>
          </w:p>
        </w:tc>
        <w:tc>
          <w:tcPr>
            <w:tcW w:type="dxa" w:w="4752"/>
            <w:shd w:fill="EDF3F8"/>
          </w:tcPr>
          <w:p>
            <w:r>
              <w:rPr>
                <w:sz w:val="17"/>
              </w:rPr>
              <w:t>Autenticación, sesiones y control de acceso por rol en los tres niveles de la torre.</w:t>
            </w:r>
          </w:p>
        </w:tc>
        <w:tc>
          <w:tcPr>
            <w:tcW w:type="dxa" w:w="2880"/>
            <w:shd w:fill="EDF3F8"/>
          </w:tcPr>
          <w:p>
            <w:r>
              <w:rPr>
                <w:sz w:val="17"/>
              </w:rPr>
              <w:t>Serverless — pago por usuario activo</w:t>
            </w:r>
          </w:p>
        </w:tc>
      </w:tr>
      <w:tr>
        <w:tc>
          <w:tcPr>
            <w:tcW w:type="dxa" w:w="2448"/>
          </w:tcPr>
          <w:p>
            <w:r>
              <w:rPr>
                <w:sz w:val="17"/>
              </w:rPr>
              <w:t>Amazon CloudWatch</w:t>
            </w:r>
          </w:p>
        </w:tc>
        <w:tc>
          <w:tcPr>
            <w:tcW w:type="dxa" w:w="4752"/>
          </w:tcPr>
          <w:p>
            <w:r>
              <w:rPr>
                <w:sz w:val="17"/>
              </w:rPr>
              <w:t>Monitoreo, logs, métricas de latencia y auditoría operacional de la propia plataforma.</w:t>
            </w:r>
          </w:p>
        </w:tc>
        <w:tc>
          <w:tcPr>
            <w:tcW w:type="dxa" w:w="2880"/>
          </w:tcPr>
          <w:p>
            <w:r>
              <w:rPr>
                <w:sz w:val="17"/>
              </w:rPr>
              <w:t>Serverless — pago por ingesta</w:t>
            </w:r>
          </w:p>
        </w:tc>
      </w:tr>
      <w:tr>
        <w:tc>
          <w:tcPr>
            <w:tcW w:type="dxa" w:w="2448"/>
            <w:shd w:fill="EDF3F8"/>
          </w:tcPr>
          <w:p>
            <w:r>
              <w:rPr>
                <w:sz w:val="17"/>
              </w:rPr>
              <w:t>AWS Amplify / CloudFront</w:t>
            </w:r>
          </w:p>
        </w:tc>
        <w:tc>
          <w:tcPr>
            <w:tcW w:type="dxa" w:w="4752"/>
            <w:shd w:fill="EDF3F8"/>
          </w:tcPr>
          <w:p>
            <w:r>
              <w:rPr>
                <w:sz w:val="17"/>
              </w:rPr>
              <w:t>Hosting del portal web con entrega de contenido optimizada.</w:t>
            </w:r>
          </w:p>
        </w:tc>
        <w:tc>
          <w:tcPr>
            <w:tcW w:type="dxa" w:w="2880"/>
            <w:shd w:fill="EDF3F8"/>
          </w:tcPr>
          <w:p>
            <w:r>
              <w:rPr>
                <w:sz w:val="17"/>
              </w:rPr>
              <w:t>Serverless — pago por tráfico</w:t>
            </w:r>
          </w:p>
        </w:tc>
      </w:tr>
    </w:tbl>
    <w:p/>
    <w:p>
      <w:pPr>
        <w:pStyle w:val="Heading1"/>
      </w:pPr>
      <w:r>
        <w:rPr>
          <w:color w:val="123A5C"/>
        </w:rPr>
        <w:t>8. Metodología y plan de implementación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123A5C"/>
          </w:tcPr>
          <w:p>
            <w:r>
              <w:rPr>
                <w:b/>
                <w:color w:val="FFFFFF"/>
                <w:sz w:val="18"/>
              </w:rPr>
              <w:t>FASE</w:t>
            </w:r>
          </w:p>
        </w:tc>
        <w:tc>
          <w:tcPr>
            <w:tcW w:type="dxa" w:w="6192"/>
            <w:shd w:fill="123A5C"/>
          </w:tcPr>
          <w:p>
            <w:r>
              <w:rPr>
                <w:b/>
                <w:color w:val="FFFFFF"/>
                <w:sz w:val="18"/>
              </w:rPr>
              <w:t>ALCANCE</w:t>
            </w:r>
          </w:p>
        </w:tc>
        <w:tc>
          <w:tcPr>
            <w:tcW w:type="dxa" w:w="1296"/>
            <w:shd w:fill="123A5C"/>
          </w:tcPr>
          <w:p>
            <w:r>
              <w:rPr>
                <w:b/>
                <w:color w:val="FFFFFF"/>
                <w:sz w:val="18"/>
              </w:rPr>
              <w:t>DURACIÓN</w:t>
            </w:r>
          </w:p>
        </w:tc>
      </w:tr>
      <w:tr>
        <w:tc>
          <w:tcPr>
            <w:tcW w:type="dxa" w:w="2448"/>
          </w:tcPr>
          <w:p>
            <w:r>
              <w:rPr>
                <w:sz w:val="18"/>
              </w:rPr>
              <w:t>Fase 0 — Levantamiento y homologación</w:t>
            </w:r>
          </w:p>
        </w:tc>
        <w:tc>
          <w:tcPr>
            <w:tcW w:type="dxa" w:w="6192"/>
          </w:tcPr>
          <w:p>
            <w:r>
              <w:rPr>
                <w:sz w:val="18"/>
              </w:rPr>
              <w:t>Inventario de fuentes y accesos; documentación de las reglas de negocio de los siete dashboards fuente de Power BI; validación de metas y umbrales con la Gerencia Nacional de Operaciones; diseño de la topología AWS y del modelo de datos.</w:t>
            </w:r>
          </w:p>
        </w:tc>
        <w:tc>
          <w:tcPr>
            <w:tcW w:type="dxa" w:w="1296"/>
          </w:tcPr>
          <w:p>
            <w:r>
              <w:rPr>
                <w:sz w:val="18"/>
              </w:rPr>
              <w:t>3 semanas</w:t>
            </w:r>
          </w:p>
        </w:tc>
      </w:tr>
      <w:tr>
        <w:tc>
          <w:tcPr>
            <w:tcW w:type="dxa" w:w="2448"/>
            <w:shd w:fill="EDF3F8"/>
          </w:tcPr>
          <w:p>
            <w:r>
              <w:rPr>
                <w:sz w:val="18"/>
              </w:rPr>
              <w:t>Fase 1 — Integración y núcleo de la torre</w:t>
            </w:r>
          </w:p>
        </w:tc>
        <w:tc>
          <w:tcPr>
            <w:tcW w:type="dxa" w:w="6192"/>
            <w:shd w:fill="EDF3F8"/>
          </w:tcPr>
          <w:p>
            <w:r>
              <w:rPr>
                <w:sz w:val="18"/>
              </w:rPr>
              <w:t>Sincronización CDC con Phantom X y Digiturno, motor de homologación, diccionario de KPIs, motor de semaforización y alertas, y torre de control multirol con los 13 indicadores.</w:t>
            </w:r>
          </w:p>
        </w:tc>
        <w:tc>
          <w:tcPr>
            <w:tcW w:type="dxa" w:w="1296"/>
            <w:shd w:fill="EDF3F8"/>
          </w:tcPr>
          <w:p>
            <w:r>
              <w:rPr>
                <w:sz w:val="18"/>
              </w:rPr>
              <w:t>6 semanas</w:t>
            </w:r>
          </w:p>
        </w:tc>
      </w:tr>
      <w:tr>
        <w:tc>
          <w:tcPr>
            <w:tcW w:type="dxa" w:w="2448"/>
          </w:tcPr>
          <w:p>
            <w:r>
              <w:rPr>
                <w:sz w:val="18"/>
              </w:rPr>
              <w:t>Fase 2 — Inteligencia artificial</w:t>
            </w:r>
          </w:p>
        </w:tc>
        <w:tc>
          <w:tcPr>
            <w:tcW w:type="dxa" w:w="6192"/>
          </w:tcPr>
          <w:p>
            <w:r>
              <w:rPr>
                <w:sz w:val="18"/>
              </w:rPr>
              <w:t>Analítica predictiva embebida, agente en Bedrock con Knowledge Bases por cargo, recomendaciones comparativas, reporte de fin de turno, coach conversacional y notificaciones redactadas por IA.</w:t>
            </w:r>
          </w:p>
        </w:tc>
        <w:tc>
          <w:tcPr>
            <w:tcW w:type="dxa" w:w="1296"/>
          </w:tcPr>
          <w:p>
            <w:r>
              <w:rPr>
                <w:sz w:val="18"/>
              </w:rPr>
              <w:t>4 semanas</w:t>
            </w:r>
          </w:p>
        </w:tc>
      </w:tr>
      <w:tr>
        <w:tc>
          <w:tcPr>
            <w:tcW w:type="dxa" w:w="2448"/>
            <w:shd w:fill="EDF3F8"/>
          </w:tcPr>
          <w:p>
            <w:r>
              <w:rPr>
                <w:sz w:val="18"/>
              </w:rPr>
              <w:t>Fase 3 — Conciliación y transferencia</w:t>
            </w:r>
          </w:p>
        </w:tc>
        <w:tc>
          <w:tcPr>
            <w:tcW w:type="dxa" w:w="6192"/>
            <w:shd w:fill="EDF3F8"/>
          </w:tcPr>
          <w:p>
            <w:r>
              <w:rPr>
                <w:sz w:val="18"/>
              </w:rPr>
              <w:t>Ciclos de cuadratura contra los dashboards de Power BI con actas por indicador; calibración de umbrales y prompts; capacitación por rol (Médicos, Cajeros, Jefaturas y Gerencia); documentación y transferencia de conocimiento.</w:t>
            </w:r>
          </w:p>
        </w:tc>
        <w:tc>
          <w:tcPr>
            <w:tcW w:type="dxa" w:w="1296"/>
            <w:shd w:fill="EDF3F8"/>
          </w:tcPr>
          <w:p>
            <w:r>
              <w:rPr>
                <w:sz w:val="18"/>
              </w:rPr>
              <w:t>3 semanas</w:t>
            </w:r>
          </w:p>
        </w:tc>
      </w:tr>
    </w:tbl>
    <w:p/>
    <w:p>
      <w:r>
        <w:rPr>
          <w:i w:val="0"/>
        </w:rPr>
        <w:t>Duración total estimada: 16 semanas desde el primer pago, sujeta a la disponibilidad oportuna de accesos a las fuentes de datos y credenciales AWS.</w:t>
      </w:r>
    </w:p>
    <w:p>
      <w:pPr>
        <w:pStyle w:val="Heading1"/>
      </w:pPr>
      <w:r>
        <w:rPr>
          <w:color w:val="123A5C"/>
        </w:rPr>
        <w:t>9. Entregables</w:t>
      </w:r>
    </w:p>
    <w:p>
      <w:pPr>
        <w:pStyle w:val="ListBullet"/>
      </w:pPr>
      <w:r>
        <w:t>Documento de levantamiento técnico con el mapeo de las reglas de negocio de los dashboards fuente de Power BI.</w:t>
      </w:r>
    </w:p>
    <w:p>
      <w:pPr>
        <w:pStyle w:val="ListBullet"/>
      </w:pPr>
      <w:r>
        <w:t>Sincronización en tiempo casi real con Phantom X, Digiturno y fuentes complementarias, mediante captura de cambios.</w:t>
      </w:r>
    </w:p>
    <w:p>
      <w:pPr>
        <w:pStyle w:val="ListBullet"/>
      </w:pPr>
      <w:r>
        <w:t>Motor de homologación con actas de conciliación por indicador frente a la reportería institucional.</w:t>
      </w:r>
    </w:p>
    <w:p>
      <w:pPr>
        <w:pStyle w:val="ListBullet"/>
      </w:pPr>
      <w:r>
        <w:t>Diccionario de los 13 KPIs con metas, umbrales configurables y jerarquía organizacional.</w:t>
      </w:r>
    </w:p>
    <w:p>
      <w:pPr>
        <w:pStyle w:val="ListBullet"/>
      </w:pPr>
      <w:r>
        <w:t>Motor de semaforización y alertas con escalamiento Colaborador → Jefe y Líder → Gerencia Nacional.</w:t>
      </w:r>
    </w:p>
    <w:p>
      <w:pPr>
        <w:pStyle w:val="ListBullet"/>
      </w:pPr>
      <w:r>
        <w:t>Torre de control multirol: vistas de Médico/Cajero, Jefe y Líder de central, y Gerencia Nacional de Operaciones.</w:t>
      </w:r>
    </w:p>
    <w:p>
      <w:pPr>
        <w:pStyle w:val="ListBullet"/>
      </w:pPr>
      <w:r>
        <w:t>Servicios de IA: pop-ups semaforizados, recomendaciones comparativas con referentes, reporte de fin de turno y coach conversacional.</w:t>
      </w:r>
    </w:p>
    <w:p>
      <w:pPr>
        <w:pStyle w:val="ListBullet"/>
      </w:pPr>
      <w:r>
        <w:t>Módulo de notificaciones inteligentes con redacción automática por IA.</w:t>
      </w:r>
    </w:p>
    <w:p>
      <w:pPr>
        <w:pStyle w:val="ListBullet"/>
      </w:pPr>
      <w:r>
        <w:t>Reportería consolidada del cierre del día y exportador profesional (PDF + Excel).</w:t>
      </w:r>
    </w:p>
    <w:p>
      <w:pPr>
        <w:pStyle w:val="ListBullet"/>
      </w:pPr>
      <w:r>
        <w:t>Documentación técnica y funcional, manuales por rol y plan de capacitación.</w:t>
      </w:r>
    </w:p>
    <w:p>
      <w:pPr>
        <w:pStyle w:val="ListBullet"/>
      </w:pPr>
      <w:r>
        <w:t>Código fuente, prompts, Knowledge Bases y configuraciones, entregados en propiedad a VERIS.</w:t>
      </w:r>
    </w:p>
    <w:p>
      <w:pPr>
        <w:pStyle w:val="Heading1"/>
      </w:pPr>
      <w:r>
        <w:rPr>
          <w:color w:val="123A5C"/>
        </w:rPr>
        <w:t>10. Oferta económica</w:t>
      </w:r>
    </w:p>
    <w:p>
      <w:r>
        <w:rPr>
          <w:i w:val="0"/>
        </w:rPr>
        <w:t>Se presenta la opción de implementación sobre Amazon AWS. Inversión única de implementación; los costos de consumo de AWS y Bedrock los paga VERIS directamente a Amazon.</w:t>
      </w:r>
    </w:p>
    <w:tbl>
      <w:tblPr>
        <w:tblStyle w:val="TableGrid"/>
        <w:tblW w:type="auto" w:w="0"/>
        <w:jc w:val="center"/>
        <w:tblLook w:firstColumn="1" w:firstRow="1" w:lastColumn="0" w:lastRow="0" w:noHBand="0" w:noVBand="1" w:val="04A0"/>
      </w:tblPr>
      <w:tblGrid>
        <w:gridCol w:w="2880"/>
        <w:gridCol w:w="2880"/>
        <w:gridCol w:w="2880"/>
      </w:tblGrid>
      <w:tr>
        <w:tc>
          <w:tcPr>
            <w:tcW w:type="dxa" w:w="6768"/>
            <w:shd w:fill="123A5C"/>
          </w:tcPr>
          <w:p>
            <w:r>
              <w:rPr>
                <w:b/>
                <w:color w:val="FFFFFF"/>
                <w:sz w:val="19"/>
              </w:rPr>
              <w:t>DESCRIPCIÓN</w:t>
            </w:r>
          </w:p>
        </w:tc>
        <w:tc>
          <w:tcPr>
            <w:tcW w:type="dxa" w:w="864"/>
            <w:shd w:fill="123A5C"/>
          </w:tcPr>
          <w:p>
            <w:r>
              <w:rPr>
                <w:b/>
                <w:color w:val="FFFFFF"/>
                <w:sz w:val="19"/>
              </w:rPr>
              <w:t>CANT.</w:t>
            </w:r>
          </w:p>
        </w:tc>
        <w:tc>
          <w:tcPr>
            <w:tcW w:type="dxa" w:w="1728"/>
            <w:shd w:fill="123A5C"/>
          </w:tcPr>
          <w:p>
            <w:r>
              <w:rPr>
                <w:b/>
                <w:color w:val="FFFFFF"/>
                <w:sz w:val="19"/>
              </w:rPr>
              <w:t>TOTAL</w:t>
            </w:r>
          </w:p>
        </w:tc>
      </w:tr>
      <w:tr>
        <w:tc>
          <w:tcPr>
            <w:tcW w:type="dxa" w:w="6768"/>
          </w:tcPr>
          <w:p>
            <w:r>
              <w:rPr>
                <w:sz w:val="19"/>
              </w:rPr>
              <w:t>Fase 0 — Levantamiento técnico, homologación de las reglas de negocio de los dashboards fuente y diseño de arquitectura de detalle</w:t>
            </w:r>
          </w:p>
        </w:tc>
        <w:tc>
          <w:tcPr>
            <w:tcW w:type="dxa" w:w="864"/>
          </w:tcPr>
          <w:p>
            <w:r>
              <w:rPr>
                <w:sz w:val="19"/>
              </w:rPr>
              <w:t>1</w:t>
            </w:r>
          </w:p>
        </w:tc>
        <w:tc>
          <w:tcPr>
            <w:tcW w:type="dxa" w:w="1728"/>
          </w:tcPr>
          <w:p>
            <w:r>
              <w:rPr>
                <w:sz w:val="19"/>
              </w:rPr>
              <w:t>$ 5,500.00</w:t>
            </w:r>
          </w:p>
        </w:tc>
      </w:tr>
      <w:tr>
        <w:tc>
          <w:tcPr>
            <w:tcW w:type="dxa" w:w="6768"/>
            <w:shd w:fill="EDF3F8"/>
          </w:tcPr>
          <w:p>
            <w:r>
              <w:rPr>
                <w:sz w:val="19"/>
              </w:rPr>
              <w:t>Sincronización en tiempo casi real: conectores CDC sobre Phantom X y Digiturno, streaming, almacén operacional y gobernanza del dato</w:t>
            </w:r>
          </w:p>
        </w:tc>
        <w:tc>
          <w:tcPr>
            <w:tcW w:type="dxa" w:w="864"/>
            <w:shd w:fill="EDF3F8"/>
          </w:tcPr>
          <w:p>
            <w:r>
              <w:rPr>
                <w:sz w:val="19"/>
              </w:rPr>
              <w:t>1</w:t>
            </w:r>
          </w:p>
        </w:tc>
        <w:tc>
          <w:tcPr>
            <w:tcW w:type="dxa" w:w="1728"/>
            <w:shd w:fill="EDF3F8"/>
          </w:tcPr>
          <w:p>
            <w:r>
              <w:rPr>
                <w:sz w:val="19"/>
              </w:rPr>
              <w:t>$ 9,500.00</w:t>
            </w:r>
          </w:p>
        </w:tc>
      </w:tr>
      <w:tr>
        <w:tc>
          <w:tcPr>
            <w:tcW w:type="dxa" w:w="6768"/>
          </w:tcPr>
          <w:p>
            <w:r>
              <w:rPr>
                <w:sz w:val="19"/>
              </w:rPr>
              <w:t>Núcleo de la torre de control: diccionario de KPIs, motor de semaforización y alertas, torre multirol con los 13 indicadores y reportería consolidada</w:t>
            </w:r>
          </w:p>
        </w:tc>
        <w:tc>
          <w:tcPr>
            <w:tcW w:type="dxa" w:w="864"/>
          </w:tcPr>
          <w:p>
            <w:r>
              <w:rPr>
                <w:sz w:val="19"/>
              </w:rPr>
              <w:t>1</w:t>
            </w:r>
          </w:p>
        </w:tc>
        <w:tc>
          <w:tcPr>
            <w:tcW w:type="dxa" w:w="1728"/>
          </w:tcPr>
          <w:p>
            <w:r>
              <w:rPr>
                <w:sz w:val="19"/>
              </w:rPr>
              <w:t>$ 12,500.00</w:t>
            </w:r>
          </w:p>
        </w:tc>
      </w:tr>
      <w:tr>
        <w:tc>
          <w:tcPr>
            <w:tcW w:type="dxa" w:w="6768"/>
            <w:shd w:fill="EDF3F8"/>
          </w:tcPr>
          <w:p>
            <w:r>
              <w:rPr>
                <w:sz w:val="19"/>
              </w:rPr>
              <w:t>Servicios de inteligencia artificial: analítica predictiva embebida, agente Bedrock, Knowledge Bases por cargo, recomendaciones comparativas, reporte de fin de turno, coach conversacional y notificaciones inteligentes</w:t>
            </w:r>
          </w:p>
        </w:tc>
        <w:tc>
          <w:tcPr>
            <w:tcW w:type="dxa" w:w="864"/>
            <w:shd w:fill="EDF3F8"/>
          </w:tcPr>
          <w:p>
            <w:r>
              <w:rPr>
                <w:sz w:val="19"/>
              </w:rPr>
              <w:t>1</w:t>
            </w:r>
          </w:p>
        </w:tc>
        <w:tc>
          <w:tcPr>
            <w:tcW w:type="dxa" w:w="1728"/>
            <w:shd w:fill="EDF3F8"/>
          </w:tcPr>
          <w:p>
            <w:r>
              <w:rPr>
                <w:sz w:val="19"/>
              </w:rPr>
              <w:t>$ 8,500.00</w:t>
            </w:r>
          </w:p>
        </w:tc>
      </w:tr>
      <w:tr>
        <w:tc>
          <w:tcPr>
            <w:tcW w:type="dxa" w:w="6768"/>
          </w:tcPr>
          <w:p>
            <w:r>
              <w:rPr>
                <w:sz w:val="19"/>
              </w:rPr>
              <w:t>Conciliación con la reportería institucional, calibración, capacitación por rol y transferencia de conocimiento</w:t>
            </w:r>
          </w:p>
        </w:tc>
        <w:tc>
          <w:tcPr>
            <w:tcW w:type="dxa" w:w="864"/>
          </w:tcPr>
          <w:p>
            <w:r>
              <w:rPr>
                <w:sz w:val="19"/>
              </w:rPr>
              <w:t>1</w:t>
            </w:r>
          </w:p>
        </w:tc>
        <w:tc>
          <w:tcPr>
            <w:tcW w:type="dxa" w:w="1728"/>
          </w:tcPr>
          <w:p>
            <w:r>
              <w:rPr>
                <w:sz w:val="19"/>
              </w:rPr>
              <w:t>$ 3,500.00</w:t>
            </w:r>
          </w:p>
        </w:tc>
      </w:tr>
      <w:tr>
        <w:tc>
          <w:tcPr>
            <w:tcW w:type="dxa" w:w="6768"/>
            <w:shd w:fill="EDF3F8"/>
          </w:tcPr>
          <w:p>
            <w:r>
              <w:rPr>
                <w:sz w:val="19"/>
              </w:rPr>
              <w:t>TOTAL — Inversión única de implementación</w:t>
            </w:r>
          </w:p>
        </w:tc>
        <w:tc>
          <w:tcPr>
            <w:tcW w:type="dxa" w:w="864"/>
            <w:shd w:fill="EDF3F8"/>
          </w:tcPr>
          <w:p>
            <w:r>
              <w:rPr>
                <w:sz w:val="19"/>
              </w:rPr>
            </w:r>
          </w:p>
        </w:tc>
        <w:tc>
          <w:tcPr>
            <w:tcW w:type="dxa" w:w="1728"/>
            <w:shd w:fill="EDF3F8"/>
          </w:tcPr>
          <w:p>
            <w:r>
              <w:rPr>
                <w:sz w:val="19"/>
              </w:rPr>
              <w:t>$ 39,500.00</w:t>
            </w:r>
          </w:p>
        </w:tc>
      </w:tr>
    </w:tbl>
    <w:p/>
    <w:p>
      <w:pPr>
        <w:pStyle w:val="Heading2"/>
      </w:pPr>
      <w:r>
        <w:rPr>
          <w:color w:val="123A5C"/>
        </w:rPr>
        <w:t>Servicios opcionales</w:t>
      </w:r>
    </w:p>
    <w:tbl>
      <w:tblPr>
        <w:tblStyle w:val="TableGrid"/>
        <w:tblW w:type="auto" w:w="0"/>
        <w:jc w:val="center"/>
        <w:tblLook w:firstColumn="1" w:firstRow="1" w:lastColumn="0" w:lastRow="0" w:noHBand="0" w:noVBand="1" w:val="04A0"/>
      </w:tblPr>
      <w:tblGrid>
        <w:gridCol w:w="2880"/>
        <w:gridCol w:w="2880"/>
        <w:gridCol w:w="2880"/>
      </w:tblGrid>
      <w:tr>
        <w:tc>
          <w:tcPr>
            <w:tcW w:type="dxa" w:w="5616"/>
            <w:shd w:fill="123A5C"/>
          </w:tcPr>
          <w:p>
            <w:r>
              <w:rPr>
                <w:b/>
                <w:color w:val="FFFFFF"/>
                <w:sz w:val="18"/>
              </w:rPr>
              <w:t>SERVICIO</w:t>
            </w:r>
          </w:p>
        </w:tc>
        <w:tc>
          <w:tcPr>
            <w:tcW w:type="dxa" w:w="1872"/>
            <w:shd w:fill="123A5C"/>
          </w:tcPr>
          <w:p>
            <w:r>
              <w:rPr>
                <w:b/>
                <w:color w:val="FFFFFF"/>
                <w:sz w:val="18"/>
              </w:rPr>
              <w:t>INSTALACIÓN</w:t>
            </w:r>
          </w:p>
        </w:tc>
        <w:tc>
          <w:tcPr>
            <w:tcW w:type="dxa" w:w="1872"/>
            <w:shd w:fill="123A5C"/>
          </w:tcPr>
          <w:p>
            <w:r>
              <w:rPr>
                <w:b/>
                <w:color w:val="FFFFFF"/>
                <w:sz w:val="18"/>
              </w:rPr>
              <w:t>MENSUAL</w:t>
            </w:r>
          </w:p>
        </w:tc>
      </w:tr>
      <w:tr>
        <w:tc>
          <w:tcPr>
            <w:tcW w:type="dxa" w:w="5616"/>
          </w:tcPr>
          <w:p>
            <w:r>
              <w:rPr>
                <w:sz w:val="18"/>
              </w:rPr>
              <w:t>Soporte técnico 8×5 — ajuste de prompts, parámetros del modelo, umbrales y reglas; inicio de atención desde 24 horas</w:t>
            </w:r>
          </w:p>
        </w:tc>
        <w:tc>
          <w:tcPr>
            <w:tcW w:type="dxa" w:w="1872"/>
          </w:tcPr>
          <w:p>
            <w:r>
              <w:rPr>
                <w:sz w:val="18"/>
              </w:rPr>
              <w:t>—</w:t>
            </w:r>
          </w:p>
        </w:tc>
        <w:tc>
          <w:tcPr>
            <w:tcW w:type="dxa" w:w="1872"/>
          </w:tcPr>
          <w:p>
            <w:r>
              <w:rPr>
                <w:sz w:val="18"/>
              </w:rPr>
              <w:t>$ 650.00/mes</w:t>
            </w:r>
          </w:p>
        </w:tc>
      </w:tr>
      <w:tr>
        <w:tc>
          <w:tcPr>
            <w:tcW w:type="dxa" w:w="5616"/>
            <w:shd w:fill="EDF3F8"/>
          </w:tcPr>
          <w:p>
            <w:r>
              <w:rPr>
                <w:sz w:val="18"/>
              </w:rPr>
              <w:t>Soporte extendido 24×7 para la ventana de operación de las centrales</w:t>
            </w:r>
          </w:p>
        </w:tc>
        <w:tc>
          <w:tcPr>
            <w:tcW w:type="dxa" w:w="1872"/>
            <w:shd w:fill="EDF3F8"/>
          </w:tcPr>
          <w:p>
            <w:r>
              <w:rPr>
                <w:sz w:val="18"/>
              </w:rPr>
              <w:t>—</w:t>
            </w:r>
          </w:p>
        </w:tc>
        <w:tc>
          <w:tcPr>
            <w:tcW w:type="dxa" w:w="1872"/>
            <w:shd w:fill="EDF3F8"/>
          </w:tcPr>
          <w:p>
            <w:r>
              <w:rPr>
                <w:sz w:val="18"/>
              </w:rPr>
              <w:t>$ 1,200.00/mes</w:t>
            </w:r>
          </w:p>
        </w:tc>
      </w:tr>
      <w:tr>
        <w:tc>
          <w:tcPr>
            <w:tcW w:type="dxa" w:w="5616"/>
          </w:tcPr>
          <w:p>
            <w:r>
              <w:rPr>
                <w:sz w:val="18"/>
              </w:rPr>
              <w:t>Nuevo módulo o integración adicional</w:t>
            </w:r>
          </w:p>
        </w:tc>
        <w:tc>
          <w:tcPr>
            <w:tcW w:type="dxa" w:w="1872"/>
          </w:tcPr>
          <w:p>
            <w:r>
              <w:rPr>
                <w:sz w:val="18"/>
              </w:rPr>
              <w:t>$ 2,500.00 c/u</w:t>
            </w:r>
          </w:p>
        </w:tc>
        <w:tc>
          <w:tcPr>
            <w:tcW w:type="dxa" w:w="1872"/>
          </w:tcPr>
          <w:p>
            <w:r>
              <w:rPr>
                <w:sz w:val="18"/>
              </w:rPr>
              <w:t>—</w:t>
            </w:r>
          </w:p>
        </w:tc>
      </w:tr>
      <w:tr>
        <w:tc>
          <w:tcPr>
            <w:tcW w:type="dxa" w:w="5616"/>
            <w:shd w:fill="EDF3F8"/>
          </w:tcPr>
          <w:p>
            <w:r>
              <w:rPr>
                <w:sz w:val="18"/>
              </w:rPr>
              <w:t>Expansión del modelo a nuevas unidades de negocio o grupos de colaboradores</w:t>
            </w:r>
          </w:p>
        </w:tc>
        <w:tc>
          <w:tcPr>
            <w:tcW w:type="dxa" w:w="1872"/>
            <w:shd w:fill="EDF3F8"/>
          </w:tcPr>
          <w:p>
            <w:r>
              <w:rPr>
                <w:sz w:val="18"/>
              </w:rPr>
              <w:t>$ 1,800.00 c/u</w:t>
            </w:r>
          </w:p>
        </w:tc>
        <w:tc>
          <w:tcPr>
            <w:tcW w:type="dxa" w:w="1872"/>
            <w:shd w:fill="EDF3F8"/>
          </w:tcPr>
          <w:p>
            <w:r>
              <w:rPr>
                <w:sz w:val="18"/>
              </w:rPr>
              <w:t>—</w:t>
            </w:r>
          </w:p>
        </w:tc>
      </w:tr>
      <w:tr>
        <w:tc>
          <w:tcPr>
            <w:tcW w:type="dxa" w:w="5616"/>
          </w:tcPr>
          <w:p>
            <w:r>
              <w:rPr>
                <w:sz w:val="18"/>
              </w:rPr>
              <w:t>Incorporación de una nueva central a la torre de control (configuración y calibración de umbrales)</w:t>
            </w:r>
          </w:p>
        </w:tc>
        <w:tc>
          <w:tcPr>
            <w:tcW w:type="dxa" w:w="1872"/>
          </w:tcPr>
          <w:p>
            <w:r>
              <w:rPr>
                <w:sz w:val="18"/>
              </w:rPr>
              <w:t>$ 950.00 c/u</w:t>
            </w:r>
          </w:p>
        </w:tc>
        <w:tc>
          <w:tcPr>
            <w:tcW w:type="dxa" w:w="1872"/>
          </w:tcPr>
          <w:p>
            <w:r>
              <w:rPr>
                <w:sz w:val="18"/>
              </w:rPr>
              <w:t>—</w:t>
            </w:r>
          </w:p>
        </w:tc>
      </w:tr>
      <w:tr>
        <w:tc>
          <w:tcPr>
            <w:tcW w:type="dxa" w:w="5616"/>
            <w:shd w:fill="EDF3F8"/>
          </w:tcPr>
          <w:p>
            <w:r>
              <w:rPr>
                <w:sz w:val="18"/>
              </w:rPr>
              <w:t>Taller trimestral de adopción con Jefaturas y Gerencia (análisis de uso y recalibración de metas)</w:t>
            </w:r>
          </w:p>
        </w:tc>
        <w:tc>
          <w:tcPr>
            <w:tcW w:type="dxa" w:w="1872"/>
            <w:shd w:fill="EDF3F8"/>
          </w:tcPr>
          <w:p>
            <w:r>
              <w:rPr>
                <w:sz w:val="18"/>
              </w:rPr>
              <w:t>—</w:t>
            </w:r>
          </w:p>
        </w:tc>
        <w:tc>
          <w:tcPr>
            <w:tcW w:type="dxa" w:w="1872"/>
            <w:shd w:fill="EDF3F8"/>
          </w:tcPr>
          <w:p>
            <w:r>
              <w:rPr>
                <w:sz w:val="18"/>
              </w:rPr>
              <w:t>$ 400.00/trim.</w:t>
            </w:r>
          </w:p>
        </w:tc>
      </w:tr>
    </w:tbl>
    <w:p/>
    <w:p>
      <w:pPr>
        <w:pStyle w:val="Heading1"/>
      </w:pPr>
      <w:r>
        <w:rPr>
          <w:color w:val="123A5C"/>
        </w:rPr>
        <w:t>11. Por qué elegirnos</w:t>
      </w:r>
    </w:p>
    <w:p>
      <w:pPr>
        <w:pStyle w:val="ListBullet"/>
      </w:pPr>
      <w:r>
        <w:rPr>
          <w:b/>
        </w:rPr>
        <w:t xml:space="preserve">Conocimiento del negocio y la organización VERIS. </w:t>
      </w:r>
      <w:r>
        <w:t>Ya hemos implementado soluciones de diferentes tipos para VERIS. Conocemos su ecosistema AWS, su cultura y su operación — no partimos de cero.</w:t>
      </w:r>
    </w:p>
    <w:p>
      <w:pPr>
        <w:pStyle w:val="ListBullet"/>
      </w:pPr>
      <w:r>
        <w:rPr>
          <w:b/>
        </w:rPr>
        <w:t xml:space="preserve">Respuesta directa al requerimiento de la Gerencia Nacional de Operaciones. </w:t>
      </w:r>
      <w:r>
        <w:t>Esta propuesta cubre los 13 indicadores del proyecto de Gerenciamiento Diario, con sus dashboards fuente, sus umbrales de semaforización y el apoyo de IA descrito para cada uno.</w:t>
      </w:r>
    </w:p>
    <w:p>
      <w:pPr>
        <w:pStyle w:val="ListBullet"/>
      </w:pPr>
      <w:r>
        <w:rPr>
          <w:b/>
        </w:rPr>
        <w:t xml:space="preserve">Cifras que concilian con la reportería oficial. </w:t>
      </w:r>
      <w:r>
        <w:t>El motor de homologación garantiza que los indicadores en tiempo real cuadren con los dashboards de Power BI: una sola versión de la verdad, durante la jornada y al cierre del día, validada con actas de conciliación por indicador.</w:t>
      </w:r>
    </w:p>
    <w:p>
      <w:pPr>
        <w:pStyle w:val="ListBullet"/>
      </w:pPr>
      <w:r>
        <w:rPr>
          <w:b/>
        </w:rPr>
        <w:t xml:space="preserve">Código propiedad de VERIS. </w:t>
      </w:r>
      <w:r>
        <w:t>El código fuente, prompts, Knowledge Bases y modelos son entregados a VERIS al liquidar el proyecto. Sin dependencia de licencias propietarias ni lock-in de proveedor.</w:t>
      </w:r>
    </w:p>
    <w:p>
      <w:pPr>
        <w:pStyle w:val="ListBullet"/>
      </w:pPr>
      <w:r>
        <w:rPr>
          <w:b/>
        </w:rPr>
        <w:t xml:space="preserve">Nativo en Amazon AWS. </w:t>
      </w:r>
      <w:r>
        <w:t>La plataforma se integra naturalmente con la infraestructura AWS existente. VERIS gestiona sus propios costos de nube sin intermediarios.</w:t>
      </w:r>
    </w:p>
    <w:p>
      <w:pPr>
        <w:pStyle w:val="ListBullet"/>
      </w:pPr>
      <w:r>
        <w:rPr>
          <w:b/>
        </w:rPr>
        <w:t xml:space="preserve">Arquitectura serverless-first con costo de nube proporcional al uso. </w:t>
      </w:r>
      <w:r>
        <w:t>El gasto de AWS acompaña el horario de operación de las centrales: sin servidores encendidos que pagar en horas de cierre, sin capacidad ociosa que administrar y con escalamiento automático en las franjas de mayor afluencia. El único costo fijo es el enlace de datos en vivo, que es justamente lo que hace posible la torre de control en tiempo real.</w:t>
      </w:r>
    </w:p>
    <w:p>
      <w:pPr>
        <w:pStyle w:val="ListBullet"/>
      </w:pPr>
      <w:r>
        <w:rPr>
          <w:b/>
        </w:rPr>
        <w:t xml:space="preserve">IA con costo operativo controlado. </w:t>
      </w:r>
      <w:r>
        <w:t>La analítica intensiva se ejecuta sin consumo de tokens y la IA generativa se reserva para los momentos de valor, manteniendo el costo mensual de Bedrock acotado y predecible.</w:t>
      </w:r>
    </w:p>
    <w:p>
      <w:pPr>
        <w:pStyle w:val="ListBullet"/>
      </w:pPr>
      <w:r>
        <w:rPr>
          <w:b/>
        </w:rPr>
        <w:t xml:space="preserve">Escalabilidad desde la arquitectura. </w:t>
      </w:r>
      <w:r>
        <w:t>Diseñado para incorporar nuevas centrales, cargos e indicadores sin reescribir la plataforma ni migrar datos.</w:t>
      </w:r>
    </w:p>
    <w:p>
      <w:pPr>
        <w:pStyle w:val="ListBullet"/>
      </w:pPr>
      <w:r>
        <w:rPr>
          <w:b/>
        </w:rPr>
        <w:t xml:space="preserve">Soporte local en español con conocimiento del contexto ecuatoriano. </w:t>
      </w:r>
      <w:r>
        <w:t>Respuesta en horas. No es un ticket internacional. Conocemos las dinámicas de equipos, legislación laboral y cultura organizacional en Ecuador.</w:t>
      </w:r>
    </w:p>
    <w:p>
      <w:pPr>
        <w:pStyle w:val="ListBullet"/>
      </w:pPr>
      <w:r>
        <w:rPr>
          <w:b/>
        </w:rPr>
        <w:t xml:space="preserve">6 meses de garantía total sobre la solución implementada. </w:t>
      </w:r>
      <w:r>
        <w:t>Cubre todos los módulos entregados. Después, nuestros planes de soporte garantizan la continuidad y la evolución del sistema.</w:t>
      </w:r>
    </w:p>
    <w:p>
      <w:pPr>
        <w:pStyle w:val="Heading1"/>
      </w:pPr>
      <w:r>
        <w:rPr>
          <w:color w:val="123A5C"/>
        </w:rPr>
        <w:t>12. Condiciones comerciales</w:t>
      </w:r>
    </w:p>
    <w:tbl>
      <w:tblPr>
        <w:tblStyle w:val="TableGrid"/>
        <w:tblW w:type="auto" w:w="0"/>
        <w:jc w:val="center"/>
        <w:tblLook w:firstColumn="1" w:firstRow="1" w:lastColumn="0" w:lastRow="0" w:noHBand="0" w:noVBand="1" w:val="04A0"/>
      </w:tblPr>
      <w:tblGrid>
        <w:gridCol w:w="4320"/>
        <w:gridCol w:w="4320"/>
      </w:tblGrid>
      <w:tr>
        <w:tc>
          <w:tcPr>
            <w:tcW w:type="dxa" w:w="2592"/>
            <w:shd w:fill="123A5C"/>
          </w:tcPr>
          <w:p>
            <w:r>
              <w:rPr>
                <w:b/>
                <w:color w:val="FFFFFF"/>
                <w:sz w:val="18"/>
              </w:rPr>
              <w:t>CONDICIÓN</w:t>
            </w:r>
          </w:p>
        </w:tc>
        <w:tc>
          <w:tcPr>
            <w:tcW w:type="dxa" w:w="7488"/>
            <w:shd w:fill="123A5C"/>
          </w:tcPr>
          <w:p>
            <w:r>
              <w:rPr>
                <w:b/>
                <w:color w:val="FFFFFF"/>
                <w:sz w:val="18"/>
              </w:rPr>
              <w:t>DETALLE</w:t>
            </w:r>
          </w:p>
        </w:tc>
      </w:tr>
      <w:tr>
        <w:tc>
          <w:tcPr>
            <w:tcW w:type="dxa" w:w="2592"/>
          </w:tcPr>
          <w:p>
            <w:r>
              <w:rPr>
                <w:sz w:val="18"/>
              </w:rPr>
              <w:t>Precios</w:t>
            </w:r>
          </w:p>
        </w:tc>
        <w:tc>
          <w:tcPr>
            <w:tcW w:type="dxa" w:w="7488"/>
          </w:tcPr>
          <w:p>
            <w:r>
              <w:rPr>
                <w:sz w:val="18"/>
              </w:rPr>
              <w:t>No incluyen IVA (15 %).</w:t>
            </w:r>
          </w:p>
        </w:tc>
      </w:tr>
      <w:tr>
        <w:tc>
          <w:tcPr>
            <w:tcW w:type="dxa" w:w="2592"/>
            <w:shd w:fill="EDF3F8"/>
          </w:tcPr>
          <w:p>
            <w:r>
              <w:rPr>
                <w:sz w:val="18"/>
              </w:rPr>
              <w:t>Forma de pago</w:t>
            </w:r>
          </w:p>
        </w:tc>
        <w:tc>
          <w:tcPr>
            <w:tcW w:type="dxa" w:w="7488"/>
            <w:shd w:fill="EDF3F8"/>
          </w:tcPr>
          <w:p>
            <w:r>
              <w:rPr>
                <w:sz w:val="18"/>
              </w:rPr>
              <w:t>40 % al inicio del proyecto · 30 % a la entrega de la Fase 1 aprobada · 30 % a la entrega funcional total aprobada por VERIS.</w:t>
            </w:r>
          </w:p>
        </w:tc>
      </w:tr>
      <w:tr>
        <w:tc>
          <w:tcPr>
            <w:tcW w:type="dxa" w:w="2592"/>
          </w:tcPr>
          <w:p>
            <w:r>
              <w:rPr>
                <w:sz w:val="18"/>
              </w:rPr>
              <w:t>Tiempo de implementación</w:t>
            </w:r>
          </w:p>
        </w:tc>
        <w:tc>
          <w:tcPr>
            <w:tcW w:type="dxa" w:w="7488"/>
          </w:tcPr>
          <w:p>
            <w:r>
              <w:rPr>
                <w:sz w:val="18"/>
              </w:rPr>
              <w:t>16 semanas desde el primer pago, sujeto a disponibilidad oportuna de accesos a Phantom X, Digiturno, Datawarehouse y credenciales AWS.</w:t>
            </w:r>
          </w:p>
        </w:tc>
      </w:tr>
      <w:tr>
        <w:tc>
          <w:tcPr>
            <w:tcW w:type="dxa" w:w="2592"/>
            <w:shd w:fill="EDF3F8"/>
          </w:tcPr>
          <w:p>
            <w:r>
              <w:rPr>
                <w:sz w:val="18"/>
              </w:rPr>
              <w:t>Garantía</w:t>
            </w:r>
          </w:p>
        </w:tc>
        <w:tc>
          <w:tcPr>
            <w:tcW w:type="dxa" w:w="7488"/>
            <w:shd w:fill="EDF3F8"/>
          </w:tcPr>
          <w:p>
            <w:r>
              <w:rPr>
                <w:sz w:val="18"/>
              </w:rPr>
              <w:t>6 meses completos desde la entrega. Cubre la solución completa implementada.</w:t>
            </w:r>
          </w:p>
        </w:tc>
      </w:tr>
      <w:tr>
        <w:tc>
          <w:tcPr>
            <w:tcW w:type="dxa" w:w="2592"/>
          </w:tcPr>
          <w:p>
            <w:r>
              <w:rPr>
                <w:sz w:val="18"/>
              </w:rPr>
              <w:t>Acceso a datos</w:t>
            </w:r>
          </w:p>
        </w:tc>
        <w:tc>
          <w:tcPr>
            <w:tcW w:type="dxa" w:w="7488"/>
          </w:tcPr>
          <w:p>
            <w:r>
              <w:rPr>
                <w:sz w:val="18"/>
              </w:rPr>
              <w:t>VERIS provee acceso de prueba a Phantom X, Digiturno y el Datawarehouse durante el desarrollo. La entrega tardía de accesos impacta el cronograma.</w:t>
            </w:r>
          </w:p>
        </w:tc>
      </w:tr>
      <w:tr>
        <w:tc>
          <w:tcPr>
            <w:tcW w:type="dxa" w:w="2592"/>
            <w:shd w:fill="EDF3F8"/>
          </w:tcPr>
          <w:p>
            <w:r>
              <w:rPr>
                <w:sz w:val="18"/>
              </w:rPr>
              <w:t>Reglas de negocio</w:t>
            </w:r>
          </w:p>
        </w:tc>
        <w:tc>
          <w:tcPr>
            <w:tcW w:type="dxa" w:w="7488"/>
            <w:shd w:fill="EDF3F8"/>
          </w:tcPr>
          <w:p>
            <w:r>
              <w:rPr>
                <w:sz w:val="18"/>
              </w:rPr>
              <w:t>VERIS facilita el acceso a la definición de los dashboards fuente de Power BI (Productividad CMV – Sedes, Operaciones y Gestión Clínica, Indicadores Digiturno, Tiempos Interacciones Cajas, Adherencia Terapéutica, Estadísticas Ventas Diarias y Control Venta Empaquetados) para el proceso de homologación durante la Fase 0.</w:t>
            </w:r>
          </w:p>
        </w:tc>
      </w:tr>
      <w:tr>
        <w:tc>
          <w:tcPr>
            <w:tcW w:type="dxa" w:w="2592"/>
          </w:tcPr>
          <w:p>
            <w:r>
              <w:rPr>
                <w:sz w:val="18"/>
              </w:rPr>
              <w:t>Documentación de cargos</w:t>
            </w:r>
          </w:p>
        </w:tc>
        <w:tc>
          <w:tcPr>
            <w:tcW w:type="dxa" w:w="7488"/>
          </w:tcPr>
          <w:p>
            <w:r>
              <w:rPr>
                <w:sz w:val="18"/>
              </w:rPr>
              <w:t>VERIS entrega la documentación de cargos (objetivos, metas, ponderaciones) previo al inicio de la Fase 0. Es la base del diccionario de KPIs y de los Knowledge Bases.</w:t>
            </w:r>
          </w:p>
        </w:tc>
      </w:tr>
      <w:tr>
        <w:tc>
          <w:tcPr>
            <w:tcW w:type="dxa" w:w="2592"/>
            <w:shd w:fill="EDF3F8"/>
          </w:tcPr>
          <w:p>
            <w:r>
              <w:rPr>
                <w:sz w:val="18"/>
              </w:rPr>
              <w:t>Propiedad intelectual</w:t>
            </w:r>
          </w:p>
        </w:tc>
        <w:tc>
          <w:tcPr>
            <w:tcW w:type="dxa" w:w="7488"/>
            <w:shd w:fill="EDF3F8"/>
          </w:tcPr>
          <w:p>
            <w:r>
              <w:rPr>
                <w:sz w:val="18"/>
              </w:rPr>
              <w:t>Código, prompts, Knowledge Bases y configuraciones pasan a ser propiedad de VERIS al liquidar el proyecto.</w:t>
            </w:r>
          </w:p>
        </w:tc>
      </w:tr>
      <w:tr>
        <w:tc>
          <w:tcPr>
            <w:tcW w:type="dxa" w:w="2592"/>
          </w:tcPr>
          <w:p>
            <w:r>
              <w:rPr>
                <w:sz w:val="18"/>
              </w:rPr>
              <w:t>Validez de la oferta</w:t>
            </w:r>
          </w:p>
        </w:tc>
        <w:tc>
          <w:tcPr>
            <w:tcW w:type="dxa" w:w="7488"/>
          </w:tcPr>
          <w:p>
            <w:r>
              <w:rPr>
                <w:sz w:val="18"/>
              </w:rPr>
              <w:t>30 días calendario desde la fecha de emisión.</w:t>
            </w:r>
          </w:p>
        </w:tc>
      </w:tr>
    </w:tbl>
    <w:p/>
    <w:p>
      <w:r>
        <w:rPr>
          <w:i w:val="0"/>
        </w:rPr>
        <w:t>Estamos a su disposición para cualquier consulta, ajuste o demostración en vivo.</w:t>
      </w:r>
    </w:p>
    <w:p/>
    <w:p>
      <w:pPr>
        <w:jc w:val="center"/>
      </w:pPr>
      <w:r>
        <w:rPr>
          <w:sz w:val="20"/>
        </w:rPr>
        <w:t>Iván García  ·  ivang@sempitecno.com  ·  +593 999 989 522</w:t>
        <w:br/>
        <w:t>SEMPITECNO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