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3D63"/>
          <w:sz w:val="52"/>
        </w:rPr>
        <w:t>PROPUESTA COMERCIAL</w:t>
      </w:r>
    </w:p>
    <w:p>
      <w:pPr>
        <w:jc w:val="center"/>
      </w:pPr>
      <w:r>
        <w:rPr>
          <w:color w:val="0F3D63"/>
          <w:sz w:val="30"/>
        </w:rPr>
        <w:t>Plataforma de Gestión de Desempeño con Inteligencia Artificial</w:t>
        <w:br/>
        <w:t>y Torre de Mando Operativa en Tiempo Real</w:t>
      </w:r>
    </w:p>
    <w:p>
      <w:pPr>
        <w:jc w:val="center"/>
      </w:pPr>
      <w:r>
        <w:rPr>
          <w:sz w:val="26"/>
        </w:rPr>
        <w:t>Presentado a VERIS</w:t>
      </w:r>
    </w:p>
    <w:p/>
    <w:p>
      <w:pPr>
        <w:jc w:val="center"/>
      </w:pPr>
      <w:r>
        <w:rPr>
          <w:sz w:val="20"/>
        </w:rPr>
        <w:t>Preparado por: SEMPITECNO</w:t>
        <w:br/>
        <w:t>Iván García  ·  ivang@sempitecno.com  ·  +593 999 989 522</w:t>
        <w:br/>
        <w:t>Guayaquil, junio 2026  ·  Oferta N°: OFR20260622002.VERIS — Rev. 2</w:t>
      </w:r>
    </w:p>
    <w:p>
      <w:r>
        <w:br w:type="page"/>
      </w:r>
    </w:p>
    <w:p>
      <w:pPr>
        <w:pStyle w:val="Heading1"/>
      </w:pPr>
      <w:r>
        <w:rPr>
          <w:color w:val="0F3D63"/>
        </w:rPr>
        <w:t>1. Antecedentes</w:t>
      </w:r>
    </w:p>
    <w:p>
      <w:r>
        <w:rPr>
          <w:i w:val="0"/>
        </w:rPr>
        <w:t>VERIS requiere una plataforma que entregue a cada colaborador visibilidad diaria y accionable sobre el cumplimiento de sus metas, combinando analítica de datos, dashboards visuales, un coach virtual de IA y alertas automáticas. La operación diaria de las centrales médicas se gestiona hoy con tableros institucionales que consolidan la información a día vencido; esto limita la capacidad de reaccionar durante la jornada, que es cuando los correctivos tienen mayor impacto sobre la experiencia del paciente y sobre el ingreso.</w:t>
      </w:r>
    </w:p>
    <w:p>
      <w:r>
        <w:rPr>
          <w:i w:val="0"/>
        </w:rPr>
        <w:t>Esta oferta cubre el alcance completo de esa necesidad: una plataforma de seguimiento de desempeño con inteligencia artificial integrada, alimentada en tiempo casi real desde los sistemas transaccionales de VERIS, que funciona además como torre de mando operativa para jefaturas y gerencia. La solución se implementa íntegramente en la cuenta AWS de VERIS y el código resultante pasa a ser de su propiedad.</w:t>
      </w:r>
    </w:p>
    <w:p>
      <w:pPr>
        <w:pStyle w:val="Heading1"/>
      </w:pPr>
      <w:r>
        <w:rPr>
          <w:color w:val="0F3D63"/>
        </w:rPr>
        <w:t>2. Descripción de la propuesta</w:t>
      </w:r>
    </w:p>
    <w:p>
      <w:r>
        <w:rPr>
          <w:i w:val="0"/>
        </w:rPr>
        <w:t>Proponemos una plataforma web que traduce los indicadores de desempeño de VERIS en información clara, accionable y personalizada para cada colaborador y sus líderes, con un coach virtual de IA que interpreta los datos, identifica brechas y genera recomendaciones proactivas.</w:t>
      </w:r>
    </w:p>
    <w:p>
      <w:r>
        <w:rPr>
          <w:i w:val="0"/>
        </w:rPr>
        <w:t>El alcance funcional se organiza en dos frentes complementarios:</w:t>
      </w:r>
    </w:p>
    <w:p>
      <w:pPr>
        <w:pStyle w:val="ListBullet"/>
      </w:pPr>
      <w:r>
        <w:rPr>
          <w:b/>
        </w:rPr>
        <w:t xml:space="preserve">Gestión operativa del servicio: </w:t>
      </w:r>
      <w:r>
        <w:t>el recorrido del paciente antes, durante y después de la consulta (puntualidad, duración de citas, ocupación de agendas, ausentismo, flujo en cajas y kioscos de autogestión).</w:t>
      </w:r>
    </w:p>
    <w:p>
      <w:pPr>
        <w:pStyle w:val="ListBullet"/>
      </w:pPr>
      <w:r>
        <w:rPr>
          <w:b/>
        </w:rPr>
        <w:t xml:space="preserve">Gestión del ingreso: </w:t>
      </w:r>
      <w:r>
        <w:t>la conversión de las órdenes médicas prescritas en facturación efectiva dentro de la misma visita, medida por producto y por responsable, desde el momento en que el médico cierra la atención en el sistema transaccional.</w:t>
      </w:r>
    </w:p>
    <w:p>
      <w:r>
        <w:rPr>
          <w:i w:val="0"/>
        </w:rPr>
        <w:t>Cuatro principios de diseño diferencian esta plataforma de un tablero de reportería convencional:</w:t>
      </w:r>
    </w:p>
    <w:p>
      <w:pPr>
        <w:pStyle w:val="ListBullet"/>
      </w:pPr>
      <w:r>
        <w:rPr>
          <w:b/>
        </w:rPr>
        <w:t xml:space="preserve">Datos en vivo, no a día vencido. </w:t>
      </w:r>
      <w:r>
        <w:t>Los indicadores se calculan a partir de la base transaccional mediante captura de cambios (CDC), con un objetivo de latencia de segundos y sin ejecutar consultas pesadas contra el sistema productivo.</w:t>
      </w:r>
    </w:p>
    <w:p>
      <w:pPr>
        <w:pStyle w:val="ListBullet"/>
      </w:pPr>
      <w:r>
        <w:rPr>
          <w:b/>
        </w:rPr>
        <w:t xml:space="preserve">Consistencia con la reportería institucional. </w:t>
      </w:r>
      <w:r>
        <w:t>Las reglas de negocio que hoy depuran y transforman la información en los tableros corporativos de Power BI se documentan y se replican en la capa de procesamiento de la plataforma, de modo que las cifras en caliente concilien con las cifras oficiales de cierre.</w:t>
      </w:r>
    </w:p>
    <w:p>
      <w:pPr>
        <w:pStyle w:val="ListBullet"/>
      </w:pPr>
      <w:r>
        <w:rPr>
          <w:b/>
        </w:rPr>
        <w:t xml:space="preserve">Semaforización accionable. </w:t>
      </w:r>
      <w:r>
        <w:t>Cada indicador tiene metas y umbrales configurables (verde / amarillo / rojo) administrados desde un diccionario central, sin necesidad de desarrollo adicional para ajustarlos.</w:t>
      </w:r>
    </w:p>
    <w:p>
      <w:pPr>
        <w:pStyle w:val="ListBullet"/>
      </w:pPr>
      <w:r>
        <w:rPr>
          <w:b/>
        </w:rPr>
        <w:t xml:space="preserve">IA con propósito y costo controlado. </w:t>
      </w:r>
      <w:r>
        <w:t>La analítica de clasificación y predicción se ejecuta localmente en el cómputo de la plataforma (sin consumo de tokens); la IA generativa de Amazon Bedrock se invoca únicamente cuando aporta valor: redactar recomendaciones, comparativas y resúmenes en lenguaje natural.</w:t>
      </w:r>
    </w:p>
    <w:p>
      <w:pPr>
        <w:pStyle w:val="Heading2"/>
      </w:pPr>
      <w:r>
        <w:rPr>
          <w:color w:val="0F3D63"/>
        </w:rPr>
        <w:t>2.1 Portal del colaborador</w:t>
      </w:r>
    </w:p>
    <w:p>
      <w:r>
        <w:rPr>
          <w:i w:val="0"/>
        </w:rPr>
        <w:t>El colaborador accede al portal con su identificación corporativa. Desde una sola pantalla visualiza todos los indicadores de su cargo con su semaforización al momento, su evaluación de liderazgo histórica, los avances respecto de su retroalimentación, su evolución mensual y las recomendaciones generadas por IA. El portal incorpora además tres mecanismos de acompañamiento continuo:</w:t>
      </w:r>
    </w:p>
    <w:p>
      <w:pPr>
        <w:pStyle w:val="ListBullet"/>
      </w:pPr>
      <w:r>
        <w:rPr>
          <w:b/>
        </w:rPr>
        <w:t xml:space="preserve">Avisos en el momento oportuno: </w:t>
      </w:r>
      <w:r>
        <w:t>cuando un indicador propio cruza un umbral durante el turno, el colaborador recibe una notificación contextual con la desviación detectada y la acción sugerida para corregirla, sin esperar al cierre del día.</w:t>
      </w:r>
    </w:p>
    <w:p>
      <w:pPr>
        <w:pStyle w:val="ListBullet"/>
      </w:pPr>
      <w:r>
        <w:rPr>
          <w:b/>
        </w:rPr>
        <w:t xml:space="preserve">Resumen de fin de turno: </w:t>
      </w:r>
      <w:r>
        <w:t>al terminar la jornada se genera automáticamente un informe individual con los resultados del día, el valor aportado, las oportunidades no concretadas y una comparativa anónima frente a pares de perfil similar, orientado a la mejora continua.</w:t>
      </w:r>
    </w:p>
    <w:p>
      <w:pPr>
        <w:pStyle w:val="ListBullet"/>
      </w:pPr>
      <w:r>
        <w:rPr>
          <w:b/>
        </w:rPr>
        <w:t xml:space="preserve">Coach conversacional: </w:t>
      </w:r>
      <w:r>
        <w:t>un asistente con el que el colaborador puede dialogar en lenguaje natural para entender un indicador, pedir un plan de acción concreto o identificar dónde está su mayor oportunidad, con respuestas fundamentadas en sus propios datos y en las reglas de su cargo.</w:t>
      </w:r>
    </w:p>
    <w:p>
      <w:pPr>
        <w:pStyle w:val="Heading2"/>
      </w:pPr>
      <w:r>
        <w:rPr>
          <w:color w:val="0F3D63"/>
        </w:rPr>
        <w:t>2.2 Módulos funcionales de la plataforma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04"/>
            <w:shd w:fill="1A568E"/>
          </w:tcPr>
          <w:p>
            <w:r>
              <w:rPr>
                <w:b/>
                <w:color w:val="FFFFFF"/>
                <w:sz w:val="18"/>
              </w:rPr>
              <w:t>#</w:t>
            </w:r>
          </w:p>
        </w:tc>
        <w:tc>
          <w:tcPr>
            <w:tcW w:type="dxa" w:w="2232"/>
            <w:shd w:fill="1A568E"/>
          </w:tcPr>
          <w:p>
            <w:r>
              <w:rPr>
                <w:b/>
                <w:color w:val="FFFFFF"/>
                <w:sz w:val="18"/>
              </w:rPr>
              <w:t>MÓDULO</w:t>
            </w:r>
          </w:p>
        </w:tc>
        <w:tc>
          <w:tcPr>
            <w:tcW w:type="dxa" w:w="6264"/>
            <w:shd w:fill="1A568E"/>
          </w:tcPr>
          <w:p>
            <w:r>
              <w:rPr>
                <w:b/>
                <w:color w:val="FFFFFF"/>
                <w:sz w:val="18"/>
              </w:rPr>
              <w:t>DESCRIPCIÓN</w:t>
            </w:r>
          </w:p>
        </w:tc>
        <w:tc>
          <w:tcPr>
            <w:tcW w:type="dxa" w:w="1080"/>
            <w:shd w:fill="1A568E"/>
          </w:tcPr>
          <w:p>
            <w:r>
              <w:rPr>
                <w:b/>
                <w:color w:val="FFFFFF"/>
                <w:sz w:val="18"/>
              </w:rPr>
              <w:t>MOTOR</w:t>
            </w:r>
          </w:p>
        </w:tc>
      </w:tr>
      <w:tr>
        <w:tc>
          <w:tcPr>
            <w:tcW w:type="dxa" w:w="504"/>
          </w:tcPr>
          <w:p>
            <w:r>
              <w:rPr>
                <w:sz w:val="18"/>
              </w:rPr>
              <w:t>1</w:t>
            </w:r>
          </w:p>
        </w:tc>
        <w:tc>
          <w:tcPr>
            <w:tcW w:type="dxa" w:w="2232"/>
          </w:tcPr>
          <w:p>
            <w:r>
              <w:rPr>
                <w:sz w:val="18"/>
              </w:rPr>
              <w:t>Bus de integración y captura en tiempo real</w:t>
            </w:r>
          </w:p>
        </w:tc>
        <w:tc>
          <w:tcPr>
            <w:tcW w:type="dxa" w:w="6264"/>
          </w:tcPr>
          <w:p>
            <w:r>
              <w:rPr>
                <w:sz w:val="18"/>
              </w:rPr>
              <w:t>Conector CDC sobre las fuentes transaccionales (SQL Server, Oracle, PostgreSQL, APIs) con gobernanza y trazabilidad punto a punto. Sincronización continua con latencia objetivo de segundos y lectura sin impacto sobre el desempeño del sistema productivo.</w:t>
            </w:r>
          </w:p>
        </w:tc>
        <w:tc>
          <w:tcPr>
            <w:tcW w:type="dxa" w:w="1080"/>
          </w:tcPr>
          <w:p>
            <w:r>
              <w:rPr>
                <w:sz w:val="18"/>
              </w:rPr>
              <w:t>Backend</w:t>
            </w:r>
          </w:p>
        </w:tc>
      </w:tr>
      <w:tr>
        <w:tc>
          <w:tcPr>
            <w:tcW w:type="dxa" w:w="504"/>
            <w:shd w:fill="EAF1F8"/>
          </w:tcPr>
          <w:p>
            <w:r>
              <w:rPr>
                <w:sz w:val="18"/>
              </w:rPr>
              <w:t>2</w:t>
            </w:r>
          </w:p>
        </w:tc>
        <w:tc>
          <w:tcPr>
            <w:tcW w:type="dxa" w:w="2232"/>
            <w:shd w:fill="EAF1F8"/>
          </w:tcPr>
          <w:p>
            <w:r>
              <w:rPr>
                <w:sz w:val="18"/>
              </w:rPr>
              <w:t>Homologación de reglas de negocio</w:t>
            </w:r>
          </w:p>
        </w:tc>
        <w:tc>
          <w:tcPr>
            <w:tcW w:type="dxa" w:w="6264"/>
            <w:shd w:fill="EAF1F8"/>
          </w:tcPr>
          <w:p>
            <w:r>
              <w:rPr>
                <w:sz w:val="18"/>
              </w:rPr>
              <w:t>Levantamiento y replicación de las reglas de limpieza y transformación vigentes en los tableros institucionales de Power BI, aplicadas en streaming antes del cálculo de indicadores para garantizar conciliación con la reportería oficial.</w:t>
            </w:r>
          </w:p>
        </w:tc>
        <w:tc>
          <w:tcPr>
            <w:tcW w:type="dxa" w:w="1080"/>
            <w:shd w:fill="EAF1F8"/>
          </w:tcPr>
          <w:p>
            <w:r>
              <w:rPr>
                <w:sz w:val="18"/>
              </w:rPr>
              <w:t>Backend</w:t>
            </w:r>
          </w:p>
        </w:tc>
      </w:tr>
      <w:tr>
        <w:tc>
          <w:tcPr>
            <w:tcW w:type="dxa" w:w="504"/>
          </w:tcPr>
          <w:p>
            <w:r>
              <w:rPr>
                <w:sz w:val="18"/>
              </w:rPr>
              <w:t>3</w:t>
            </w:r>
          </w:p>
        </w:tc>
        <w:tc>
          <w:tcPr>
            <w:tcW w:type="dxa" w:w="2232"/>
          </w:tcPr>
          <w:p>
            <w:r>
              <w:rPr>
                <w:sz w:val="18"/>
              </w:rPr>
              <w:t>Gestión de KPIs y estructura organizacional</w:t>
            </w:r>
          </w:p>
        </w:tc>
        <w:tc>
          <w:tcPr>
            <w:tcW w:type="dxa" w:w="6264"/>
          </w:tcPr>
          <w:p>
            <w:r>
              <w:rPr>
                <w:sz w:val="18"/>
              </w:rPr>
              <w:t>Diccionario de indicadores (fórmulas, metas, frecuencias, umbrales rojo/amarillo/verde) administrable por perfiles autorizados. Jerarquía individual → equipo → central → empresa. Control de acceso por rol (RBAC).</w:t>
            </w:r>
          </w:p>
        </w:tc>
        <w:tc>
          <w:tcPr>
            <w:tcW w:type="dxa" w:w="1080"/>
          </w:tcPr>
          <w:p>
            <w:r>
              <w:rPr>
                <w:sz w:val="18"/>
              </w:rPr>
              <w:t>Backend</w:t>
            </w:r>
          </w:p>
        </w:tc>
      </w:tr>
      <w:tr>
        <w:tc>
          <w:tcPr>
            <w:tcW w:type="dxa" w:w="504"/>
            <w:shd w:fill="EAF1F8"/>
          </w:tcPr>
          <w:p>
            <w:r>
              <w:rPr>
                <w:sz w:val="18"/>
              </w:rPr>
              <w:t>4</w:t>
            </w:r>
          </w:p>
        </w:tc>
        <w:tc>
          <w:tcPr>
            <w:tcW w:type="dxa" w:w="2232"/>
            <w:shd w:fill="EAF1F8"/>
          </w:tcPr>
          <w:p>
            <w:r>
              <w:rPr>
                <w:sz w:val="18"/>
              </w:rPr>
              <w:t>Dashboards multirol (colaborador, jefatura y gerencia)</w:t>
            </w:r>
          </w:p>
        </w:tc>
        <w:tc>
          <w:tcPr>
            <w:tcW w:type="dxa" w:w="6264"/>
            <w:shd w:fill="EAF1F8"/>
          </w:tcPr>
          <w:p>
            <w:r>
              <w:rPr>
                <w:sz w:val="18"/>
              </w:rPr>
              <w:t>Vista individual tipo "pulso" con diales y tendencias; vista de jefatura con el equipo minuto a minuto y mapa de calor; vista gerencial consolidada de toda la red con colorimetría por central y navegación drill-down hasta el detalle de cada colaborador.</w:t>
            </w:r>
          </w:p>
        </w:tc>
        <w:tc>
          <w:tcPr>
            <w:tcW w:type="dxa" w:w="1080"/>
            <w:shd w:fill="EAF1F8"/>
          </w:tcPr>
          <w:p>
            <w:r>
              <w:rPr>
                <w:sz w:val="18"/>
              </w:rPr>
              <w:t>Frontend</w:t>
            </w:r>
          </w:p>
        </w:tc>
      </w:tr>
      <w:tr>
        <w:tc>
          <w:tcPr>
            <w:tcW w:type="dxa" w:w="504"/>
          </w:tcPr>
          <w:p>
            <w:r>
              <w:rPr>
                <w:sz w:val="18"/>
              </w:rPr>
              <w:t>5</w:t>
            </w:r>
          </w:p>
        </w:tc>
        <w:tc>
          <w:tcPr>
            <w:tcW w:type="dxa" w:w="2232"/>
          </w:tcPr>
          <w:p>
            <w:r>
              <w:rPr>
                <w:sz w:val="18"/>
              </w:rPr>
              <w:t>Motor de semaforización y alertas</w:t>
            </w:r>
          </w:p>
        </w:tc>
        <w:tc>
          <w:tcPr>
            <w:tcW w:type="dxa" w:w="6264"/>
          </w:tcPr>
          <w:p>
            <w:r>
              <w:rPr>
                <w:sz w:val="18"/>
              </w:rPr>
              <w:t>Evaluación continua de cada indicador contra sus umbrales, generación de estados y disparo de alertas al responsable correspondiente según la cadena de escalamiento configurada.</w:t>
            </w:r>
          </w:p>
        </w:tc>
        <w:tc>
          <w:tcPr>
            <w:tcW w:type="dxa" w:w="1080"/>
          </w:tcPr>
          <w:p>
            <w:r>
              <w:rPr>
                <w:sz w:val="18"/>
              </w:rPr>
              <w:t>Backend</w:t>
            </w:r>
          </w:p>
        </w:tc>
      </w:tr>
      <w:tr>
        <w:tc>
          <w:tcPr>
            <w:tcW w:type="dxa" w:w="504"/>
            <w:shd w:fill="EAF1F8"/>
          </w:tcPr>
          <w:p>
            <w:r>
              <w:rPr>
                <w:sz w:val="18"/>
              </w:rPr>
              <w:t>6</w:t>
            </w:r>
          </w:p>
        </w:tc>
        <w:tc>
          <w:tcPr>
            <w:tcW w:type="dxa" w:w="2232"/>
            <w:shd w:fill="EAF1F8"/>
          </w:tcPr>
          <w:p>
            <w:r>
              <w:rPr>
                <w:sz w:val="18"/>
              </w:rPr>
              <w:t>Coach Virtual IA</w:t>
            </w:r>
          </w:p>
        </w:tc>
        <w:tc>
          <w:tcPr>
            <w:tcW w:type="dxa" w:w="6264"/>
            <w:shd w:fill="EAF1F8"/>
          </w:tcPr>
          <w:p>
            <w:r>
              <w:rPr>
                <w:sz w:val="18"/>
              </w:rPr>
              <w:t>Analista de brechas que interpreta los datos y explica en lenguaje natural qué falta para la meta y dónde se originó la desviación. Genera recomendaciones proactivas, comparativas frente a perfiles referentes y planes de acción personalizados, en modalidad conversacional.</w:t>
            </w:r>
          </w:p>
        </w:tc>
        <w:tc>
          <w:tcPr>
            <w:tcW w:type="dxa" w:w="1080"/>
            <w:shd w:fill="EAF1F8"/>
          </w:tcPr>
          <w:p>
            <w:r>
              <w:rPr>
                <w:sz w:val="18"/>
              </w:rPr>
              <w:t>IA</w:t>
            </w:r>
          </w:p>
        </w:tc>
      </w:tr>
      <w:tr>
        <w:tc>
          <w:tcPr>
            <w:tcW w:type="dxa" w:w="504"/>
          </w:tcPr>
          <w:p>
            <w:r>
              <w:rPr>
                <w:sz w:val="18"/>
              </w:rPr>
              <w:t>7</w:t>
            </w:r>
          </w:p>
        </w:tc>
        <w:tc>
          <w:tcPr>
            <w:tcW w:type="dxa" w:w="2232"/>
          </w:tcPr>
          <w:p>
            <w:r>
              <w:rPr>
                <w:sz w:val="18"/>
              </w:rPr>
              <w:t>Analítica predictiva embebida</w:t>
            </w:r>
          </w:p>
        </w:tc>
        <w:tc>
          <w:tcPr>
            <w:tcW w:type="dxa" w:w="6264"/>
          </w:tcPr>
          <w:p>
            <w:r>
              <w:rPr>
                <w:sz w:val="18"/>
              </w:rPr>
              <w:t>Modelos de control estadístico y aprendizaje supervisado tabular que detectan anomalías y anticipan el incumplimiento de metas antes del cierre del turno, ejecutados localmente sin consumo de servicios generativos.</w:t>
            </w:r>
          </w:p>
        </w:tc>
        <w:tc>
          <w:tcPr>
            <w:tcW w:type="dxa" w:w="1080"/>
          </w:tcPr>
          <w:p>
            <w:r>
              <w:rPr>
                <w:sz w:val="18"/>
              </w:rPr>
              <w:t>IA</w:t>
            </w:r>
          </w:p>
        </w:tc>
      </w:tr>
      <w:tr>
        <w:tc>
          <w:tcPr>
            <w:tcW w:type="dxa" w:w="504"/>
            <w:shd w:fill="EAF1F8"/>
          </w:tcPr>
          <w:p>
            <w:r>
              <w:rPr>
                <w:sz w:val="18"/>
              </w:rPr>
              <w:t>8</w:t>
            </w:r>
          </w:p>
        </w:tc>
        <w:tc>
          <w:tcPr>
            <w:tcW w:type="dxa" w:w="2232"/>
            <w:shd w:fill="EAF1F8"/>
          </w:tcPr>
          <w:p>
            <w:r>
              <w:rPr>
                <w:sz w:val="18"/>
              </w:rPr>
              <w:t>Sistema de notificaciones inteligentes</w:t>
            </w:r>
          </w:p>
        </w:tc>
        <w:tc>
          <w:tcPr>
            <w:tcW w:type="dxa" w:w="6264"/>
            <w:shd w:fill="EAF1F8"/>
          </w:tcPr>
          <w:p>
            <w:r>
              <w:rPr>
                <w:sz w:val="18"/>
              </w:rPr>
              <w:t>Alertas por correo y en plataforma cuando un KPI cae bajo el umbral, con cuerpo redactado por IA: estado del indicador, desviación cuantificada y acción sugerida.</w:t>
            </w:r>
          </w:p>
        </w:tc>
        <w:tc>
          <w:tcPr>
            <w:tcW w:type="dxa" w:w="1080"/>
            <w:shd w:fill="EAF1F8"/>
          </w:tcPr>
          <w:p>
            <w:r>
              <w:rPr>
                <w:sz w:val="18"/>
              </w:rPr>
              <w:t>IA</w:t>
            </w:r>
          </w:p>
        </w:tc>
      </w:tr>
      <w:tr>
        <w:tc>
          <w:tcPr>
            <w:tcW w:type="dxa" w:w="504"/>
          </w:tcPr>
          <w:p>
            <w:r>
              <w:rPr>
                <w:sz w:val="18"/>
              </w:rPr>
              <w:t>9</w:t>
            </w:r>
          </w:p>
        </w:tc>
        <w:tc>
          <w:tcPr>
            <w:tcW w:type="dxa" w:w="2232"/>
          </w:tcPr>
          <w:p>
            <w:r>
              <w:rPr>
                <w:sz w:val="18"/>
              </w:rPr>
              <w:t>Módulo de reportería</w:t>
            </w:r>
          </w:p>
        </w:tc>
        <w:tc>
          <w:tcPr>
            <w:tcW w:type="dxa" w:w="6264"/>
          </w:tcPr>
          <w:p>
            <w:r>
              <w:rPr>
                <w:sz w:val="18"/>
              </w:rPr>
              <w:t>Tendencias históricas, ranking de cumplimiento, detalle de desviaciones, resumen ejecutivo diario para gerencia y exportador profesional (PDF + Excel).</w:t>
            </w:r>
          </w:p>
        </w:tc>
        <w:tc>
          <w:tcPr>
            <w:tcW w:type="dxa" w:w="1080"/>
          </w:tcPr>
          <w:p>
            <w:r>
              <w:rPr>
                <w:sz w:val="18"/>
              </w:rPr>
              <w:t>Backend</w:t>
            </w:r>
          </w:p>
        </w:tc>
      </w:tr>
    </w:tbl>
    <w:p/>
    <w:p>
      <w:pPr>
        <w:pStyle w:val="Heading2"/>
      </w:pPr>
      <w:r>
        <w:rPr>
          <w:color w:val="0F3D63"/>
        </w:rPr>
        <w:t>2.3 Catálogo inicial de indicadores</w:t>
      </w:r>
    </w:p>
    <w:p>
      <w:r>
        <w:rPr>
          <w:i w:val="0"/>
        </w:rPr>
        <w:t>Como punto de partida se propone el siguiente catálogo, elaborado a partir del conocimiento de la operación de VERIS. Las metas y umbrales definitivos se validarán con las áreas responsables durante el levantamiento técnico y quedarán administrables desde el diccionario de KPIs, por lo que su ajuste posterior no requiere desarrollo.</w:t>
      </w:r>
    </w:p>
    <w:p>
      <w:pPr>
        <w:pStyle w:val="Heading3"/>
      </w:pPr>
      <w:r>
        <w:rPr>
          <w:color w:val="0F3D63"/>
        </w:rPr>
        <w:t>Frente 1 — Gestión operativa del servicio</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fill="1A568E"/>
          </w:tcPr>
          <w:p>
            <w:r>
              <w:rPr>
                <w:b/>
                <w:color w:val="FFFFFF"/>
                <w:sz w:val="18"/>
              </w:rPr>
              <w:t>INDICADOR</w:t>
            </w:r>
          </w:p>
        </w:tc>
        <w:tc>
          <w:tcPr>
            <w:tcW w:type="dxa" w:w="2736"/>
            <w:shd w:fill="1A568E"/>
          </w:tcPr>
          <w:p>
            <w:r>
              <w:rPr>
                <w:b/>
                <w:color w:val="FFFFFF"/>
                <w:sz w:val="18"/>
              </w:rPr>
              <w:t>UMBRALES PROPUESTOS</w:t>
            </w:r>
          </w:p>
        </w:tc>
        <w:tc>
          <w:tcPr>
            <w:tcW w:type="dxa" w:w="4320"/>
            <w:shd w:fill="1A568E"/>
          </w:tcPr>
          <w:p>
            <w:r>
              <w:rPr>
                <w:b/>
                <w:color w:val="FFFFFF"/>
                <w:sz w:val="18"/>
              </w:rPr>
              <w:t>ACOMPAÑAMIENTO INTELIGENTE</w:t>
            </w:r>
          </w:p>
        </w:tc>
      </w:tr>
      <w:tr>
        <w:tc>
          <w:tcPr>
            <w:tcW w:type="dxa" w:w="2736"/>
          </w:tcPr>
          <w:p>
            <w:r>
              <w:rPr>
                <w:sz w:val="18"/>
              </w:rPr>
              <w:t>Puntualidad de inicio de citas, por especialidad y profesional</w:t>
            </w:r>
          </w:p>
        </w:tc>
        <w:tc>
          <w:tcPr>
            <w:tcW w:type="dxa" w:w="2736"/>
          </w:tcPr>
          <w:p>
            <w:r>
              <w:rPr>
                <w:sz w:val="18"/>
              </w:rPr>
              <w:t>Verde: puntual o &lt; 5 min · Amarillo: 5–10 min · Rojo: &gt; 10 min</w:t>
            </w:r>
          </w:p>
        </w:tc>
        <w:tc>
          <w:tcPr>
            <w:tcW w:type="dxa" w:w="4320"/>
          </w:tcPr>
          <w:p>
            <w:r>
              <w:rPr>
                <w:sz w:val="18"/>
              </w:rPr>
              <w:t>Aviso semaforizado al profesional con sugerencia de calibración de tiempos; escalamiento a jefatura.</w:t>
            </w:r>
          </w:p>
        </w:tc>
      </w:tr>
      <w:tr>
        <w:tc>
          <w:tcPr>
            <w:tcW w:type="dxa" w:w="2736"/>
            <w:shd w:fill="EAF1F8"/>
          </w:tcPr>
          <w:p>
            <w:r>
              <w:rPr>
                <w:sz w:val="18"/>
              </w:rPr>
              <w:t>Duración efectiva de la consulta</w:t>
            </w:r>
          </w:p>
        </w:tc>
        <w:tc>
          <w:tcPr>
            <w:tcW w:type="dxa" w:w="2736"/>
            <w:shd w:fill="EAF1F8"/>
          </w:tcPr>
          <w:p>
            <w:r>
              <w:rPr>
                <w:sz w:val="18"/>
              </w:rPr>
              <w:t>Verde: 18–20 min · Amarillo: 10–17 min · Rojo: &lt; 10 min</w:t>
            </w:r>
          </w:p>
        </w:tc>
        <w:tc>
          <w:tcPr>
            <w:tcW w:type="dxa" w:w="4320"/>
            <w:shd w:fill="EAF1F8"/>
          </w:tcPr>
          <w:p>
            <w:r>
              <w:rPr>
                <w:sz w:val="18"/>
              </w:rPr>
              <w:t>Comparativa frente a profesionales referentes de la misma especialidad con altos resultados clínicos.</w:t>
            </w:r>
          </w:p>
        </w:tc>
      </w:tr>
      <w:tr>
        <w:tc>
          <w:tcPr>
            <w:tcW w:type="dxa" w:w="2736"/>
          </w:tcPr>
          <w:p>
            <w:r>
              <w:rPr>
                <w:sz w:val="18"/>
              </w:rPr>
              <w:t>Ocupación de agenda, por especialidad y profesional</w:t>
            </w:r>
          </w:p>
        </w:tc>
        <w:tc>
          <w:tcPr>
            <w:tcW w:type="dxa" w:w="2736"/>
          </w:tcPr>
          <w:p>
            <w:r>
              <w:rPr>
                <w:sz w:val="18"/>
              </w:rPr>
              <w:t>Verde: 80–100 % · Amarillo: 60–79 % · Rojo: &lt; 60 %</w:t>
            </w:r>
          </w:p>
        </w:tc>
        <w:tc>
          <w:tcPr>
            <w:tcW w:type="dxa" w:w="4320"/>
          </w:tcPr>
          <w:p>
            <w:r>
              <w:rPr>
                <w:sz w:val="18"/>
              </w:rPr>
              <w:t>Análisis del patrón de llenado y recomendación de gestión de cupos; semáforo a jefatura.</w:t>
            </w:r>
          </w:p>
        </w:tc>
      </w:tr>
      <w:tr>
        <w:tc>
          <w:tcPr>
            <w:tcW w:type="dxa" w:w="2736"/>
            <w:shd w:fill="EAF1F8"/>
          </w:tcPr>
          <w:p>
            <w:r>
              <w:rPr>
                <w:sz w:val="18"/>
              </w:rPr>
              <w:t>Ausentismo de pacientes</w:t>
            </w:r>
          </w:p>
        </w:tc>
        <w:tc>
          <w:tcPr>
            <w:tcW w:type="dxa" w:w="2736"/>
            <w:shd w:fill="EAF1F8"/>
          </w:tcPr>
          <w:p>
            <w:r>
              <w:rPr>
                <w:sz w:val="18"/>
              </w:rPr>
              <w:t>Verde: 1–7 % · Amarillo: 8–10 % · Rojo: &gt; 10 %</w:t>
            </w:r>
          </w:p>
        </w:tc>
        <w:tc>
          <w:tcPr>
            <w:tcW w:type="dxa" w:w="4320"/>
            <w:shd w:fill="EAF1F8"/>
          </w:tcPr>
          <w:p>
            <w:r>
              <w:rPr>
                <w:sz w:val="18"/>
              </w:rPr>
              <w:t>Alerta a jefatura para activar correctivos de confirmación y recuperación de citas.</w:t>
            </w:r>
          </w:p>
        </w:tc>
      </w:tr>
      <w:tr>
        <w:tc>
          <w:tcPr>
            <w:tcW w:type="dxa" w:w="2736"/>
          </w:tcPr>
          <w:p>
            <w:r>
              <w:rPr>
                <w:sz w:val="18"/>
              </w:rPr>
              <w:t>Derivación a kioscos de autogestión (proporción kiosco vs. caja)</w:t>
            </w:r>
          </w:p>
        </w:tc>
        <w:tc>
          <w:tcPr>
            <w:tcW w:type="dxa" w:w="2736"/>
          </w:tcPr>
          <w:p>
            <w:r>
              <w:rPr>
                <w:sz w:val="18"/>
              </w:rPr>
              <w:t>Umbrales por franja horaria, a definir en el levantamiento</w:t>
            </w:r>
          </w:p>
        </w:tc>
        <w:tc>
          <w:tcPr>
            <w:tcW w:type="dxa" w:w="4320"/>
          </w:tcPr>
          <w:p>
            <w:r>
              <w:rPr>
                <w:sz w:val="18"/>
              </w:rPr>
              <w:t>Identificación de transacciones atendidas en caja que califican para kiosco: saturación evitable.</w:t>
            </w:r>
          </w:p>
        </w:tc>
      </w:tr>
      <w:tr>
        <w:tc>
          <w:tcPr>
            <w:tcW w:type="dxa" w:w="2736"/>
            <w:shd w:fill="EAF1F8"/>
          </w:tcPr>
          <w:p>
            <w:r>
              <w:rPr>
                <w:sz w:val="18"/>
              </w:rPr>
              <w:t>Productividad de kioscos de autogestión</w:t>
            </w:r>
          </w:p>
        </w:tc>
        <w:tc>
          <w:tcPr>
            <w:tcW w:type="dxa" w:w="2736"/>
            <w:shd w:fill="EAF1F8"/>
          </w:tcPr>
          <w:p>
            <w:r>
              <w:rPr>
                <w:sz w:val="18"/>
              </w:rPr>
              <w:t>Umbrales por franja horaria y por punto</w:t>
            </w:r>
          </w:p>
        </w:tc>
        <w:tc>
          <w:tcPr>
            <w:tcW w:type="dxa" w:w="4320"/>
            <w:shd w:fill="EAF1F8"/>
          </w:tcPr>
          <w:p>
            <w:r>
              <w:rPr>
                <w:sz w:val="18"/>
              </w:rPr>
              <w:t>Semáforo por franja y punto de atención, con tendencia y comparativa entre centrales.</w:t>
            </w:r>
          </w:p>
        </w:tc>
      </w:tr>
      <w:tr>
        <w:tc>
          <w:tcPr>
            <w:tcW w:type="dxa" w:w="2736"/>
          </w:tcPr>
          <w:p>
            <w:r>
              <w:rPr>
                <w:sz w:val="18"/>
              </w:rPr>
              <w:t>Tiempo de espera en caja</w:t>
            </w:r>
          </w:p>
        </w:tc>
        <w:tc>
          <w:tcPr>
            <w:tcW w:type="dxa" w:w="2736"/>
          </w:tcPr>
          <w:p>
            <w:r>
              <w:rPr>
                <w:sz w:val="18"/>
              </w:rPr>
              <w:t>Umbrales de tiempo definidos por central</w:t>
            </w:r>
          </w:p>
        </w:tc>
        <w:tc>
          <w:tcPr>
            <w:tcW w:type="dxa" w:w="4320"/>
          </w:tcPr>
          <w:p>
            <w:r>
              <w:rPr>
                <w:sz w:val="18"/>
              </w:rPr>
              <w:t>Mapa de calor en vivo, aviso al ejecutivo y alerta temprana de congestión de filas.</w:t>
            </w:r>
          </w:p>
        </w:tc>
      </w:tr>
      <w:tr>
        <w:tc>
          <w:tcPr>
            <w:tcW w:type="dxa" w:w="2736"/>
            <w:shd w:fill="EAF1F8"/>
          </w:tcPr>
          <w:p>
            <w:r>
              <w:rPr>
                <w:sz w:val="18"/>
              </w:rPr>
              <w:t>Tiempo de atención por ejecutivo de caja</w:t>
            </w:r>
          </w:p>
        </w:tc>
        <w:tc>
          <w:tcPr>
            <w:tcW w:type="dxa" w:w="2736"/>
            <w:shd w:fill="EAF1F8"/>
          </w:tcPr>
          <w:p>
            <w:r>
              <w:rPr>
                <w:sz w:val="18"/>
              </w:rPr>
              <w:t>Umbrales de tiempo definidos por central</w:t>
            </w:r>
          </w:p>
        </w:tc>
        <w:tc>
          <w:tcPr>
            <w:tcW w:type="dxa" w:w="4320"/>
            <w:shd w:fill="EAF1F8"/>
          </w:tcPr>
          <w:p>
            <w:r>
              <w:rPr>
                <w:sz w:val="18"/>
              </w:rPr>
              <w:t>Mapa de calor por ejecutivo y recomendación basada en los perfiles de mejor desempeño.</w:t>
            </w:r>
          </w:p>
        </w:tc>
      </w:tr>
    </w:tbl>
    <w:p/>
    <w:p>
      <w:pPr>
        <w:pStyle w:val="Heading3"/>
      </w:pPr>
      <w:r>
        <w:rPr>
          <w:color w:val="0F3D63"/>
        </w:rPr>
        <w:t>Frente 2 — Gestión del ingreso</w:t>
      </w:r>
    </w:p>
    <w:p>
      <w:r>
        <w:rPr>
          <w:i w:val="0"/>
        </w:rPr>
        <w:t>El indicador central de este frente es la conversión inmediata de órdenes prescritas: el porcentaje de órdenes médicas (laboratorio, imágenes, procedimientos, terapias, farmacia, odontología y óptica) que el paciente factura durante la misma visita, antes de abandonar la central. Se calcula en tiempo casi real desde el cierre de la atención en el sistema clínico.</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fill="1A568E"/>
          </w:tcPr>
          <w:p>
            <w:r>
              <w:rPr>
                <w:b/>
                <w:color w:val="FFFFFF"/>
                <w:sz w:val="18"/>
              </w:rPr>
              <w:t>INDICADOR</w:t>
            </w:r>
          </w:p>
        </w:tc>
        <w:tc>
          <w:tcPr>
            <w:tcW w:type="dxa" w:w="2736"/>
            <w:shd w:fill="1A568E"/>
          </w:tcPr>
          <w:p>
            <w:r>
              <w:rPr>
                <w:b/>
                <w:color w:val="FFFFFF"/>
                <w:sz w:val="18"/>
              </w:rPr>
              <w:t>UMBRALES PROPUESTOS</w:t>
            </w:r>
          </w:p>
        </w:tc>
        <w:tc>
          <w:tcPr>
            <w:tcW w:type="dxa" w:w="4320"/>
            <w:shd w:fill="1A568E"/>
          </w:tcPr>
          <w:p>
            <w:r>
              <w:rPr>
                <w:b/>
                <w:color w:val="FFFFFF"/>
                <w:sz w:val="18"/>
              </w:rPr>
              <w:t>ACOMPAÑAMIENTO INTELIGENTE</w:t>
            </w:r>
          </w:p>
        </w:tc>
      </w:tr>
      <w:tr>
        <w:tc>
          <w:tcPr>
            <w:tcW w:type="dxa" w:w="2736"/>
          </w:tcPr>
          <w:p>
            <w:r>
              <w:rPr>
                <w:sz w:val="18"/>
              </w:rPr>
              <w:t>Conversión inmediata de órdenes, por profesional prescriptor</w:t>
            </w:r>
          </w:p>
        </w:tc>
        <w:tc>
          <w:tcPr>
            <w:tcW w:type="dxa" w:w="2736"/>
          </w:tcPr>
          <w:p>
            <w:r>
              <w:rPr>
                <w:sz w:val="18"/>
              </w:rPr>
              <w:t>Metas por línea de producto, definidas con las áreas comerciales en el levantamiento</w:t>
            </w:r>
          </w:p>
        </w:tc>
        <w:tc>
          <w:tcPr>
            <w:tcW w:type="dxa" w:w="4320"/>
          </w:tcPr>
          <w:p>
            <w:r>
              <w:rPr>
                <w:sz w:val="18"/>
              </w:rPr>
              <w:t>Aviso semaforizado por orden emitida; comparativa con referentes y resumen de fin de turno con valor aportado y oportunidad no concretada.</w:t>
            </w:r>
          </w:p>
        </w:tc>
      </w:tr>
      <w:tr>
        <w:tc>
          <w:tcPr>
            <w:tcW w:type="dxa" w:w="2736"/>
            <w:shd w:fill="EAF1F8"/>
          </w:tcPr>
          <w:p>
            <w:r>
              <w:rPr>
                <w:sz w:val="18"/>
              </w:rPr>
              <w:t>Conversión inmediata de órdenes, por ejecutivo de caja</w:t>
            </w:r>
          </w:p>
        </w:tc>
        <w:tc>
          <w:tcPr>
            <w:tcW w:type="dxa" w:w="2736"/>
            <w:shd w:fill="EAF1F8"/>
          </w:tcPr>
          <w:p>
            <w:r>
              <w:rPr>
                <w:sz w:val="18"/>
              </w:rPr>
              <w:t>Mismas metas por línea de producto</w:t>
            </w:r>
          </w:p>
        </w:tc>
        <w:tc>
          <w:tcPr>
            <w:tcW w:type="dxa" w:w="4320"/>
            <w:shd w:fill="EAF1F8"/>
          </w:tcPr>
          <w:p>
            <w:r>
              <w:rPr>
                <w:sz w:val="18"/>
              </w:rPr>
              <w:t>Recomendaciones de cierre de venta en el punto de pago y comparativa entre ejecutivos.</w:t>
            </w:r>
          </w:p>
        </w:tc>
      </w:tr>
      <w:tr>
        <w:tc>
          <w:tcPr>
            <w:tcW w:type="dxa" w:w="2736"/>
          </w:tcPr>
          <w:p>
            <w:r>
              <w:rPr>
                <w:sz w:val="18"/>
              </w:rPr>
              <w:t>Afluencia y atenciones por segmento de cliente</w:t>
            </w:r>
          </w:p>
        </w:tc>
        <w:tc>
          <w:tcPr>
            <w:tcW w:type="dxa" w:w="2736"/>
          </w:tcPr>
          <w:p>
            <w:r>
              <w:rPr>
                <w:sz w:val="18"/>
              </w:rPr>
              <w:t>Metas diarias por segmento (asegurado, particular, empresarial, planes)</w:t>
            </w:r>
          </w:p>
        </w:tc>
        <w:tc>
          <w:tcPr>
            <w:tcW w:type="dxa" w:w="4320"/>
          </w:tcPr>
          <w:p>
            <w:r>
              <w:rPr>
                <w:sz w:val="18"/>
              </w:rPr>
              <w:t>Monitoreo del flujo por franja horaria y especialidad frente a la meta del día.</w:t>
            </w:r>
          </w:p>
        </w:tc>
      </w:tr>
      <w:tr>
        <w:tc>
          <w:tcPr>
            <w:tcW w:type="dxa" w:w="2736"/>
            <w:shd w:fill="EAF1F8"/>
          </w:tcPr>
          <w:p>
            <w:r>
              <w:rPr>
                <w:sz w:val="18"/>
              </w:rPr>
              <w:t>Cierre de venta de planes y paquetes, por ejecutivo</w:t>
            </w:r>
          </w:p>
        </w:tc>
        <w:tc>
          <w:tcPr>
            <w:tcW w:type="dxa" w:w="2736"/>
            <w:shd w:fill="EAF1F8"/>
          </w:tcPr>
          <w:p>
            <w:r>
              <w:rPr>
                <w:sz w:val="18"/>
              </w:rPr>
              <w:t>Verde: ≥ 90 % · Amarillo: 70–89 % · Rojo: &lt; 70 %</w:t>
            </w:r>
          </w:p>
        </w:tc>
        <w:tc>
          <w:tcPr>
            <w:tcW w:type="dxa" w:w="4320"/>
            <w:shd w:fill="EAF1F8"/>
          </w:tcPr>
          <w:p>
            <w:r>
              <w:rPr>
                <w:sz w:val="18"/>
              </w:rPr>
              <w:t>Avance frente al presupuesto diario, sugerencia del paquete con mayor probabilidad y resumen de turno.</w:t>
            </w:r>
          </w:p>
        </w:tc>
      </w:tr>
      <w:tr>
        <w:tc>
          <w:tcPr>
            <w:tcW w:type="dxa" w:w="2736"/>
          </w:tcPr>
          <w:p>
            <w:r>
              <w:rPr>
                <w:sz w:val="18"/>
              </w:rPr>
              <w:t>Cierre de venta en farmacia, por dependiente</w:t>
            </w:r>
          </w:p>
        </w:tc>
        <w:tc>
          <w:tcPr>
            <w:tcW w:type="dxa" w:w="2736"/>
          </w:tcPr>
          <w:p>
            <w:r>
              <w:rPr>
                <w:sz w:val="18"/>
              </w:rPr>
              <w:t>Mismo esquema del punto anterior</w:t>
            </w:r>
          </w:p>
        </w:tc>
        <w:tc>
          <w:tcPr>
            <w:tcW w:type="dxa" w:w="4320"/>
          </w:tcPr>
          <w:p>
            <w:r>
              <w:rPr>
                <w:sz w:val="18"/>
              </w:rPr>
              <w:t>Recomendaciones e insights de cierre aplicados al mostrador de farmacia.</w:t>
            </w:r>
          </w:p>
        </w:tc>
      </w:tr>
    </w:tbl>
    <w:p/>
    <w:p>
      <w:pPr>
        <w:pStyle w:val="Heading2"/>
      </w:pPr>
      <w:r>
        <w:rPr>
          <w:color w:val="0F3D63"/>
        </w:rPr>
        <w:t>2.4 Niveles de visualización y gestión</w:t>
      </w:r>
    </w:p>
    <w:p>
      <w:r>
        <w:rPr>
          <w:i w:val="0"/>
        </w:rPr>
        <w:t>La plataforma habilita tres niveles de acceso, cada uno con la información y las herramientas adecuadas a su rol:</w:t>
      </w:r>
    </w:p>
    <w:p>
      <w:pPr>
        <w:pStyle w:val="ListBullet"/>
      </w:pPr>
      <w:r>
        <w:rPr>
          <w:b/>
        </w:rPr>
        <w:t xml:space="preserve">Colaboradores (profesionales de salud, ejecutivos de caja y dependientes de farmacia): </w:t>
      </w:r>
      <w:r>
        <w:t>su tablero personal, avisos contextuales, resumen de fin de turno y coach conversacional, orientados a la autogestión.</w:t>
      </w:r>
    </w:p>
    <w:p>
      <w:pPr>
        <w:pStyle w:val="ListBullet"/>
      </w:pPr>
      <w:r>
        <w:rPr>
          <w:b/>
        </w:rPr>
        <w:t xml:space="preserve">Jefaturas y líderes de central: </w:t>
      </w:r>
      <w:r>
        <w:t>vista minuto a minuto de su equipo, identificación inmediata de quién está en rojo y herramientas para gestionar correctivos durante la jornada.</w:t>
      </w:r>
    </w:p>
    <w:p>
      <w:pPr>
        <w:pStyle w:val="ListBullet"/>
      </w:pPr>
      <w:r>
        <w:rPr>
          <w:b/>
        </w:rPr>
        <w:t xml:space="preserve">Gerencia Nacional de Operaciones y jefaturas regionales: </w:t>
      </w:r>
      <w:r>
        <w:t>colorimetría consolidada central por central con la salud operativa de toda la red, y navegación progresiva hasta el detalle de cada colaborador. Al cierre del día, resumen ejecutivo consolidado con la semaforización final de cada indicador.</w:t>
      </w:r>
    </w:p>
    <w:p>
      <w:pPr>
        <w:pStyle w:val="Heading1"/>
      </w:pPr>
      <w:r>
        <w:rPr>
          <w:color w:val="0F3D63"/>
        </w:rPr>
        <w:t>3. Arquitectura de la solución</w:t>
      </w:r>
    </w:p>
    <w:p>
      <w:r>
        <w:rPr>
          <w:i w:val="0"/>
        </w:rPr>
        <w:t>La solución se estructura en cinco capas desacopladas que conforman un bus de datos gobernado, con visibilidad y trazabilidad punto a punto. SEMPITECNO configura la arquitectura completa —captura de datos, procesamiento, agente de IA, Knowledge Bases, funciones Lambda, API Gateway, almacenamiento y monitoreo— y desarrolla los prompts y flujos, todo dentro de la cuenta AWS de VERIS. Los costos de consumo de nube y de Bedrock los paga VERIS directamente a Amazon, sin intermediarios ni márgenes.</w:t>
      </w:r>
    </w:p>
    <w:p>
      <w:r>
        <w:rPr>
          <w:i w:val="0"/>
        </w:rPr>
        <w:t>El diseño desacoplado permite que cada capa evolucione de forma independiente: incorporar una nueva fuente de datos, un nuevo indicador o un nuevo rol de visualización no exige reescribir la plataforma. El despliegue de referencia es en la nube privada de VERIS sobre AWS; dado el tratamiento de datos clínicos sensibles, la topología definitiva (servicios gestionados, VPC, cifrado y residencia de datos) se confirmará durante el levantamiento técnico.</w:t>
      </w:r>
    </w:p>
    <w:p>
      <w:pPr>
        <w:jc w:val="center"/>
      </w:pPr>
      <w:r>
        <w:drawing>
          <wp:inline xmlns:a="http://schemas.openxmlformats.org/drawingml/2006/main" xmlns:pic="http://schemas.openxmlformats.org/drawingml/2006/picture">
            <wp:extent cx="6035040" cy="4376556"/>
            <wp:docPr id="1" name="Picture 1"/>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6035040" cy="4376556"/>
                    </a:xfrm>
                    <a:prstGeom prst="rect"/>
                  </pic:spPr>
                </pic:pic>
              </a:graphicData>
            </a:graphic>
          </wp:inline>
        </w:drawing>
      </w:r>
    </w:p>
    <w:p>
      <w:pPr>
        <w:jc w:val="center"/>
      </w:pPr>
      <w:r>
        <w:rPr>
          <w:i/>
          <w:sz w:val="18"/>
        </w:rPr>
        <w:t>Figura 1 — Arquitectura de referencia por capas sobre AWS</w:t>
      </w:r>
    </w:p>
    <w:p/>
    <w:p>
      <w:pPr>
        <w:pStyle w:val="Heading2"/>
      </w:pPr>
      <w:r>
        <w:rPr>
          <w:color w:val="0F3D63"/>
        </w:rPr>
        <w:t>3.1 Descripción de las capas</w:t>
      </w:r>
    </w:p>
    <w:p>
      <w:pPr>
        <w:pStyle w:val="ListBullet"/>
      </w:pPr>
      <w:r>
        <w:rPr>
          <w:b/>
        </w:rPr>
        <w:t xml:space="preserve">Capa de fuentes. </w:t>
      </w:r>
      <w:r>
        <w:t>Sistemas de VERIS: el transaccional clínico, el turnero y los kioscos de autogestión, y otras fuentes operativas (recursos humanos, ventas, agenda). La plataforma lee de estas fuentes sin intervenirlas.</w:t>
      </w:r>
    </w:p>
    <w:p>
      <w:pPr>
        <w:pStyle w:val="ListBullet"/>
      </w:pPr>
      <w:r>
        <w:rPr>
          <w:b/>
        </w:rPr>
        <w:t xml:space="preserve">Capa de datos en tiempo casi real. </w:t>
      </w:r>
      <w:r>
        <w:t>Captura de cambios (CDC) con AWS DMS y streaming con Kinesis; repositorio operacional de indicadores en DynamoDB/RDS; histórico y respaldos en S3; observabilidad integral con CloudWatch.</w:t>
      </w:r>
    </w:p>
    <w:p>
      <w:pPr>
        <w:pStyle w:val="ListBullet"/>
      </w:pPr>
      <w:r>
        <w:rPr>
          <w:b/>
        </w:rPr>
        <w:t xml:space="preserve">Capa de servicios y reglas de negocio. </w:t>
      </w:r>
      <w:r>
        <w:t>APIs de la plataforma (API Gateway + Lambda/Fargate), motor de homologación de reglas alineado con los tableros institucionales de Power BI y diccionario central de KPIs con jerarquías y RBAC.</w:t>
      </w:r>
    </w:p>
    <w:p>
      <w:pPr>
        <w:pStyle w:val="ListBullet"/>
      </w:pPr>
      <w:r>
        <w:rPr>
          <w:b/>
        </w:rPr>
        <w:t xml:space="preserve">Capa de inteligencia. </w:t>
      </w:r>
      <w:r>
        <w:t>Motor de umbrales y semaforización, analítica predictiva embebida (anomalías y proyección de cierre de turno), Coach Virtual IA sobre Amazon Bedrock con Knowledge Bases por cargo, y motor de notificaciones (SES + EventBridge).</w:t>
      </w:r>
    </w:p>
    <w:p>
      <w:pPr>
        <w:pStyle w:val="ListBullet"/>
      </w:pPr>
      <w:r>
        <w:rPr>
          <w:b/>
        </w:rPr>
        <w:t xml:space="preserve">Capa de experiencia. </w:t>
      </w:r>
      <w:r>
        <w:t>Portal web multirol servido con Amplify/CloudFront y autenticación con Cognito, responsivo para uso en estaciones de trabajo, tabletas y móviles.</w:t>
      </w:r>
    </w:p>
    <w:p>
      <w:pPr>
        <w:pStyle w:val="Heading2"/>
      </w:pPr>
      <w:r>
        <w:rPr>
          <w:color w:val="0F3D63"/>
        </w:rPr>
        <w:t>3.2 Componentes AWS</w:t>
      </w:r>
    </w:p>
    <w:tbl>
      <w:tblPr>
        <w:tblStyle w:val="TableGrid"/>
        <w:tblW w:type="auto" w:w="0"/>
        <w:jc w:val="center"/>
        <w:tblLook w:firstColumn="1" w:firstRow="1" w:lastColumn="0" w:lastRow="0" w:noHBand="0" w:noVBand="1" w:val="04A0"/>
      </w:tblPr>
      <w:tblGrid>
        <w:gridCol w:w="4320"/>
        <w:gridCol w:w="4320"/>
      </w:tblGrid>
      <w:tr>
        <w:tc>
          <w:tcPr>
            <w:tcW w:type="dxa" w:w="3312"/>
            <w:shd w:fill="1A568E"/>
          </w:tcPr>
          <w:p>
            <w:r>
              <w:rPr>
                <w:b/>
                <w:color w:val="FFFFFF"/>
                <w:sz w:val="18"/>
              </w:rPr>
              <w:t>COMPONENTE AWS</w:t>
            </w:r>
          </w:p>
        </w:tc>
        <w:tc>
          <w:tcPr>
            <w:tcW w:type="dxa" w:w="6768"/>
            <w:shd w:fill="1A568E"/>
          </w:tcPr>
          <w:p>
            <w:r>
              <w:rPr>
                <w:b/>
                <w:color w:val="FFFFFF"/>
                <w:sz w:val="18"/>
              </w:rPr>
              <w:t>FUNCIÓN EN LA PLATAFORMA</w:t>
            </w:r>
          </w:p>
        </w:tc>
      </w:tr>
      <w:tr>
        <w:tc>
          <w:tcPr>
            <w:tcW w:type="dxa" w:w="3312"/>
          </w:tcPr>
          <w:p>
            <w:r>
              <w:rPr>
                <w:sz w:val="18"/>
              </w:rPr>
              <w:t>Amazon Bedrock — Agente IA</w:t>
            </w:r>
          </w:p>
        </w:tc>
        <w:tc>
          <w:tcPr>
            <w:tcW w:type="dxa" w:w="6768"/>
          </w:tcPr>
          <w:p>
            <w:r>
              <w:rPr>
                <w:sz w:val="18"/>
              </w:rPr>
              <w:t>Motor del coach virtual: recomendaciones, comparativas y resúmenes en lenguaje natural.</w:t>
            </w:r>
          </w:p>
        </w:tc>
      </w:tr>
      <w:tr>
        <w:tc>
          <w:tcPr>
            <w:tcW w:type="dxa" w:w="3312"/>
            <w:shd w:fill="EAF1F8"/>
          </w:tcPr>
          <w:p>
            <w:r>
              <w:rPr>
                <w:sz w:val="18"/>
              </w:rPr>
              <w:t>Knowledge Bases</w:t>
            </w:r>
          </w:p>
        </w:tc>
        <w:tc>
          <w:tcPr>
            <w:tcW w:type="dxa" w:w="6768"/>
            <w:shd w:fill="EAF1F8"/>
          </w:tcPr>
          <w:p>
            <w:r>
              <w:rPr>
                <w:sz w:val="18"/>
              </w:rPr>
              <w:t>Base de conocimiento con las reglas, objetivos y metas de cada cargo.</w:t>
            </w:r>
          </w:p>
        </w:tc>
      </w:tr>
      <w:tr>
        <w:tc>
          <w:tcPr>
            <w:tcW w:type="dxa" w:w="3312"/>
          </w:tcPr>
          <w:p>
            <w:r>
              <w:rPr>
                <w:sz w:val="18"/>
              </w:rPr>
              <w:t>AWS DMS + Amazon Kinesis</w:t>
            </w:r>
          </w:p>
        </w:tc>
        <w:tc>
          <w:tcPr>
            <w:tcW w:type="dxa" w:w="6768"/>
          </w:tcPr>
          <w:p>
            <w:r>
              <w:rPr>
                <w:sz w:val="18"/>
              </w:rPr>
              <w:t>Captura de cambios desde las fuentes transaccionales y transporte en streaming, sin impacto en el sistema productivo.</w:t>
            </w:r>
          </w:p>
        </w:tc>
      </w:tr>
      <w:tr>
        <w:tc>
          <w:tcPr>
            <w:tcW w:type="dxa" w:w="3312"/>
            <w:shd w:fill="EAF1F8"/>
          </w:tcPr>
          <w:p>
            <w:r>
              <w:rPr>
                <w:sz w:val="18"/>
              </w:rPr>
              <w:t>AWS Lambda + API Gateway</w:t>
            </w:r>
          </w:p>
        </w:tc>
        <w:tc>
          <w:tcPr>
            <w:tcW w:type="dxa" w:w="6768"/>
            <w:shd w:fill="EAF1F8"/>
          </w:tcPr>
          <w:p>
            <w:r>
              <w:rPr>
                <w:sz w:val="18"/>
              </w:rPr>
              <w:t>Orquestación de la lógica de negocio y de las llamadas entre el portal y el agente de IA.</w:t>
            </w:r>
          </w:p>
        </w:tc>
      </w:tr>
      <w:tr>
        <w:tc>
          <w:tcPr>
            <w:tcW w:type="dxa" w:w="3312"/>
          </w:tcPr>
          <w:p>
            <w:r>
              <w:rPr>
                <w:sz w:val="18"/>
              </w:rPr>
              <w:t>Amazon DynamoDB / RDS</w:t>
            </w:r>
          </w:p>
        </w:tc>
        <w:tc>
          <w:tcPr>
            <w:tcW w:type="dxa" w:w="6768"/>
          </w:tcPr>
          <w:p>
            <w:r>
              <w:rPr>
                <w:sz w:val="18"/>
              </w:rPr>
              <w:t>Almacenamiento operacional: indicadores, sesiones, evaluaciones, histórico de mensajes y configuración de cargos.</w:t>
            </w:r>
          </w:p>
        </w:tc>
      </w:tr>
      <w:tr>
        <w:tc>
          <w:tcPr>
            <w:tcW w:type="dxa" w:w="3312"/>
            <w:shd w:fill="EAF1F8"/>
          </w:tcPr>
          <w:p>
            <w:r>
              <w:rPr>
                <w:sz w:val="18"/>
              </w:rPr>
              <w:t>Amazon S3</w:t>
            </w:r>
          </w:p>
        </w:tc>
        <w:tc>
          <w:tcPr>
            <w:tcW w:type="dxa" w:w="6768"/>
            <w:shd w:fill="EAF1F8"/>
          </w:tcPr>
          <w:p>
            <w:r>
              <w:rPr>
                <w:sz w:val="18"/>
              </w:rPr>
              <w:t>Documentación de cargos, histórico de indicadores, reportes y exportaciones.</w:t>
            </w:r>
          </w:p>
        </w:tc>
      </w:tr>
      <w:tr>
        <w:tc>
          <w:tcPr>
            <w:tcW w:type="dxa" w:w="3312"/>
          </w:tcPr>
          <w:p>
            <w:r>
              <w:rPr>
                <w:sz w:val="18"/>
              </w:rPr>
              <w:t>Amazon SES + EventBridge</w:t>
            </w:r>
          </w:p>
        </w:tc>
        <w:tc>
          <w:tcPr>
            <w:tcW w:type="dxa" w:w="6768"/>
          </w:tcPr>
          <w:p>
            <w:r>
              <w:rPr>
                <w:sz w:val="18"/>
              </w:rPr>
              <w:t>Programación y despacho de las notificaciones y alertas inteligentes.</w:t>
            </w:r>
          </w:p>
        </w:tc>
      </w:tr>
      <w:tr>
        <w:tc>
          <w:tcPr>
            <w:tcW w:type="dxa" w:w="3312"/>
            <w:shd w:fill="EAF1F8"/>
          </w:tcPr>
          <w:p>
            <w:r>
              <w:rPr>
                <w:sz w:val="18"/>
              </w:rPr>
              <w:t>Amazon Cognito</w:t>
            </w:r>
          </w:p>
        </w:tc>
        <w:tc>
          <w:tcPr>
            <w:tcW w:type="dxa" w:w="6768"/>
            <w:shd w:fill="EAF1F8"/>
          </w:tcPr>
          <w:p>
            <w:r>
              <w:rPr>
                <w:sz w:val="18"/>
              </w:rPr>
              <w:t>Autenticación, sesiones y control de acceso por rol.</w:t>
            </w:r>
          </w:p>
        </w:tc>
      </w:tr>
      <w:tr>
        <w:tc>
          <w:tcPr>
            <w:tcW w:type="dxa" w:w="3312"/>
          </w:tcPr>
          <w:p>
            <w:r>
              <w:rPr>
                <w:sz w:val="18"/>
              </w:rPr>
              <w:t>Amazon CloudWatch</w:t>
            </w:r>
          </w:p>
        </w:tc>
        <w:tc>
          <w:tcPr>
            <w:tcW w:type="dxa" w:w="6768"/>
          </w:tcPr>
          <w:p>
            <w:r>
              <w:rPr>
                <w:sz w:val="18"/>
              </w:rPr>
              <w:t>Monitoreo, logs, métricas de latencia y alertas operacionales de la propia plataforma.</w:t>
            </w:r>
          </w:p>
        </w:tc>
      </w:tr>
      <w:tr>
        <w:tc>
          <w:tcPr>
            <w:tcW w:type="dxa" w:w="3312"/>
            <w:shd w:fill="EAF1F8"/>
          </w:tcPr>
          <w:p>
            <w:r>
              <w:rPr>
                <w:sz w:val="18"/>
              </w:rPr>
              <w:t>AWS Amplify / CloudFront</w:t>
            </w:r>
          </w:p>
        </w:tc>
        <w:tc>
          <w:tcPr>
            <w:tcW w:type="dxa" w:w="6768"/>
            <w:shd w:fill="EAF1F8"/>
          </w:tcPr>
          <w:p>
            <w:r>
              <w:rPr>
                <w:sz w:val="18"/>
              </w:rPr>
              <w:t>Hosting del portal web con entrega de contenido optimizada.</w:t>
            </w:r>
          </w:p>
        </w:tc>
      </w:tr>
    </w:tbl>
    <w:p/>
    <w:p>
      <w:pPr>
        <w:pStyle w:val="Heading1"/>
      </w:pPr>
      <w:r>
        <w:rPr>
          <w:color w:val="0F3D63"/>
        </w:rPr>
        <w:t>4. Metodología y plan de implementación</w:t>
      </w:r>
    </w:p>
    <w:p>
      <w:r>
        <w:rPr>
          <w:i w:val="0"/>
        </w:rPr>
        <w:t>El proyecto se ejecuta en cuatro fases, con entregables verificables al cierre de cada una:</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fill="1A568E"/>
          </w:tcPr>
          <w:p>
            <w:r>
              <w:rPr>
                <w:b/>
                <w:color w:val="FFFFFF"/>
                <w:sz w:val="18"/>
              </w:rPr>
              <w:t>FASE</w:t>
            </w:r>
          </w:p>
        </w:tc>
        <w:tc>
          <w:tcPr>
            <w:tcW w:type="dxa" w:w="6192"/>
            <w:shd w:fill="1A568E"/>
          </w:tcPr>
          <w:p>
            <w:r>
              <w:rPr>
                <w:b/>
                <w:color w:val="FFFFFF"/>
                <w:sz w:val="18"/>
              </w:rPr>
              <w:t>ALCANCE</w:t>
            </w:r>
          </w:p>
        </w:tc>
        <w:tc>
          <w:tcPr>
            <w:tcW w:type="dxa" w:w="1296"/>
            <w:shd w:fill="1A568E"/>
          </w:tcPr>
          <w:p>
            <w:r>
              <w:rPr>
                <w:b/>
                <w:color w:val="FFFFFF"/>
                <w:sz w:val="18"/>
              </w:rPr>
              <w:t>DURACIÓN</w:t>
            </w:r>
          </w:p>
        </w:tc>
      </w:tr>
      <w:tr>
        <w:tc>
          <w:tcPr>
            <w:tcW w:type="dxa" w:w="2448"/>
          </w:tcPr>
          <w:p>
            <w:r>
              <w:rPr>
                <w:sz w:val="18"/>
              </w:rPr>
              <w:t>Fase 0 — Levantamiento técnico y homologación</w:t>
            </w:r>
          </w:p>
        </w:tc>
        <w:tc>
          <w:tcPr>
            <w:tcW w:type="dxa" w:w="6192"/>
          </w:tcPr>
          <w:p>
            <w:r>
              <w:rPr>
                <w:sz w:val="18"/>
              </w:rPr>
              <w:t>Inventario de fuentes y accesos; documentación y mapeo de las reglas de negocio de los tableros Power BI a replicar; definición de metas y umbrales con las áreas responsables; diseño detallado de la topología AWS y del modelo de datos.</w:t>
            </w:r>
          </w:p>
        </w:tc>
        <w:tc>
          <w:tcPr>
            <w:tcW w:type="dxa" w:w="1296"/>
          </w:tcPr>
          <w:p>
            <w:r>
              <w:rPr>
                <w:sz w:val="18"/>
              </w:rPr>
              <w:t>3 semanas</w:t>
            </w:r>
          </w:p>
        </w:tc>
      </w:tr>
      <w:tr>
        <w:tc>
          <w:tcPr>
            <w:tcW w:type="dxa" w:w="2448"/>
            <w:shd w:fill="EAF1F8"/>
          </w:tcPr>
          <w:p>
            <w:r>
              <w:rPr>
                <w:sz w:val="18"/>
              </w:rPr>
              <w:t>Fase 1 — Integración y plataforma base</w:t>
            </w:r>
          </w:p>
        </w:tc>
        <w:tc>
          <w:tcPr>
            <w:tcW w:type="dxa" w:w="6192"/>
            <w:shd w:fill="EAF1F8"/>
          </w:tcPr>
          <w:p>
            <w:r>
              <w:rPr>
                <w:sz w:val="18"/>
              </w:rPr>
              <w:t>Bus de integración con CDC, repositorio operacional, diccionario de KPIs, motor de semaforización y alertas, y dashboards multirol (colaborador, jefatura y gerencia).</w:t>
            </w:r>
          </w:p>
        </w:tc>
        <w:tc>
          <w:tcPr>
            <w:tcW w:type="dxa" w:w="1296"/>
            <w:shd w:fill="EAF1F8"/>
          </w:tcPr>
          <w:p>
            <w:r>
              <w:rPr>
                <w:sz w:val="18"/>
              </w:rPr>
              <w:t>6 semanas</w:t>
            </w:r>
          </w:p>
        </w:tc>
      </w:tr>
      <w:tr>
        <w:tc>
          <w:tcPr>
            <w:tcW w:type="dxa" w:w="2448"/>
          </w:tcPr>
          <w:p>
            <w:r>
              <w:rPr>
                <w:sz w:val="18"/>
              </w:rPr>
              <w:t>Fase 2 — Inteligencia artificial</w:t>
            </w:r>
          </w:p>
        </w:tc>
        <w:tc>
          <w:tcPr>
            <w:tcW w:type="dxa" w:w="6192"/>
          </w:tcPr>
          <w:p>
            <w:r>
              <w:rPr>
                <w:sz w:val="18"/>
              </w:rPr>
              <w:t>Analítica predictiva embebida, agente de IA en Bedrock con Knowledge Bases por cargo, coach conversacional, resumen de fin de turno y notificaciones redactadas por IA.</w:t>
            </w:r>
          </w:p>
        </w:tc>
        <w:tc>
          <w:tcPr>
            <w:tcW w:type="dxa" w:w="1296"/>
          </w:tcPr>
          <w:p>
            <w:r>
              <w:rPr>
                <w:sz w:val="18"/>
              </w:rPr>
              <w:t>4 semanas</w:t>
            </w:r>
          </w:p>
        </w:tc>
      </w:tr>
      <w:tr>
        <w:tc>
          <w:tcPr>
            <w:tcW w:type="dxa" w:w="2448"/>
            <w:shd w:fill="EAF1F8"/>
          </w:tcPr>
          <w:p>
            <w:r>
              <w:rPr>
                <w:sz w:val="18"/>
              </w:rPr>
              <w:t>Fase 3 — Estabilización y transferencia</w:t>
            </w:r>
          </w:p>
        </w:tc>
        <w:tc>
          <w:tcPr>
            <w:tcW w:type="dxa" w:w="6192"/>
            <w:shd w:fill="EAF1F8"/>
          </w:tcPr>
          <w:p>
            <w:r>
              <w:rPr>
                <w:sz w:val="18"/>
              </w:rPr>
              <w:t>Pruebas de conciliación contra la reportería institucional, afinamiento de umbrales y prompts, capacitación por rol, documentación técnica y transferencia de conocimiento al equipo de VERIS.</w:t>
            </w:r>
          </w:p>
        </w:tc>
        <w:tc>
          <w:tcPr>
            <w:tcW w:type="dxa" w:w="1296"/>
            <w:shd w:fill="EAF1F8"/>
          </w:tcPr>
          <w:p>
            <w:r>
              <w:rPr>
                <w:sz w:val="18"/>
              </w:rPr>
              <w:t>3 semanas</w:t>
            </w:r>
          </w:p>
        </w:tc>
      </w:tr>
    </w:tbl>
    <w:p/>
    <w:p>
      <w:r>
        <w:rPr>
          <w:i w:val="0"/>
        </w:rPr>
        <w:t>Duración total estimada: 16 semanas desde el primer pago, sujeta a la disponibilidad oportuna de accesos a las fuentes de datos y credenciales AWS.</w:t>
      </w:r>
    </w:p>
    <w:p>
      <w:pPr>
        <w:pStyle w:val="Heading1"/>
      </w:pPr>
      <w:r>
        <w:rPr>
          <w:color w:val="0F3D63"/>
        </w:rPr>
        <w:t>5. Entregables</w:t>
      </w:r>
    </w:p>
    <w:p>
      <w:pPr>
        <w:pStyle w:val="ListBullet"/>
      </w:pPr>
      <w:r>
        <w:t>Documento de levantamiento técnico con el mapeo de reglas de negocio homologadas.</w:t>
      </w:r>
    </w:p>
    <w:p>
      <w:pPr>
        <w:pStyle w:val="ListBullet"/>
      </w:pPr>
      <w:r>
        <w:t>Bus de integración con captura de cambios en tiempo casi real desde las fuentes transaccionales.</w:t>
      </w:r>
    </w:p>
    <w:p>
      <w:pPr>
        <w:pStyle w:val="ListBullet"/>
      </w:pPr>
      <w:r>
        <w:t>Capa de procesamiento con las reglas de negocio conciliadas con la reportería institucional.</w:t>
      </w:r>
    </w:p>
    <w:p>
      <w:pPr>
        <w:pStyle w:val="ListBullet"/>
      </w:pPr>
      <w:r>
        <w:t>Diccionario de KPIs con metas, umbrales configurables y jerarquía organizacional.</w:t>
      </w:r>
    </w:p>
    <w:p>
      <w:pPr>
        <w:pStyle w:val="ListBullet"/>
      </w:pPr>
      <w:r>
        <w:t>Motor de semaforización y sistema de alertas con escalamiento configurable.</w:t>
      </w:r>
    </w:p>
    <w:p>
      <w:pPr>
        <w:pStyle w:val="ListBullet"/>
      </w:pPr>
      <w:r>
        <w:t>Portal web multirol con dashboards de colaborador, jefatura y gerencia, y reportería consolidada.</w:t>
      </w:r>
    </w:p>
    <w:p>
      <w:pPr>
        <w:pStyle w:val="ListBullet"/>
      </w:pPr>
      <w:r>
        <w:t>Coach Virtual IA: recomendaciones, comparativas, resumen de fin de turno y asistente conversacional.</w:t>
      </w:r>
    </w:p>
    <w:p>
      <w:pPr>
        <w:pStyle w:val="ListBullet"/>
      </w:pPr>
      <w:r>
        <w:t>Módulo de notificaciones inteligentes con redacción automática por IA.</w:t>
      </w:r>
    </w:p>
    <w:p>
      <w:pPr>
        <w:pStyle w:val="ListBullet"/>
      </w:pPr>
      <w:r>
        <w:t>Documentación técnica y funcional, manuales por rol y plan de capacitación.</w:t>
      </w:r>
    </w:p>
    <w:p>
      <w:pPr>
        <w:pStyle w:val="ListBullet"/>
      </w:pPr>
      <w:r>
        <w:t>Código fuente, prompts, Knowledge Bases y configuraciones, entregados en propiedad a VERIS.</w:t>
      </w:r>
    </w:p>
    <w:p>
      <w:pPr>
        <w:pStyle w:val="Heading1"/>
      </w:pPr>
      <w:r>
        <w:rPr>
          <w:color w:val="0F3D63"/>
        </w:rPr>
        <w:t>6. Oferta económica</w:t>
      </w:r>
    </w:p>
    <w:p>
      <w:r>
        <w:rPr>
          <w:i w:val="0"/>
        </w:rPr>
        <w:t>Se presenta la opción de implementación sobre Amazon AWS. Inversión única de implementación; los costos de consumo de AWS y Bedrock los paga VERIS directamente a Amazon.</w:t>
      </w:r>
    </w:p>
    <w:tbl>
      <w:tblPr>
        <w:tblStyle w:val="TableGrid"/>
        <w:tblW w:type="auto" w:w="0"/>
        <w:jc w:val="center"/>
        <w:tblLook w:firstColumn="1" w:firstRow="1" w:lastColumn="0" w:lastRow="0" w:noHBand="0" w:noVBand="1" w:val="04A0"/>
      </w:tblPr>
      <w:tblGrid>
        <w:gridCol w:w="2880"/>
        <w:gridCol w:w="2880"/>
        <w:gridCol w:w="2880"/>
      </w:tblGrid>
      <w:tr>
        <w:tc>
          <w:tcPr>
            <w:tcW w:type="dxa" w:w="6768"/>
            <w:shd w:fill="1A568E"/>
          </w:tcPr>
          <w:p>
            <w:r>
              <w:rPr>
                <w:b/>
                <w:color w:val="FFFFFF"/>
                <w:sz w:val="19"/>
              </w:rPr>
              <w:t>DESCRIPCIÓN</w:t>
            </w:r>
          </w:p>
        </w:tc>
        <w:tc>
          <w:tcPr>
            <w:tcW w:type="dxa" w:w="864"/>
            <w:shd w:fill="1A568E"/>
          </w:tcPr>
          <w:p>
            <w:r>
              <w:rPr>
                <w:b/>
                <w:color w:val="FFFFFF"/>
                <w:sz w:val="19"/>
              </w:rPr>
              <w:t>CANT.</w:t>
            </w:r>
          </w:p>
        </w:tc>
        <w:tc>
          <w:tcPr>
            <w:tcW w:type="dxa" w:w="1728"/>
            <w:shd w:fill="1A568E"/>
          </w:tcPr>
          <w:p>
            <w:r>
              <w:rPr>
                <w:b/>
                <w:color w:val="FFFFFF"/>
                <w:sz w:val="19"/>
              </w:rPr>
              <w:t>TOTAL</w:t>
            </w:r>
          </w:p>
        </w:tc>
      </w:tr>
      <w:tr>
        <w:tc>
          <w:tcPr>
            <w:tcW w:type="dxa" w:w="6768"/>
          </w:tcPr>
          <w:p>
            <w:r>
              <w:rPr>
                <w:sz w:val="19"/>
              </w:rPr>
              <w:t>Fase 0 — Levantamiento técnico, homologación de reglas de negocio con la reportería institucional y diseño de arquitectura de detalle</w:t>
            </w:r>
          </w:p>
        </w:tc>
        <w:tc>
          <w:tcPr>
            <w:tcW w:type="dxa" w:w="864"/>
          </w:tcPr>
          <w:p>
            <w:r>
              <w:rPr>
                <w:sz w:val="19"/>
              </w:rPr>
              <w:t>1</w:t>
            </w:r>
          </w:p>
        </w:tc>
        <w:tc>
          <w:tcPr>
            <w:tcW w:type="dxa" w:w="1728"/>
          </w:tcPr>
          <w:p>
            <w:r>
              <w:rPr>
                <w:sz w:val="19"/>
              </w:rPr>
              <w:t>$ 7,500.00</w:t>
            </w:r>
          </w:p>
        </w:tc>
      </w:tr>
      <w:tr>
        <w:tc>
          <w:tcPr>
            <w:tcW w:type="dxa" w:w="6768"/>
            <w:shd w:fill="EAF1F8"/>
          </w:tcPr>
          <w:p>
            <w:r>
              <w:rPr>
                <w:sz w:val="19"/>
              </w:rPr>
              <w:t>Bus de integración en tiempo casi real: conectores CDC, streaming, repositorio operacional y gobernanza del dato</w:t>
            </w:r>
          </w:p>
        </w:tc>
        <w:tc>
          <w:tcPr>
            <w:tcW w:type="dxa" w:w="864"/>
            <w:shd w:fill="EAF1F8"/>
          </w:tcPr>
          <w:p>
            <w:r>
              <w:rPr>
                <w:sz w:val="19"/>
              </w:rPr>
              <w:t>1</w:t>
            </w:r>
          </w:p>
        </w:tc>
        <w:tc>
          <w:tcPr>
            <w:tcW w:type="dxa" w:w="1728"/>
            <w:shd w:fill="EAF1F8"/>
          </w:tcPr>
          <w:p>
            <w:r>
              <w:rPr>
                <w:sz w:val="19"/>
              </w:rPr>
              <w:t>$ 13,500.00</w:t>
            </w:r>
          </w:p>
        </w:tc>
      </w:tr>
      <w:tr>
        <w:tc>
          <w:tcPr>
            <w:tcW w:type="dxa" w:w="6768"/>
          </w:tcPr>
          <w:p>
            <w:r>
              <w:rPr>
                <w:sz w:val="19"/>
              </w:rPr>
              <w:t>Plataforma base: diccionario de KPIs, motor de semaforización y alertas, dashboards multirol y módulo de reportería</w:t>
            </w:r>
          </w:p>
        </w:tc>
        <w:tc>
          <w:tcPr>
            <w:tcW w:type="dxa" w:w="864"/>
          </w:tcPr>
          <w:p>
            <w:r>
              <w:rPr>
                <w:sz w:val="19"/>
              </w:rPr>
              <w:t>1</w:t>
            </w:r>
          </w:p>
        </w:tc>
        <w:tc>
          <w:tcPr>
            <w:tcW w:type="dxa" w:w="1728"/>
          </w:tcPr>
          <w:p>
            <w:r>
              <w:rPr>
                <w:sz w:val="19"/>
              </w:rPr>
              <w:t>$ 16,500.00</w:t>
            </w:r>
          </w:p>
        </w:tc>
      </w:tr>
      <w:tr>
        <w:tc>
          <w:tcPr>
            <w:tcW w:type="dxa" w:w="6768"/>
            <w:shd w:fill="EAF1F8"/>
          </w:tcPr>
          <w:p>
            <w:r>
              <w:rPr>
                <w:sz w:val="19"/>
              </w:rPr>
              <w:t>Capa de inteligencia artificial: analítica predictiva embebida, agente Bedrock, Knowledge Bases por cargo, coach conversacional, resumen de fin de turno y notificaciones inteligentes</w:t>
            </w:r>
          </w:p>
        </w:tc>
        <w:tc>
          <w:tcPr>
            <w:tcW w:type="dxa" w:w="864"/>
            <w:shd w:fill="EAF1F8"/>
          </w:tcPr>
          <w:p>
            <w:r>
              <w:rPr>
                <w:sz w:val="19"/>
              </w:rPr>
              <w:t>1</w:t>
            </w:r>
          </w:p>
        </w:tc>
        <w:tc>
          <w:tcPr>
            <w:tcW w:type="dxa" w:w="1728"/>
            <w:shd w:fill="EAF1F8"/>
          </w:tcPr>
          <w:p>
            <w:r>
              <w:rPr>
                <w:sz w:val="19"/>
              </w:rPr>
              <w:t>$ 11,500.00</w:t>
            </w:r>
          </w:p>
        </w:tc>
      </w:tr>
      <w:tr>
        <w:tc>
          <w:tcPr>
            <w:tcW w:type="dxa" w:w="6768"/>
          </w:tcPr>
          <w:p>
            <w:r>
              <w:rPr>
                <w:sz w:val="19"/>
              </w:rPr>
              <w:t>Estabilización, conciliación con reportería institucional, capacitación por rol y transferencia de conocimiento</w:t>
            </w:r>
          </w:p>
        </w:tc>
        <w:tc>
          <w:tcPr>
            <w:tcW w:type="dxa" w:w="864"/>
          </w:tcPr>
          <w:p>
            <w:r>
              <w:rPr>
                <w:sz w:val="19"/>
              </w:rPr>
              <w:t>1</w:t>
            </w:r>
          </w:p>
        </w:tc>
        <w:tc>
          <w:tcPr>
            <w:tcW w:type="dxa" w:w="1728"/>
          </w:tcPr>
          <w:p>
            <w:r>
              <w:rPr>
                <w:sz w:val="19"/>
              </w:rPr>
              <w:t>$ 4,500.00</w:t>
            </w:r>
          </w:p>
        </w:tc>
      </w:tr>
      <w:tr>
        <w:tc>
          <w:tcPr>
            <w:tcW w:type="dxa" w:w="6768"/>
            <w:shd w:fill="EAF1F8"/>
          </w:tcPr>
          <w:p>
            <w:r>
              <w:rPr>
                <w:sz w:val="19"/>
              </w:rPr>
              <w:t>TOTAL — Inversión única de implementación</w:t>
            </w:r>
          </w:p>
        </w:tc>
        <w:tc>
          <w:tcPr>
            <w:tcW w:type="dxa" w:w="864"/>
            <w:shd w:fill="EAF1F8"/>
          </w:tcPr>
          <w:p>
            <w:r>
              <w:rPr>
                <w:sz w:val="19"/>
              </w:rPr>
            </w:r>
          </w:p>
        </w:tc>
        <w:tc>
          <w:tcPr>
            <w:tcW w:type="dxa" w:w="1728"/>
            <w:shd w:fill="EAF1F8"/>
          </w:tcPr>
          <w:p>
            <w:r>
              <w:rPr>
                <w:sz w:val="19"/>
              </w:rPr>
              <w:t>$ 53,500.00</w:t>
            </w:r>
          </w:p>
        </w:tc>
      </w:tr>
    </w:tbl>
    <w:p/>
    <w:p>
      <w:pPr>
        <w:pStyle w:val="Heading2"/>
      </w:pPr>
      <w:r>
        <w:rPr>
          <w:color w:val="0F3D63"/>
        </w:rPr>
        <w:t>Servicios opcionales</w:t>
      </w:r>
    </w:p>
    <w:tbl>
      <w:tblPr>
        <w:tblStyle w:val="TableGrid"/>
        <w:tblW w:type="auto" w:w="0"/>
        <w:jc w:val="center"/>
        <w:tblLook w:firstColumn="1" w:firstRow="1" w:lastColumn="0" w:lastRow="0" w:noHBand="0" w:noVBand="1" w:val="04A0"/>
      </w:tblPr>
      <w:tblGrid>
        <w:gridCol w:w="2880"/>
        <w:gridCol w:w="2880"/>
        <w:gridCol w:w="2880"/>
      </w:tblGrid>
      <w:tr>
        <w:tc>
          <w:tcPr>
            <w:tcW w:type="dxa" w:w="5616"/>
            <w:shd w:fill="1A568E"/>
          </w:tcPr>
          <w:p>
            <w:r>
              <w:rPr>
                <w:b/>
                <w:color w:val="FFFFFF"/>
                <w:sz w:val="18"/>
              </w:rPr>
              <w:t>SERVICIO</w:t>
            </w:r>
          </w:p>
        </w:tc>
        <w:tc>
          <w:tcPr>
            <w:tcW w:type="dxa" w:w="1872"/>
            <w:shd w:fill="1A568E"/>
          </w:tcPr>
          <w:p>
            <w:r>
              <w:rPr>
                <w:b/>
                <w:color w:val="FFFFFF"/>
                <w:sz w:val="18"/>
              </w:rPr>
              <w:t>INSTALACIÓN</w:t>
            </w:r>
          </w:p>
        </w:tc>
        <w:tc>
          <w:tcPr>
            <w:tcW w:type="dxa" w:w="1872"/>
            <w:shd w:fill="1A568E"/>
          </w:tcPr>
          <w:p>
            <w:r>
              <w:rPr>
                <w:b/>
                <w:color w:val="FFFFFF"/>
                <w:sz w:val="18"/>
              </w:rPr>
              <w:t>MENSUAL</w:t>
            </w:r>
          </w:p>
        </w:tc>
      </w:tr>
      <w:tr>
        <w:tc>
          <w:tcPr>
            <w:tcW w:type="dxa" w:w="5616"/>
          </w:tcPr>
          <w:p>
            <w:r>
              <w:rPr>
                <w:sz w:val="18"/>
              </w:rPr>
              <w:t>Soporte técnico 8×5 — ajuste de prompts, parámetros del modelo, umbrales y reglas; inicio de atención desde 24 horas</w:t>
            </w:r>
          </w:p>
        </w:tc>
        <w:tc>
          <w:tcPr>
            <w:tcW w:type="dxa" w:w="1872"/>
          </w:tcPr>
          <w:p>
            <w:r>
              <w:rPr>
                <w:sz w:val="18"/>
              </w:rPr>
              <w:t>—</w:t>
            </w:r>
          </w:p>
        </w:tc>
        <w:tc>
          <w:tcPr>
            <w:tcW w:type="dxa" w:w="1872"/>
          </w:tcPr>
          <w:p>
            <w:r>
              <w:rPr>
                <w:sz w:val="18"/>
              </w:rPr>
              <w:t>$ 650.00/mes</w:t>
            </w:r>
          </w:p>
        </w:tc>
      </w:tr>
      <w:tr>
        <w:tc>
          <w:tcPr>
            <w:tcW w:type="dxa" w:w="5616"/>
            <w:shd w:fill="EAF1F8"/>
          </w:tcPr>
          <w:p>
            <w:r>
              <w:rPr>
                <w:sz w:val="18"/>
              </w:rPr>
              <w:t>Soporte extendido 24×7 para la ventana de operación de las centrales</w:t>
            </w:r>
          </w:p>
        </w:tc>
        <w:tc>
          <w:tcPr>
            <w:tcW w:type="dxa" w:w="1872"/>
            <w:shd w:fill="EAF1F8"/>
          </w:tcPr>
          <w:p>
            <w:r>
              <w:rPr>
                <w:sz w:val="18"/>
              </w:rPr>
              <w:t>—</w:t>
            </w:r>
          </w:p>
        </w:tc>
        <w:tc>
          <w:tcPr>
            <w:tcW w:type="dxa" w:w="1872"/>
            <w:shd w:fill="EAF1F8"/>
          </w:tcPr>
          <w:p>
            <w:r>
              <w:rPr>
                <w:sz w:val="18"/>
              </w:rPr>
              <w:t>$ 1,200.00/mes</w:t>
            </w:r>
          </w:p>
        </w:tc>
      </w:tr>
      <w:tr>
        <w:tc>
          <w:tcPr>
            <w:tcW w:type="dxa" w:w="5616"/>
          </w:tcPr>
          <w:p>
            <w:r>
              <w:rPr>
                <w:sz w:val="18"/>
              </w:rPr>
              <w:t>Nuevo módulo o integración adicional</w:t>
            </w:r>
          </w:p>
        </w:tc>
        <w:tc>
          <w:tcPr>
            <w:tcW w:type="dxa" w:w="1872"/>
          </w:tcPr>
          <w:p>
            <w:r>
              <w:rPr>
                <w:sz w:val="18"/>
              </w:rPr>
              <w:t>$ 2,500.00 c/u</w:t>
            </w:r>
          </w:p>
        </w:tc>
        <w:tc>
          <w:tcPr>
            <w:tcW w:type="dxa" w:w="1872"/>
          </w:tcPr>
          <w:p>
            <w:r>
              <w:rPr>
                <w:sz w:val="18"/>
              </w:rPr>
              <w:t>—</w:t>
            </w:r>
          </w:p>
        </w:tc>
      </w:tr>
      <w:tr>
        <w:tc>
          <w:tcPr>
            <w:tcW w:type="dxa" w:w="5616"/>
            <w:shd w:fill="EAF1F8"/>
          </w:tcPr>
          <w:p>
            <w:r>
              <w:rPr>
                <w:sz w:val="18"/>
              </w:rPr>
              <w:t>Expansión del modelo a nuevas unidades de negocio o grupos de colaboradores</w:t>
            </w:r>
          </w:p>
        </w:tc>
        <w:tc>
          <w:tcPr>
            <w:tcW w:type="dxa" w:w="1872"/>
            <w:shd w:fill="EAF1F8"/>
          </w:tcPr>
          <w:p>
            <w:r>
              <w:rPr>
                <w:sz w:val="18"/>
              </w:rPr>
              <w:t>$ 1,800.00 c/u</w:t>
            </w:r>
          </w:p>
        </w:tc>
        <w:tc>
          <w:tcPr>
            <w:tcW w:type="dxa" w:w="1872"/>
            <w:shd w:fill="EAF1F8"/>
          </w:tcPr>
          <w:p>
            <w:r>
              <w:rPr>
                <w:sz w:val="18"/>
              </w:rPr>
              <w:t>—</w:t>
            </w:r>
          </w:p>
        </w:tc>
      </w:tr>
      <w:tr>
        <w:tc>
          <w:tcPr>
            <w:tcW w:type="dxa" w:w="5616"/>
          </w:tcPr>
          <w:p>
            <w:r>
              <w:rPr>
                <w:sz w:val="18"/>
              </w:rPr>
              <w:t>Incorporación de una nueva central a la torre de mando (configuración y calibración de umbrales)</w:t>
            </w:r>
          </w:p>
        </w:tc>
        <w:tc>
          <w:tcPr>
            <w:tcW w:type="dxa" w:w="1872"/>
          </w:tcPr>
          <w:p>
            <w:r>
              <w:rPr>
                <w:sz w:val="18"/>
              </w:rPr>
              <w:t>$ 950.00 c/u</w:t>
            </w:r>
          </w:p>
        </w:tc>
        <w:tc>
          <w:tcPr>
            <w:tcW w:type="dxa" w:w="1872"/>
          </w:tcPr>
          <w:p>
            <w:r>
              <w:rPr>
                <w:sz w:val="18"/>
              </w:rPr>
              <w:t>—</w:t>
            </w:r>
          </w:p>
        </w:tc>
      </w:tr>
      <w:tr>
        <w:tc>
          <w:tcPr>
            <w:tcW w:type="dxa" w:w="5616"/>
            <w:shd w:fill="EAF1F8"/>
          </w:tcPr>
          <w:p>
            <w:r>
              <w:rPr>
                <w:sz w:val="18"/>
              </w:rPr>
              <w:t>Taller trimestral de adopción y mejora continua con jefaturas (análisis de uso y recalibración de metas)</w:t>
            </w:r>
          </w:p>
        </w:tc>
        <w:tc>
          <w:tcPr>
            <w:tcW w:type="dxa" w:w="1872"/>
            <w:shd w:fill="EAF1F8"/>
          </w:tcPr>
          <w:p>
            <w:r>
              <w:rPr>
                <w:sz w:val="18"/>
              </w:rPr>
              <w:t>—</w:t>
            </w:r>
          </w:p>
        </w:tc>
        <w:tc>
          <w:tcPr>
            <w:tcW w:type="dxa" w:w="1872"/>
            <w:shd w:fill="EAF1F8"/>
          </w:tcPr>
          <w:p>
            <w:r>
              <w:rPr>
                <w:sz w:val="18"/>
              </w:rPr>
              <w:t>$ 400.00/trim.</w:t>
            </w:r>
          </w:p>
        </w:tc>
      </w:tr>
    </w:tbl>
    <w:p/>
    <w:p>
      <w:pPr>
        <w:pStyle w:val="Heading1"/>
      </w:pPr>
      <w:r>
        <w:rPr>
          <w:color w:val="0F3D63"/>
        </w:rPr>
        <w:t>7. Por qué elegirnos</w:t>
      </w:r>
    </w:p>
    <w:p>
      <w:pPr>
        <w:pStyle w:val="ListBullet"/>
      </w:pPr>
      <w:r>
        <w:rPr>
          <w:b/>
        </w:rPr>
        <w:t xml:space="preserve">Conocimiento del negocio y la organización VERIS. </w:t>
      </w:r>
      <w:r>
        <w:t>Ya hemos implementado soluciones de diferentes tipos para VERIS. Conocemos su ecosistema AWS, su cultura y su operación — no partimos de cero.</w:t>
      </w:r>
    </w:p>
    <w:p>
      <w:pPr>
        <w:pStyle w:val="ListBullet"/>
      </w:pPr>
      <w:r>
        <w:rPr>
          <w:b/>
        </w:rPr>
        <w:t xml:space="preserve">Cifras que concilian con la reportería oficial. </w:t>
      </w:r>
      <w:r>
        <w:t>La homologación de reglas de negocio garantiza que los indicadores en vivo cuadren con los tableros institucionales: una sola versión de la verdad, en tiempo real y al cierre.</w:t>
      </w:r>
    </w:p>
    <w:p>
      <w:pPr>
        <w:pStyle w:val="ListBullet"/>
      </w:pPr>
      <w:r>
        <w:rPr>
          <w:b/>
        </w:rPr>
        <w:t xml:space="preserve">Código propiedad de VERIS. </w:t>
      </w:r>
      <w:r>
        <w:t>El código fuente, prompts, Knowledge Bases y modelos son entregados a VERIS al liquidar el proyecto. Sin dependencia de licencias propietarias ni lock-in de proveedor.</w:t>
      </w:r>
    </w:p>
    <w:p>
      <w:pPr>
        <w:pStyle w:val="ListBullet"/>
      </w:pPr>
      <w:r>
        <w:rPr>
          <w:b/>
        </w:rPr>
        <w:t xml:space="preserve">Nativo en Amazon AWS. </w:t>
      </w:r>
      <w:r>
        <w:t>La plataforma se integra naturalmente con la infraestructura AWS existente. VERIS gestiona sus propios costos de nube sin intermediarios.</w:t>
      </w:r>
    </w:p>
    <w:p>
      <w:pPr>
        <w:pStyle w:val="ListBullet"/>
      </w:pPr>
      <w:r>
        <w:rPr>
          <w:b/>
        </w:rPr>
        <w:t xml:space="preserve">IA con costo operativo controlado. </w:t>
      </w:r>
      <w:r>
        <w:t>La arquitectura de doble capa ejecuta la analítica intensiva sin consumo de tokens y reserva la IA generativa para los momentos de valor, manteniendo el costo mensual de Bedrock acotado y predecible.</w:t>
      </w:r>
    </w:p>
    <w:p>
      <w:pPr>
        <w:pStyle w:val="ListBullet"/>
      </w:pPr>
      <w:r>
        <w:rPr>
          <w:b/>
        </w:rPr>
        <w:t xml:space="preserve">Escalabilidad desde la arquitectura. </w:t>
      </w:r>
      <w:r>
        <w:t>Diseñado para expandirse a nuevas unidades de negocio, cargos adicionales y módulos futuros sin reescribir la plataforma ni migrar datos.</w:t>
      </w:r>
    </w:p>
    <w:p>
      <w:pPr>
        <w:pStyle w:val="ListBullet"/>
      </w:pPr>
      <w:r>
        <w:rPr>
          <w:b/>
        </w:rPr>
        <w:t xml:space="preserve">Soporte local en español con conocimiento del contexto ecuatoriano. </w:t>
      </w:r>
      <w:r>
        <w:t>Respuesta en horas. No es un ticket internacional. Conocemos las dinámicas de equipos, legislación laboral y cultura organizacional en Ecuador.</w:t>
      </w:r>
    </w:p>
    <w:p>
      <w:pPr>
        <w:pStyle w:val="ListBullet"/>
      </w:pPr>
      <w:r>
        <w:rPr>
          <w:b/>
        </w:rPr>
        <w:t xml:space="preserve">6 meses de garantía total sobre la solución implementada. </w:t>
      </w:r>
      <w:r>
        <w:t>Cubre todos los módulos entregados. Después, nuestros planes de soporte garantizan la continuidad y la evolución del sistema.</w:t>
      </w:r>
    </w:p>
    <w:p>
      <w:pPr>
        <w:pStyle w:val="Heading1"/>
      </w:pPr>
      <w:r>
        <w:rPr>
          <w:color w:val="0F3D63"/>
        </w:rPr>
        <w:t>8. Condiciones comerciales</w:t>
      </w:r>
    </w:p>
    <w:tbl>
      <w:tblPr>
        <w:tblStyle w:val="TableGrid"/>
        <w:tblW w:type="auto" w:w="0"/>
        <w:jc w:val="center"/>
        <w:tblLook w:firstColumn="1" w:firstRow="1" w:lastColumn="0" w:lastRow="0" w:noHBand="0" w:noVBand="1" w:val="04A0"/>
      </w:tblPr>
      <w:tblGrid>
        <w:gridCol w:w="4320"/>
        <w:gridCol w:w="4320"/>
      </w:tblGrid>
      <w:tr>
        <w:tc>
          <w:tcPr>
            <w:tcW w:type="dxa" w:w="2592"/>
            <w:shd w:fill="1A568E"/>
          </w:tcPr>
          <w:p>
            <w:r>
              <w:rPr>
                <w:b/>
                <w:color w:val="FFFFFF"/>
                <w:sz w:val="18"/>
              </w:rPr>
              <w:t>CONDICIÓN</w:t>
            </w:r>
          </w:p>
        </w:tc>
        <w:tc>
          <w:tcPr>
            <w:tcW w:type="dxa" w:w="7488"/>
            <w:shd w:fill="1A568E"/>
          </w:tcPr>
          <w:p>
            <w:r>
              <w:rPr>
                <w:b/>
                <w:color w:val="FFFFFF"/>
                <w:sz w:val="18"/>
              </w:rPr>
              <w:t>DETALLE</w:t>
            </w:r>
          </w:p>
        </w:tc>
      </w:tr>
      <w:tr>
        <w:tc>
          <w:tcPr>
            <w:tcW w:type="dxa" w:w="2592"/>
          </w:tcPr>
          <w:p>
            <w:r>
              <w:rPr>
                <w:sz w:val="18"/>
              </w:rPr>
              <w:t>Precios</w:t>
            </w:r>
          </w:p>
        </w:tc>
        <w:tc>
          <w:tcPr>
            <w:tcW w:type="dxa" w:w="7488"/>
          </w:tcPr>
          <w:p>
            <w:r>
              <w:rPr>
                <w:sz w:val="18"/>
              </w:rPr>
              <w:t>No incluyen IVA (15 %).</w:t>
            </w:r>
          </w:p>
        </w:tc>
      </w:tr>
      <w:tr>
        <w:tc>
          <w:tcPr>
            <w:tcW w:type="dxa" w:w="2592"/>
            <w:shd w:fill="EAF1F8"/>
          </w:tcPr>
          <w:p>
            <w:r>
              <w:rPr>
                <w:sz w:val="18"/>
              </w:rPr>
              <w:t>Forma de pago</w:t>
            </w:r>
          </w:p>
        </w:tc>
        <w:tc>
          <w:tcPr>
            <w:tcW w:type="dxa" w:w="7488"/>
            <w:shd w:fill="EAF1F8"/>
          </w:tcPr>
          <w:p>
            <w:r>
              <w:rPr>
                <w:sz w:val="18"/>
              </w:rPr>
              <w:t>40 % al inicio del proyecto · 30 % a la entrega de la Fase 1 aprobada · 30 % a la entrega funcional total aprobada por VERIS.</w:t>
            </w:r>
          </w:p>
        </w:tc>
      </w:tr>
      <w:tr>
        <w:tc>
          <w:tcPr>
            <w:tcW w:type="dxa" w:w="2592"/>
          </w:tcPr>
          <w:p>
            <w:r>
              <w:rPr>
                <w:sz w:val="18"/>
              </w:rPr>
              <w:t>Tiempo de implementación</w:t>
            </w:r>
          </w:p>
        </w:tc>
        <w:tc>
          <w:tcPr>
            <w:tcW w:type="dxa" w:w="7488"/>
          </w:tcPr>
          <w:p>
            <w:r>
              <w:rPr>
                <w:sz w:val="18"/>
              </w:rPr>
              <w:t>16 semanas desde el primer pago, sujeto a disponibilidad oportuna de accesos a las fuentes de datos (Datawarehouse, transaccional clínico) y credenciales AWS.</w:t>
            </w:r>
          </w:p>
        </w:tc>
      </w:tr>
      <w:tr>
        <w:tc>
          <w:tcPr>
            <w:tcW w:type="dxa" w:w="2592"/>
            <w:shd w:fill="EAF1F8"/>
          </w:tcPr>
          <w:p>
            <w:r>
              <w:rPr>
                <w:sz w:val="18"/>
              </w:rPr>
              <w:t>Garantía</w:t>
            </w:r>
          </w:p>
        </w:tc>
        <w:tc>
          <w:tcPr>
            <w:tcW w:type="dxa" w:w="7488"/>
            <w:shd w:fill="EAF1F8"/>
          </w:tcPr>
          <w:p>
            <w:r>
              <w:rPr>
                <w:sz w:val="18"/>
              </w:rPr>
              <w:t>6 meses completos desde la entrega. Cubre la solución completa implementada.</w:t>
            </w:r>
          </w:p>
        </w:tc>
      </w:tr>
      <w:tr>
        <w:tc>
          <w:tcPr>
            <w:tcW w:type="dxa" w:w="2592"/>
          </w:tcPr>
          <w:p>
            <w:r>
              <w:rPr>
                <w:sz w:val="18"/>
              </w:rPr>
              <w:t>Acceso a datos</w:t>
            </w:r>
          </w:p>
        </w:tc>
        <w:tc>
          <w:tcPr>
            <w:tcW w:type="dxa" w:w="7488"/>
          </w:tcPr>
          <w:p>
            <w:r>
              <w:rPr>
                <w:sz w:val="18"/>
              </w:rPr>
              <w:t>VERIS provee acceso de prueba al Datawarehouse y al transaccional durante el desarrollo. La entrega tardía de accesos impacta el cronograma.</w:t>
            </w:r>
          </w:p>
        </w:tc>
      </w:tr>
      <w:tr>
        <w:tc>
          <w:tcPr>
            <w:tcW w:type="dxa" w:w="2592"/>
            <w:shd w:fill="EAF1F8"/>
          </w:tcPr>
          <w:p>
            <w:r>
              <w:rPr>
                <w:sz w:val="18"/>
              </w:rPr>
              <w:t>Documentación de cargos</w:t>
            </w:r>
          </w:p>
        </w:tc>
        <w:tc>
          <w:tcPr>
            <w:tcW w:type="dxa" w:w="7488"/>
            <w:shd w:fill="EAF1F8"/>
          </w:tcPr>
          <w:p>
            <w:r>
              <w:rPr>
                <w:sz w:val="18"/>
              </w:rPr>
              <w:t>VERIS entrega la documentación de cargos (objetivos, competencias, indicadores, metas, ponderaciones) previo al inicio de la Fase 0. Es la base del módulo de gestión y de los Knowledge Bases.</w:t>
            </w:r>
          </w:p>
        </w:tc>
      </w:tr>
      <w:tr>
        <w:tc>
          <w:tcPr>
            <w:tcW w:type="dxa" w:w="2592"/>
          </w:tcPr>
          <w:p>
            <w:r>
              <w:rPr>
                <w:sz w:val="18"/>
              </w:rPr>
              <w:t>Reglas de negocio</w:t>
            </w:r>
          </w:p>
        </w:tc>
        <w:tc>
          <w:tcPr>
            <w:tcW w:type="dxa" w:w="7488"/>
          </w:tcPr>
          <w:p>
            <w:r>
              <w:rPr>
                <w:sz w:val="18"/>
              </w:rPr>
              <w:t>VERIS facilita el acceso a la definición de los tableros institucionales de Power BI para el proceso de homologación durante la Fase 0.</w:t>
            </w:r>
          </w:p>
        </w:tc>
      </w:tr>
      <w:tr>
        <w:tc>
          <w:tcPr>
            <w:tcW w:type="dxa" w:w="2592"/>
            <w:shd w:fill="EAF1F8"/>
          </w:tcPr>
          <w:p>
            <w:r>
              <w:rPr>
                <w:sz w:val="18"/>
              </w:rPr>
              <w:t>Propiedad intelectual</w:t>
            </w:r>
          </w:p>
        </w:tc>
        <w:tc>
          <w:tcPr>
            <w:tcW w:type="dxa" w:w="7488"/>
            <w:shd w:fill="EAF1F8"/>
          </w:tcPr>
          <w:p>
            <w:r>
              <w:rPr>
                <w:sz w:val="18"/>
              </w:rPr>
              <w:t>Código, prompts, Knowledge Bases y configuraciones pasan a ser propiedad de VERIS al liquidar el proyecto.</w:t>
            </w:r>
          </w:p>
        </w:tc>
      </w:tr>
      <w:tr>
        <w:tc>
          <w:tcPr>
            <w:tcW w:type="dxa" w:w="2592"/>
          </w:tcPr>
          <w:p>
            <w:r>
              <w:rPr>
                <w:sz w:val="18"/>
              </w:rPr>
              <w:t>Validez de la oferta</w:t>
            </w:r>
          </w:p>
        </w:tc>
        <w:tc>
          <w:tcPr>
            <w:tcW w:type="dxa" w:w="7488"/>
          </w:tcPr>
          <w:p>
            <w:r>
              <w:rPr>
                <w:sz w:val="18"/>
              </w:rPr>
              <w:t>30 días calendario desde la fecha de emisión.</w:t>
            </w:r>
          </w:p>
        </w:tc>
      </w:tr>
    </w:tbl>
    <w:p/>
    <w:p>
      <w:r>
        <w:rPr>
          <w:i w:val="0"/>
        </w:rPr>
        <w:t>Estamos a su disposición para cualquier consulta, ajuste o demostración en vivo.</w:t>
      </w:r>
    </w:p>
    <w:p/>
    <w:p>
      <w:pPr>
        <w:jc w:val="center"/>
      </w:pPr>
      <w:r>
        <w:rPr>
          <w:sz w:val="20"/>
        </w:rPr>
        <w:t>Iván García  ·  ivang@sempitecno.com  ·  +593 999 989 522</w:t>
        <w:br/>
        <w:t>SEMPITECNO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