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68E"/>
        </w:rPr>
        <w:t>Torre de Control VERIS</w:t>
      </w:r>
    </w:p>
    <w:p>
      <w:pPr>
        <w:jc w:val="center"/>
      </w:pPr>
      <w:r>
        <w:rPr>
          <w:i/>
          <w:sz w:val="24"/>
        </w:rPr>
        <w:t>Documento consolidado — Propuesta Viamática</w:t>
      </w:r>
    </w:p>
    <w:p>
      <w:pPr>
        <w:jc w:val="center"/>
      </w:pPr>
      <w:r>
        <w:t>VRS-2026-COM-000113 · www.viamatica.com</w:t>
      </w:r>
    </w:p>
    <w:p/>
    <w:p>
      <w:pPr>
        <w:pStyle w:val="Heading1"/>
      </w:pPr>
      <w:r>
        <w:rPr>
          <w:color w:val="1A568E"/>
        </w:rPr>
        <w:t>1. Reportería consolidada y consideraciones clave</w:t>
      </w:r>
    </w:p>
    <w:p>
      <w:r>
        <w:t>Se incluye un diseño de indicadores consolidados que se generan en tiempo real, alimentados por cada indicador, para que la Gerencia Nacional de Operaciones monitoree el estado de cada central y, al cierre del día, conozca de manera consolidada el resultado de la gestión con una semaforización por indicador.</w:t>
      </w:r>
    </w:p>
    <w:p>
      <w:pPr>
        <w:pStyle w:val="ListBullet"/>
      </w:pPr>
      <w:r>
        <w:rPr>
          <w:b/>
        </w:rPr>
        <w:t xml:space="preserve">Conexión al transaccional, no al Data Warehouse: </w:t>
      </w:r>
      <w:r>
        <w:t>los indicadores se toman de la base transaccional (Phantom X) para tenerlos en vivo.</w:t>
      </w:r>
    </w:p>
    <w:p>
      <w:pPr>
        <w:pStyle w:val="ListBullet"/>
      </w:pPr>
      <w:r>
        <w:rPr>
          <w:b/>
        </w:rPr>
        <w:t xml:space="preserve">Homologación con el Power BI: </w:t>
      </w:r>
      <w:r>
        <w:t>las reglas de negocio que hoy limpian y transforman la información se replican antes de la torre de control, para que los datos en caliente concilien con los tableros institucionales.</w:t>
      </w:r>
    </w:p>
    <w:p>
      <w:pPr>
        <w:pStyle w:val="ListBullet"/>
      </w:pPr>
      <w:r>
        <w:rPr>
          <w:b/>
        </w:rPr>
        <w:t xml:space="preserve">Latencia y desempeño: </w:t>
      </w:r>
      <w:r>
        <w:t>el objetivo de actualización es del orden de 2 a 3 segundos, mediante un mecanismo que lee la información sin comprometer el desempeño del sistema transaccional.</w:t>
      </w:r>
    </w:p>
    <w:p>
      <w:pPr>
        <w:pStyle w:val="ListBullet"/>
      </w:pPr>
      <w:r>
        <w:rPr>
          <w:b/>
        </w:rPr>
        <w:t xml:space="preserve">Alcance presencial: </w:t>
      </w:r>
      <w:r>
        <w:t>la torre de control se centra en la operación presencial de la central médica.</w:t>
      </w:r>
    </w:p>
    <w:p>
      <w:pPr>
        <w:pStyle w:val="Heading1"/>
      </w:pPr>
      <w:r>
        <w:rPr>
          <w:color w:val="1A568E"/>
        </w:rPr>
        <w:t>2. Alcance del servicio</w:t>
      </w:r>
    </w:p>
    <w:p>
      <w:r>
        <w:t>La torre de control se enfoca en dos aspectos: el control de gestión administrativa (journey del cliente antes, durante y después de la consulta) y el control de gestión del ingreso (generación de ingreso a partir de las órdenes médicas prescritas). A continuación se detallan los indicadores de cada pilar, con su semaforización y el apoyo de inteligencia artificial previsto.</w:t>
      </w:r>
    </w:p>
    <w:p>
      <w:pPr>
        <w:pStyle w:val="Heading2"/>
      </w:pPr>
      <w:r>
        <w:rPr>
          <w:color w:val="1A568E"/>
        </w:rPr>
        <w:t>Pilar 1: Control de Gestión Administrativa</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1A568E"/>
          </w:tcPr>
          <w:p>
            <w:r>
              <w:rPr>
                <w:b/>
                <w:color w:val="FFFFFF"/>
                <w:sz w:val="18"/>
              </w:rPr>
              <w:t>Indicador</w:t>
            </w:r>
          </w:p>
        </w:tc>
        <w:tc>
          <w:tcPr>
            <w:tcW w:type="dxa" w:w="2880"/>
            <w:shd w:fill="1A568E"/>
          </w:tcPr>
          <w:p>
            <w:r>
              <w:rPr>
                <w:b/>
                <w:color w:val="FFFFFF"/>
                <w:sz w:val="18"/>
              </w:rPr>
              <w:t>Semaforización / Meta</w:t>
            </w:r>
          </w:p>
        </w:tc>
        <w:tc>
          <w:tcPr>
            <w:tcW w:type="dxa" w:w="3600"/>
            <w:shd w:fill="1A568E"/>
          </w:tcPr>
          <w:p>
            <w:r>
              <w:rPr>
                <w:b/>
                <w:color w:val="FFFFFF"/>
                <w:sz w:val="18"/>
              </w:rPr>
              <w:t>Apoyo de IA</w:t>
            </w:r>
          </w:p>
        </w:tc>
      </w:tr>
      <w:tr>
        <w:tc>
          <w:tcPr>
            <w:tcW w:type="dxa" w:w="2592"/>
          </w:tcPr>
          <w:p>
            <w:r>
              <w:rPr>
                <w:sz w:val="18"/>
              </w:rPr>
              <w:t>Puntualidad de citas por especialidad y médico</w:t>
            </w:r>
          </w:p>
        </w:tc>
        <w:tc>
          <w:tcPr>
            <w:tcW w:type="dxa" w:w="2880"/>
          </w:tcPr>
          <w:p>
            <w:r>
              <w:rPr>
                <w:sz w:val="18"/>
              </w:rPr>
              <w:t>Verde: anticipado / puntual / &lt; 5 min · Amarillo: 5–10 min · Rojo: &gt; 10 min</w:t>
            </w:r>
          </w:p>
        </w:tc>
        <w:tc>
          <w:tcPr>
            <w:tcW w:type="dxa" w:w="3600"/>
          </w:tcPr>
          <w:p>
            <w:r>
              <w:rPr>
                <w:sz w:val="18"/>
              </w:rPr>
              <w:t>Pop-up semaforizado al médico y recomendación de calibración de tiempos; alerta al Jefe y Líder de central.</w:t>
            </w:r>
          </w:p>
        </w:tc>
      </w:tr>
      <w:tr>
        <w:tc>
          <w:tcPr>
            <w:tcW w:type="dxa" w:w="2592"/>
            <w:shd w:fill="E8F0F8"/>
          </w:tcPr>
          <w:p>
            <w:r>
              <w:rPr>
                <w:sz w:val="18"/>
              </w:rPr>
              <w:t>Duración de citas médicas</w:t>
            </w:r>
          </w:p>
        </w:tc>
        <w:tc>
          <w:tcPr>
            <w:tcW w:type="dxa" w:w="2880"/>
            <w:shd w:fill="E8F0F8"/>
          </w:tcPr>
          <w:p>
            <w:r>
              <w:rPr>
                <w:sz w:val="18"/>
              </w:rPr>
              <w:t>Verde: 18–20 min · Amarillo: 10–17 min · Rojo: &lt; 10 min</w:t>
            </w:r>
          </w:p>
        </w:tc>
        <w:tc>
          <w:tcPr>
            <w:tcW w:type="dxa" w:w="3600"/>
            <w:shd w:fill="E8F0F8"/>
          </w:tcPr>
          <w:p>
            <w:r>
              <w:rPr>
                <w:sz w:val="18"/>
              </w:rPr>
              <w:t>Pop-up al médico; benchmark frente a médicos referentes (Gold Standard) con alto % de tratamiento terminado.</w:t>
            </w:r>
          </w:p>
        </w:tc>
      </w:tr>
      <w:tr>
        <w:tc>
          <w:tcPr>
            <w:tcW w:type="dxa" w:w="2592"/>
          </w:tcPr>
          <w:p>
            <w:r>
              <w:rPr>
                <w:sz w:val="18"/>
              </w:rPr>
              <w:t>Llenado de agenda médica por especialidad y médico</w:t>
            </w:r>
          </w:p>
        </w:tc>
        <w:tc>
          <w:tcPr>
            <w:tcW w:type="dxa" w:w="2880"/>
          </w:tcPr>
          <w:p>
            <w:r>
              <w:rPr>
                <w:sz w:val="18"/>
              </w:rPr>
              <w:t>Verde: 80–100% · Amarillo: 60–79% · Rojo: &lt; 59%</w:t>
            </w:r>
          </w:p>
        </w:tc>
        <w:tc>
          <w:tcPr>
            <w:tcW w:type="dxa" w:w="3600"/>
          </w:tcPr>
          <w:p>
            <w:r>
              <w:rPr>
                <w:sz w:val="18"/>
              </w:rPr>
              <w:t>Pop-up de comportamiento del llenado y recomendación; semáforo al Jefe y Líder.</w:t>
            </w:r>
          </w:p>
        </w:tc>
      </w:tr>
      <w:tr>
        <w:tc>
          <w:tcPr>
            <w:tcW w:type="dxa" w:w="2592"/>
            <w:shd w:fill="E8F0F8"/>
          </w:tcPr>
          <w:p>
            <w:r>
              <w:rPr>
                <w:sz w:val="18"/>
              </w:rPr>
              <w:t>Ausentismo de clientes por especialidad y médico</w:t>
            </w:r>
          </w:p>
        </w:tc>
        <w:tc>
          <w:tcPr>
            <w:tcW w:type="dxa" w:w="2880"/>
            <w:shd w:fill="E8F0F8"/>
          </w:tcPr>
          <w:p>
            <w:r>
              <w:rPr>
                <w:sz w:val="18"/>
              </w:rPr>
              <w:t>Verde: 1–7% · Amarillo: 8–10% · Rojo: &gt; 11%</w:t>
            </w:r>
          </w:p>
        </w:tc>
        <w:tc>
          <w:tcPr>
            <w:tcW w:type="dxa" w:w="3600"/>
            <w:shd w:fill="E8F0F8"/>
          </w:tcPr>
          <w:p>
            <w:r>
              <w:rPr>
                <w:sz w:val="18"/>
              </w:rPr>
              <w:t>Semáforo al Jefe y Líder para tomar correctivos con los pacientes.</w:t>
            </w:r>
          </w:p>
        </w:tc>
      </w:tr>
      <w:tr>
        <w:tc>
          <w:tcPr>
            <w:tcW w:type="dxa" w:w="2592"/>
          </w:tcPr>
          <w:p>
            <w:r>
              <w:rPr>
                <w:sz w:val="18"/>
              </w:rPr>
              <w:t>Pagos en kioscos de autogestión y proporción kioscos vs. cajas</w:t>
            </w:r>
          </w:p>
        </w:tc>
        <w:tc>
          <w:tcPr>
            <w:tcW w:type="dxa" w:w="2880"/>
          </w:tcPr>
          <w:p>
            <w:r>
              <w:rPr>
                <w:sz w:val="18"/>
              </w:rPr>
              <w:t>Umbrales por franja horaria (a definir en el levantamiento)</w:t>
            </w:r>
          </w:p>
        </w:tc>
        <w:tc>
          <w:tcPr>
            <w:tcW w:type="dxa" w:w="3600"/>
          </w:tcPr>
          <w:p>
            <w:r>
              <w:rPr>
                <w:sz w:val="18"/>
              </w:rPr>
              <w:t>Reporte que cruza las transacciones que, perteneciendo al mercado del kiosco, se gestionaron en caja, identificando saturación evitable.</w:t>
            </w:r>
          </w:p>
        </w:tc>
      </w:tr>
      <w:tr>
        <w:tc>
          <w:tcPr>
            <w:tcW w:type="dxa" w:w="2592"/>
            <w:shd w:fill="E8F0F8"/>
          </w:tcPr>
          <w:p>
            <w:r>
              <w:rPr>
                <w:sz w:val="18"/>
              </w:rPr>
              <w:t>Productividad de kioscos de autogestión</w:t>
            </w:r>
          </w:p>
        </w:tc>
        <w:tc>
          <w:tcPr>
            <w:tcW w:type="dxa" w:w="2880"/>
            <w:shd w:fill="E8F0F8"/>
          </w:tcPr>
          <w:p>
            <w:r>
              <w:rPr>
                <w:sz w:val="18"/>
              </w:rPr>
              <w:t>Umbrales por franja horaria y por host/cajero</w:t>
            </w:r>
          </w:p>
        </w:tc>
        <w:tc>
          <w:tcPr>
            <w:tcW w:type="dxa" w:w="3600"/>
            <w:shd w:fill="E8F0F8"/>
          </w:tcPr>
          <w:p>
            <w:r>
              <w:rPr>
                <w:sz w:val="18"/>
              </w:rPr>
              <w:t>Semáforo al Jefe y Líder por franja horaria y host/cajero.</w:t>
            </w:r>
          </w:p>
        </w:tc>
      </w:tr>
      <w:tr>
        <w:tc>
          <w:tcPr>
            <w:tcW w:type="dxa" w:w="2592"/>
          </w:tcPr>
          <w:p>
            <w:r>
              <w:rPr>
                <w:sz w:val="18"/>
              </w:rPr>
              <w:t>Tiempos de espera en caja</w:t>
            </w:r>
          </w:p>
        </w:tc>
        <w:tc>
          <w:tcPr>
            <w:tcW w:type="dxa" w:w="2880"/>
          </w:tcPr>
          <w:p>
            <w:r>
              <w:rPr>
                <w:sz w:val="18"/>
              </w:rPr>
              <w:t>Umbrales de tiempo definidos</w:t>
            </w:r>
          </w:p>
        </w:tc>
        <w:tc>
          <w:tcPr>
            <w:tcW w:type="dxa" w:w="3600"/>
          </w:tcPr>
          <w:p>
            <w:r>
              <w:rPr>
                <w:sz w:val="18"/>
              </w:rPr>
              <w:t>Mapa de calor en tiempo real; pop-up al cajero y alertas inmediatas de saturación de colas.</w:t>
            </w:r>
          </w:p>
        </w:tc>
      </w:tr>
      <w:tr>
        <w:tc>
          <w:tcPr>
            <w:tcW w:type="dxa" w:w="2592"/>
            <w:shd w:fill="E8F0F8"/>
          </w:tcPr>
          <w:p>
            <w:r>
              <w:rPr>
                <w:sz w:val="18"/>
              </w:rPr>
              <w:t>Tiempos de atención en caja por ejecutivo</w:t>
            </w:r>
          </w:p>
        </w:tc>
        <w:tc>
          <w:tcPr>
            <w:tcW w:type="dxa" w:w="2880"/>
            <w:shd w:fill="E8F0F8"/>
          </w:tcPr>
          <w:p>
            <w:r>
              <w:rPr>
                <w:sz w:val="18"/>
              </w:rPr>
              <w:t>Umbrales de tiempo definidos</w:t>
            </w:r>
          </w:p>
        </w:tc>
        <w:tc>
          <w:tcPr>
            <w:tcW w:type="dxa" w:w="3600"/>
            <w:shd w:fill="E8F0F8"/>
          </w:tcPr>
          <w:p>
            <w:r>
              <w:rPr>
                <w:sz w:val="18"/>
              </w:rPr>
              <w:t>Mapa de calor por cajero; recomendación con IPN (p. ej. "cajeros con IPN ≥ 90 atienden en ~2,98 min").</w:t>
            </w:r>
          </w:p>
        </w:tc>
      </w:tr>
    </w:tbl>
    <w:p/>
    <w:p>
      <w:pPr>
        <w:pStyle w:val="Heading1"/>
      </w:pPr>
      <w:r>
        <w:rPr>
          <w:color w:val="1A568E"/>
        </w:rPr>
        <w:t>3. Pilar 2: Control de Gestión del Ingreso</w:t>
      </w:r>
    </w:p>
    <w:p>
      <w:r>
        <w:t>La adherencia terapéutica de primer impulso es el indicador que mueve el ingreso diario de las centrales: mide el porcentaje de órdenes prescritas (laboratorio, imágenes, procedimientos, terapias, farmacia, odontología y óptica) que el paciente factura "en caliente", antes de salir de la central. Se mide en tiempo real desde que el médico cierra la historia clínica en Phantom X.</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1A568E"/>
          </w:tcPr>
          <w:p>
            <w:r>
              <w:rPr>
                <w:b/>
                <w:color w:val="FFFFFF"/>
                <w:sz w:val="18"/>
              </w:rPr>
              <w:t>Indicador</w:t>
            </w:r>
          </w:p>
        </w:tc>
        <w:tc>
          <w:tcPr>
            <w:tcW w:type="dxa" w:w="2880"/>
            <w:shd w:fill="1A568E"/>
          </w:tcPr>
          <w:p>
            <w:r>
              <w:rPr>
                <w:b/>
                <w:color w:val="FFFFFF"/>
                <w:sz w:val="18"/>
              </w:rPr>
              <w:t>Semaforización / Meta</w:t>
            </w:r>
          </w:p>
        </w:tc>
        <w:tc>
          <w:tcPr>
            <w:tcW w:type="dxa" w:w="3600"/>
            <w:shd w:fill="1A568E"/>
          </w:tcPr>
          <w:p>
            <w:r>
              <w:rPr>
                <w:b/>
                <w:color w:val="FFFFFF"/>
                <w:sz w:val="18"/>
              </w:rPr>
              <w:t>Apoyo de IA</w:t>
            </w:r>
          </w:p>
        </w:tc>
      </w:tr>
      <w:tr>
        <w:tc>
          <w:tcPr>
            <w:tcW w:type="dxa" w:w="2592"/>
          </w:tcPr>
          <w:p>
            <w:r>
              <w:rPr>
                <w:sz w:val="18"/>
              </w:rPr>
              <w:t>Adherencia terapéutica de primer impulso por médico</w:t>
            </w:r>
          </w:p>
        </w:tc>
        <w:tc>
          <w:tcPr>
            <w:tcW w:type="dxa" w:w="2880"/>
          </w:tcPr>
          <w:p>
            <w:r>
              <w:rPr>
                <w:sz w:val="18"/>
              </w:rPr>
              <w:t>Metas por producto: Laboratorios 71% · Imágenes 74% · Procedimientos 63% · Terapias 58% · Farmacia 68%</w:t>
            </w:r>
          </w:p>
        </w:tc>
        <w:tc>
          <w:tcPr>
            <w:tcW w:type="dxa" w:w="3600"/>
          </w:tcPr>
          <w:p>
            <w:r>
              <w:rPr>
                <w:sz w:val="18"/>
              </w:rPr>
              <w:t>Pop-up semaforizado por orden prescrita; benchmark Gold Standard; insight de fin de turno con el monto aportado y el monto no captado.</w:t>
            </w:r>
          </w:p>
        </w:tc>
      </w:tr>
      <w:tr>
        <w:tc>
          <w:tcPr>
            <w:tcW w:type="dxa" w:w="2592"/>
            <w:shd w:fill="E8F0F8"/>
          </w:tcPr>
          <w:p>
            <w:r>
              <w:rPr>
                <w:sz w:val="18"/>
              </w:rPr>
              <w:t>Adherencia terapéutica de primer impulso por cajero</w:t>
            </w:r>
          </w:p>
        </w:tc>
        <w:tc>
          <w:tcPr>
            <w:tcW w:type="dxa" w:w="2880"/>
            <w:shd w:fill="E8F0F8"/>
          </w:tcPr>
          <w:p>
            <w:r>
              <w:rPr>
                <w:sz w:val="18"/>
              </w:rPr>
              <w:t>Mismas metas por producto</w:t>
            </w:r>
          </w:p>
        </w:tc>
        <w:tc>
          <w:tcPr>
            <w:tcW w:type="dxa" w:w="3600"/>
            <w:shd w:fill="E8F0F8"/>
          </w:tcPr>
          <w:p>
            <w:r>
              <w:rPr>
                <w:sz w:val="18"/>
              </w:rPr>
              <w:t>Recomendaciones de cierre de venta; insight de fin de turno y benchmark frente a otros cajeros.</w:t>
            </w:r>
          </w:p>
        </w:tc>
      </w:tr>
      <w:tr>
        <w:tc>
          <w:tcPr>
            <w:tcW w:type="dxa" w:w="2592"/>
          </w:tcPr>
          <w:p>
            <w:r>
              <w:rPr>
                <w:sz w:val="18"/>
              </w:rPr>
              <w:t>Cantidad de clientes y atenciones por nivel</w:t>
            </w:r>
          </w:p>
        </w:tc>
        <w:tc>
          <w:tcPr>
            <w:tcW w:type="dxa" w:w="2880"/>
          </w:tcPr>
          <w:p>
            <w:r>
              <w:rPr>
                <w:sz w:val="18"/>
              </w:rPr>
              <w:t>Comparativa contra metas diarias por nivel: Asegurado · Particular · Empresarial · Empaquetado</w:t>
            </w:r>
          </w:p>
        </w:tc>
        <w:tc>
          <w:tcPr>
            <w:tcW w:type="dxa" w:w="3600"/>
          </w:tcPr>
          <w:p>
            <w:r>
              <w:rPr>
                <w:sz w:val="18"/>
              </w:rPr>
              <w:t>Monitoreo del flujo por franja horaria y especialidad frente a la meta diaria.</w:t>
            </w:r>
          </w:p>
        </w:tc>
      </w:tr>
      <w:tr>
        <w:tc>
          <w:tcPr>
            <w:tcW w:type="dxa" w:w="2592"/>
            <w:shd w:fill="E8F0F8"/>
          </w:tcPr>
          <w:p>
            <w:r>
              <w:rPr>
                <w:sz w:val="18"/>
              </w:rPr>
              <w:t>Cierre de venta de empaquetados por cajero</w:t>
            </w:r>
          </w:p>
        </w:tc>
        <w:tc>
          <w:tcPr>
            <w:tcW w:type="dxa" w:w="2880"/>
            <w:shd w:fill="E8F0F8"/>
          </w:tcPr>
          <w:p>
            <w:r>
              <w:rPr>
                <w:sz w:val="18"/>
              </w:rPr>
              <w:t>Verde: 90–100% o más · Amarillo: 70–89% · Rojo: &lt; 69%</w:t>
            </w:r>
          </w:p>
        </w:tc>
        <w:tc>
          <w:tcPr>
            <w:tcW w:type="dxa" w:w="3600"/>
            <w:shd w:fill="E8F0F8"/>
          </w:tcPr>
          <w:p>
            <w:r>
              <w:rPr>
                <w:sz w:val="18"/>
              </w:rPr>
              <w:t>Pop-up de avance vs. presupuesto diario; recomendación de empaquetados; insight de fin de turno.</w:t>
            </w:r>
          </w:p>
        </w:tc>
      </w:tr>
      <w:tr>
        <w:tc>
          <w:tcPr>
            <w:tcW w:type="dxa" w:w="2592"/>
          </w:tcPr>
          <w:p>
            <w:r>
              <w:rPr>
                <w:sz w:val="18"/>
              </w:rPr>
              <w:t>Cierre de venta por dependientes de farmacia</w:t>
            </w:r>
          </w:p>
        </w:tc>
        <w:tc>
          <w:tcPr>
            <w:tcW w:type="dxa" w:w="2880"/>
          </w:tcPr>
          <w:p>
            <w:r>
              <w:rPr>
                <w:sz w:val="18"/>
              </w:rPr>
              <w:t>Mismo enfoque que el cierre por cajero</w:t>
            </w:r>
          </w:p>
        </w:tc>
        <w:tc>
          <w:tcPr>
            <w:tcW w:type="dxa" w:w="3600"/>
          </w:tcPr>
          <w:p>
            <w:r>
              <w:rPr>
                <w:sz w:val="18"/>
              </w:rPr>
              <w:t>Recomendaciones e insights de cierre aplicados a los dependientes de farmacia.</w:t>
            </w:r>
          </w:p>
        </w:tc>
      </w:tr>
    </w:tbl>
    <w:p/>
    <w:p>
      <w:pPr>
        <w:pStyle w:val="Heading1"/>
      </w:pPr>
      <w:r>
        <w:rPr>
          <w:color w:val="1A568E"/>
        </w:rPr>
        <w:t>4. Capa de Inteligencia Artificial</w:t>
      </w:r>
    </w:p>
    <w:p>
      <w:r>
        <w:t>La solución combina dos capas de inteligencia. Una capa analítica y predictiva que se ejecuta de forma local sobre el propio cómputo (sin consumo de tokens): clasifica el estado de cada indicador (semaforización), detecta anomalías y anticipa el incumplimiento al cierre del turno mediante modelos de control estadístico y de aprendizaje supervisado tabular (gradient boosting). Y una capa de IA generativa (Amazon Bedrock) que se invoca solo cuando aporta valor, para redactar en lenguaje natural la recomendación, el benchmark o el insight.</w:t>
      </w:r>
    </w:p>
    <w:p>
      <w:r>
        <w:t>Sobre los indicadores en tiempo real, la inteligencia artificial actúa como generador de valor agregado mediante:</w:t>
      </w:r>
    </w:p>
    <w:p>
      <w:pPr>
        <w:pStyle w:val="ListBullet"/>
      </w:pPr>
      <w:r>
        <w:rPr>
          <w:b/>
        </w:rPr>
        <w:t xml:space="preserve">Pop-ups y alertas semaforizadas </w:t>
      </w:r>
      <w:r>
        <w:t>que llegan al médico o cajero en el momento en que un indicador se desborda, junto con la acción sugerida para corregirlo.</w:t>
      </w:r>
    </w:p>
    <w:p>
      <w:pPr>
        <w:pStyle w:val="ListBullet"/>
      </w:pPr>
      <w:r>
        <w:rPr>
          <w:b/>
        </w:rPr>
        <w:t xml:space="preserve">Recomendaciones de benchmark </w:t>
      </w:r>
      <w:r>
        <w:t>en lenguaje natural, comparando el desempeño del profesional con sus pares, tomando como referencia a los médicos Gold Standard.</w:t>
      </w:r>
    </w:p>
    <w:p>
      <w:pPr>
        <w:pStyle w:val="ListBullet"/>
      </w:pPr>
      <w:r>
        <w:rPr>
          <w:b/>
        </w:rPr>
        <w:t xml:space="preserve">Insight de fin de turno: </w:t>
      </w:r>
      <w:r>
        <w:t>al cerrar la jornada, un reporte automático con el comportamiento de los pacientes atendidos, el monto aportado, el monto no captado y un benchmark frente a los compañeros.</w:t>
      </w:r>
    </w:p>
    <w:p>
      <w:pPr>
        <w:pStyle w:val="ListBullet"/>
      </w:pPr>
      <w:r>
        <w:rPr>
          <w:b/>
        </w:rPr>
        <w:t xml:space="preserve">Coach conversacional: </w:t>
      </w:r>
      <w:r>
        <w:t>el médico o cajero puede conversar con la IA y preguntarle cómo mejorar un indicador; el modelo aprende del modelo de datos del transaccional y responde como una guía.</w:t>
      </w:r>
    </w:p>
    <w:p>
      <w:pPr>
        <w:pStyle w:val="Heading2"/>
      </w:pPr>
      <w:r>
        <w:rPr>
          <w:color w:val="1A568E"/>
        </w:rPr>
        <w:t>Niveles de acceso</w:t>
      </w:r>
    </w:p>
    <w:p>
      <w:pPr>
        <w:pStyle w:val="ListBullet"/>
      </w:pPr>
      <w:r>
        <w:rPr>
          <w:b/>
        </w:rPr>
        <w:t xml:space="preserve">Médicos, cajeros y dependientes de farmacia: </w:t>
      </w:r>
      <w:r>
        <w:t>pop-ups, mapa de calor, insight de fin de turno y coach conversacional para su autogestión y autorregulación.</w:t>
      </w:r>
    </w:p>
    <w:p>
      <w:pPr>
        <w:pStyle w:val="ListBullet"/>
      </w:pPr>
      <w:r>
        <w:rPr>
          <w:b/>
        </w:rPr>
        <w:t xml:space="preserve">Jefes y líderes de central: </w:t>
      </w:r>
      <w:r>
        <w:t>vista minuto a minuto de sus médicos y cajeros, identificación de quién está en rojo y gestión de correctivos en tiempo real.</w:t>
      </w:r>
    </w:p>
    <w:p>
      <w:pPr>
        <w:pStyle w:val="ListBullet"/>
      </w:pPr>
      <w:r>
        <w:rPr>
          <w:b/>
        </w:rPr>
        <w:t xml:space="preserve">Gerencia Nacional de Operaciones y jefaturas regionales: </w:t>
      </w:r>
      <w:r>
        <w:t>colorimetría central por central, con capacidad de drill-down progresivo hasta el detalle de cada médico o cajero.</w:t>
      </w:r>
    </w:p>
    <w:p>
      <w:pPr>
        <w:pStyle w:val="Heading1"/>
      </w:pPr>
      <w:r>
        <w:rPr>
          <w:color w:val="1A568E"/>
        </w:rPr>
        <w:t>5. Arquitectura</w:t>
      </w:r>
    </w:p>
    <w:p>
      <w:r>
        <w:t>La solución se estructura por capas, conformando un bus de integración con gobernanza que ofrece visibilidad punto a punto. El despliegue puede realizarse en nube privada u on-premise, en función de la infraestructura de VERIS y del tratamiento de datos clínicos sensibles, aspecto que se confirmará en el levantamiento técnico.</w:t>
      </w:r>
    </w:p>
    <w:p>
      <w:pPr>
        <w:pStyle w:val="Heading2"/>
      </w:pPr>
      <w:r>
        <w:rPr>
          <w:color w:val="1A568E"/>
        </w:rPr>
        <w:t>Usuarios de la Torre de Control</w:t>
      </w:r>
    </w:p>
    <w:p>
      <w:pPr>
        <w:pStyle w:val="ListBullet"/>
      </w:pPr>
      <w:r>
        <w:t>Médico / Cajero / Farmacia: Pop-up, mapa de calor, coach.</w:t>
      </w:r>
    </w:p>
    <w:p>
      <w:pPr>
        <w:pStyle w:val="ListBullet"/>
      </w:pPr>
      <w:r>
        <w:t>Jefes y Líderes de central: Minuto a minuto del equipo.</w:t>
      </w:r>
    </w:p>
    <w:p>
      <w:pPr>
        <w:pStyle w:val="ListBullet"/>
      </w:pPr>
      <w:r>
        <w:t>Gerencia y Jefaturas regionales: Colorimetría central por central.</w:t>
      </w:r>
    </w:p>
    <w:p>
      <w:pPr>
        <w:pStyle w:val="Heading2"/>
      </w:pPr>
      <w:r>
        <w:rPr>
          <w:color w:val="1A568E"/>
        </w:rPr>
        <w:t>Capa de Presentación — Torre de Control</w:t>
      </w:r>
    </w:p>
    <w:p>
      <w:pPr>
        <w:pStyle w:val="ListBullet"/>
      </w:pPr>
      <w:r>
        <w:t>Balance Scorecard minuto a minuto · semaforización y mapas de calor · vistas por rol y drill-down</w:t>
      </w:r>
    </w:p>
    <w:p>
      <w:pPr>
        <w:pStyle w:val="ListBullet"/>
      </w:pPr>
      <w:r>
        <w:t>Canales: Web · Pop-ups · Alertas</w:t>
      </w:r>
    </w:p>
    <w:p>
      <w:pPr>
        <w:pStyle w:val="Heading2"/>
      </w:pPr>
      <w:r>
        <w:rPr>
          <w:color w:val="1A568E"/>
        </w:rPr>
        <w:t>Capa de Inteligencia y Reglas</w:t>
      </w:r>
    </w:p>
    <w:p>
      <w:pPr>
        <w:pStyle w:val="ListBullet"/>
      </w:pPr>
      <w:r>
        <w:t>Motor de Semaforización: Umbrales por producto y meta.</w:t>
      </w:r>
    </w:p>
    <w:p>
      <w:pPr>
        <w:pStyle w:val="ListBullet"/>
      </w:pPr>
      <w:r>
        <w:t>Motor de Alertas: Notifica al responsable.</w:t>
      </w:r>
    </w:p>
    <w:p>
      <w:pPr>
        <w:pStyle w:val="ListBullet"/>
      </w:pPr>
      <w:r>
        <w:t>Motor de IA (LLM): Insights, benchmark, coach.</w:t>
      </w:r>
    </w:p>
    <w:p>
      <w:pPr>
        <w:pStyle w:val="Heading2"/>
      </w:pPr>
      <w:r>
        <w:rPr>
          <w:color w:val="1A568E"/>
        </w:rPr>
        <w:t>Capa de Procesamiento y Reglas de Negocio</w:t>
      </w:r>
    </w:p>
    <w:p>
      <w:pPr>
        <w:pStyle w:val="ListBullet"/>
      </w:pPr>
      <w:r>
        <w:t>Homologación de las reglas del Power BI · limpieza y transformación de datos en streaming.</w:t>
      </w:r>
    </w:p>
    <w:p>
      <w:pPr>
        <w:pStyle w:val="ListBullet"/>
      </w:pPr>
      <w:r>
        <w:t>Garantiza que la Torre de Control concilie con los tableros institucionales.</w:t>
      </w:r>
    </w:p>
    <w:p>
      <w:pPr>
        <w:pStyle w:val="ListBullet"/>
      </w:pPr>
      <w:r>
        <w:t>Conexión con Power BI: Tableros institucionales (a día vencido), fuente de las reglas de negocio.</w:t>
      </w:r>
    </w:p>
    <w:p>
      <w:pPr>
        <w:pStyle w:val="Heading2"/>
      </w:pPr>
      <w:r>
        <w:rPr>
          <w:color w:val="1A568E"/>
        </w:rPr>
        <w:t>Capa de Integración en Tiempo Real</w:t>
      </w:r>
    </w:p>
    <w:p>
      <w:pPr>
        <w:pStyle w:val="ListBullet"/>
      </w:pPr>
      <w:r>
        <w:t>Bus de integración · captura de cambios (CDC) · gobernanza y visibilidad punto a punto.</w:t>
      </w:r>
    </w:p>
    <w:p>
      <w:pPr>
        <w:pStyle w:val="ListBullet"/>
      </w:pPr>
      <w:r>
        <w:t>Latencia objetivo ~ 2-3 s · lee sin afectar el desempeño del transaccional.</w:t>
      </w:r>
    </w:p>
    <w:p>
      <w:pPr>
        <w:pStyle w:val="Heading2"/>
      </w:pPr>
      <w:r>
        <w:rPr>
          <w:color w:val="1A568E"/>
        </w:rPr>
        <w:t>Capa de Fuentes</w:t>
      </w:r>
    </w:p>
    <w:p>
      <w:pPr>
        <w:pStyle w:val="ListBullet"/>
      </w:pPr>
      <w:r>
        <w:t>Phantom X — Transaccional: Oracle → PostgreSQL (migración).</w:t>
      </w:r>
    </w:p>
    <w:p>
      <w:pPr>
        <w:pStyle w:val="ListBullet"/>
      </w:pPr>
      <w:r>
        <w:t>Digiturno / Kioscos: Turnero y autogestión.</w:t>
      </w:r>
    </w:p>
    <w:p>
      <w:pPr>
        <w:pStyle w:val="ListBullet"/>
      </w:pPr>
      <w:r>
        <w:t>Otras fuentes operativas: IPN, ventas, agenda.</w:t>
      </w:r>
    </w:p>
    <w:p>
      <w:r>
        <w:rPr>
          <w:b/>
        </w:rPr>
        <w:t xml:space="preserve">Flujo en tiempo real: </w:t>
      </w:r>
      <w:r>
        <w:rPr>
          <w:i/>
        </w:rPr>
        <w:t>las fuentes transaccionales alimentan la Torre de Control sin pasar por el Data Warehouse; las reglas de negocio del Power BI se replican para que los indicadores en caliente concilien con los tableros institucionales. El despliegue puede ser en nube privada u on-premise.</w:t>
      </w:r>
    </w:p>
    <w:p>
      <w:pPr>
        <w:pStyle w:val="Heading1"/>
      </w:pPr>
      <w:r>
        <w:rPr>
          <w:color w:val="1A568E"/>
        </w:rPr>
        <w:t>6. Entregables</w:t>
      </w:r>
    </w:p>
    <w:p>
      <w:pPr>
        <w:pStyle w:val="ListBullet"/>
      </w:pPr>
      <w:r>
        <w:t>Documento de levantamiento técnico y mapeo de reglas de negocio a homologar.</w:t>
      </w:r>
    </w:p>
    <w:p>
      <w:pPr>
        <w:pStyle w:val="ListBullet"/>
      </w:pPr>
      <w:r>
        <w:t>Bus de integración y mecanismo de captura en tiempo real desde el transaccional.</w:t>
      </w:r>
    </w:p>
    <w:p>
      <w:pPr>
        <w:pStyle w:val="ListBullet"/>
      </w:pPr>
      <w:r>
        <w:t>Capa de procesamiento con las reglas de negocio homologadas con el Power BI.</w:t>
      </w:r>
    </w:p>
    <w:p>
      <w:pPr>
        <w:pStyle w:val="ListBullet"/>
      </w:pPr>
      <w:r>
        <w:t>Motor de semaforización con umbrales configurables y motor de alertas.</w:t>
      </w:r>
    </w:p>
    <w:p>
      <w:pPr>
        <w:pStyle w:val="ListBullet"/>
      </w:pPr>
      <w:r>
        <w:t>Portal Torre de Control con vistas por rol y reportería consolidada.</w:t>
      </w:r>
    </w:p>
    <w:p>
      <w:pPr>
        <w:pStyle w:val="ListBullet"/>
      </w:pPr>
      <w:r>
        <w:t>Motor de IA: recomendaciones, benchmark, insights de fin de turno y coach conversacional (Fase 2).</w:t>
      </w:r>
    </w:p>
    <w:p>
      <w:pPr>
        <w:pStyle w:val="Heading1"/>
      </w:pPr>
      <w:r>
        <w:rPr>
          <w:color w:val="1A568E"/>
        </w:rPr>
        <w:t>7. Demo de Torre de Control — Gerencia Nacional</w:t>
      </w:r>
    </w:p>
    <w:p>
      <w:r>
        <w:t>VERIS · Torre de Control — Gerenciamiento Diario de Centrales - Indicadores en tiempo real</w:t>
      </w:r>
    </w:p>
    <w:p>
      <w:r>
        <w:t>Vista: Gerencia Nacional | EN VIVO | Lunes, 29 de Junio</w:t>
      </w:r>
    </w:p>
    <w:p>
      <w:pPr>
        <w:pStyle w:val="Heading2"/>
      </w:pPr>
      <w:r>
        <w:rPr>
          <w:color w:val="1A568E"/>
        </w:rPr>
        <w:t>Estado de la red</w:t>
      </w:r>
    </w:p>
    <w:p>
      <w:r>
        <w:t>4 en meta · 8 en alerta · 0 críticas</w:t>
      </w:r>
    </w:p>
    <w:p>
      <w:pPr>
        <w:pStyle w:val="Heading2"/>
      </w:pPr>
      <w:r>
        <w:rPr>
          <w:color w:val="1A568E"/>
        </w:rPr>
        <w:t>Mapa de calor (salud operativa /100)</w:t>
      </w:r>
    </w:p>
    <w:tbl>
      <w:tblPr>
        <w:tblStyle w:val="TableGrid"/>
        <w:tblW w:type="auto" w:w="0"/>
        <w:jc w:val="center"/>
        <w:tblLook w:firstColumn="1" w:firstRow="1" w:lastColumn="0" w:lastRow="0" w:noHBand="0" w:noVBand="1" w:val="04A0"/>
      </w:tblPr>
      <w:tblGrid>
        <w:gridCol w:w="4320"/>
        <w:gridCol w:w="4320"/>
      </w:tblGrid>
      <w:tr>
        <w:tc>
          <w:tcPr>
            <w:tcW w:type="dxa" w:w="4320"/>
            <w:shd w:fill="1A568E"/>
          </w:tcPr>
          <w:p>
            <w:r>
              <w:rPr>
                <w:b/>
                <w:color w:val="FFFFFF"/>
                <w:sz w:val="18"/>
              </w:rPr>
              <w:t>Central</w:t>
            </w:r>
          </w:p>
        </w:tc>
        <w:tc>
          <w:tcPr>
            <w:tcW w:type="dxa" w:w="2160"/>
            <w:shd w:fill="1A568E"/>
          </w:tcPr>
          <w:p>
            <w:r>
              <w:rPr>
                <w:b/>
                <w:color w:val="FFFFFF"/>
                <w:sz w:val="18"/>
              </w:rPr>
              <w:t>Puntuación</w:t>
            </w:r>
          </w:p>
        </w:tc>
      </w:tr>
      <w:tr>
        <w:tc>
          <w:tcPr>
            <w:tcW w:type="dxa" w:w="4320"/>
          </w:tcPr>
          <w:p>
            <w:r>
              <w:rPr>
                <w:sz w:val="18"/>
              </w:rPr>
              <w:t>Mall del Sol</w:t>
            </w:r>
          </w:p>
        </w:tc>
        <w:tc>
          <w:tcPr>
            <w:tcW w:type="dxa" w:w="2160"/>
          </w:tcPr>
          <w:p>
            <w:r>
              <w:rPr>
                <w:sz w:val="18"/>
              </w:rPr>
              <w:t>65</w:t>
            </w:r>
          </w:p>
        </w:tc>
      </w:tr>
      <w:tr>
        <w:tc>
          <w:tcPr>
            <w:tcW w:type="dxa" w:w="4320"/>
            <w:shd w:fill="E8F0F8"/>
          </w:tcPr>
          <w:p>
            <w:r>
              <w:rPr>
                <w:sz w:val="18"/>
              </w:rPr>
              <w:t>Alborada</w:t>
            </w:r>
          </w:p>
        </w:tc>
        <w:tc>
          <w:tcPr>
            <w:tcW w:type="dxa" w:w="2160"/>
            <w:shd w:fill="E8F0F8"/>
          </w:tcPr>
          <w:p>
            <w:r>
              <w:rPr>
                <w:sz w:val="18"/>
              </w:rPr>
              <w:t>82</w:t>
            </w:r>
          </w:p>
        </w:tc>
      </w:tr>
      <w:tr>
        <w:tc>
          <w:tcPr>
            <w:tcW w:type="dxa" w:w="4320"/>
          </w:tcPr>
          <w:p>
            <w:r>
              <w:rPr>
                <w:sz w:val="18"/>
              </w:rPr>
              <w:t>Los Ceibos</w:t>
            </w:r>
          </w:p>
        </w:tc>
        <w:tc>
          <w:tcPr>
            <w:tcW w:type="dxa" w:w="2160"/>
          </w:tcPr>
          <w:p>
            <w:r>
              <w:rPr>
                <w:sz w:val="18"/>
              </w:rPr>
              <w:t>66</w:t>
            </w:r>
          </w:p>
        </w:tc>
      </w:tr>
      <w:tr>
        <w:tc>
          <w:tcPr>
            <w:tcW w:type="dxa" w:w="4320"/>
            <w:shd w:fill="E8F0F8"/>
          </w:tcPr>
          <w:p>
            <w:r>
              <w:rPr>
                <w:sz w:val="18"/>
              </w:rPr>
              <w:t>Samborondón</w:t>
            </w:r>
          </w:p>
        </w:tc>
        <w:tc>
          <w:tcPr>
            <w:tcW w:type="dxa" w:w="2160"/>
            <w:shd w:fill="E8F0F8"/>
          </w:tcPr>
          <w:p>
            <w:r>
              <w:rPr>
                <w:sz w:val="18"/>
              </w:rPr>
              <w:t>85</w:t>
            </w:r>
          </w:p>
        </w:tc>
      </w:tr>
      <w:tr>
        <w:tc>
          <w:tcPr>
            <w:tcW w:type="dxa" w:w="4320"/>
          </w:tcPr>
          <w:p>
            <w:r>
              <w:rPr>
                <w:sz w:val="18"/>
              </w:rPr>
              <w:t>El Recreo</w:t>
            </w:r>
          </w:p>
        </w:tc>
        <w:tc>
          <w:tcPr>
            <w:tcW w:type="dxa" w:w="2160"/>
          </w:tcPr>
          <w:p>
            <w:r>
              <w:rPr>
                <w:sz w:val="18"/>
              </w:rPr>
              <w:t>56</w:t>
            </w:r>
          </w:p>
        </w:tc>
      </w:tr>
      <w:tr>
        <w:tc>
          <w:tcPr>
            <w:tcW w:type="dxa" w:w="4320"/>
            <w:shd w:fill="E8F0F8"/>
          </w:tcPr>
          <w:p>
            <w:r>
              <w:rPr>
                <w:sz w:val="18"/>
              </w:rPr>
              <w:t>Granados</w:t>
            </w:r>
          </w:p>
        </w:tc>
        <w:tc>
          <w:tcPr>
            <w:tcW w:type="dxa" w:w="2160"/>
            <w:shd w:fill="E8F0F8"/>
          </w:tcPr>
          <w:p>
            <w:r>
              <w:rPr>
                <w:sz w:val="18"/>
              </w:rPr>
              <w:t>72</w:t>
            </w:r>
          </w:p>
        </w:tc>
      </w:tr>
      <w:tr>
        <w:tc>
          <w:tcPr>
            <w:tcW w:type="dxa" w:w="4320"/>
          </w:tcPr>
          <w:p>
            <w:r>
              <w:rPr>
                <w:sz w:val="18"/>
              </w:rPr>
              <w:t>Norte</w:t>
            </w:r>
          </w:p>
        </w:tc>
        <w:tc>
          <w:tcPr>
            <w:tcW w:type="dxa" w:w="2160"/>
          </w:tcPr>
          <w:p>
            <w:r>
              <w:rPr>
                <w:sz w:val="18"/>
              </w:rPr>
              <w:t>67</w:t>
            </w:r>
          </w:p>
        </w:tc>
      </w:tr>
      <w:tr>
        <w:tc>
          <w:tcPr>
            <w:tcW w:type="dxa" w:w="4320"/>
            <w:shd w:fill="E8F0F8"/>
          </w:tcPr>
          <w:p>
            <w:r>
              <w:rPr>
                <w:sz w:val="18"/>
              </w:rPr>
              <w:t>Cumbayá</w:t>
            </w:r>
          </w:p>
        </w:tc>
        <w:tc>
          <w:tcPr>
            <w:tcW w:type="dxa" w:w="2160"/>
            <w:shd w:fill="E8F0F8"/>
          </w:tcPr>
          <w:p>
            <w:r>
              <w:rPr>
                <w:sz w:val="18"/>
              </w:rPr>
              <w:t>99</w:t>
            </w:r>
          </w:p>
        </w:tc>
      </w:tr>
      <w:tr>
        <w:tc>
          <w:tcPr>
            <w:tcW w:type="dxa" w:w="4320"/>
          </w:tcPr>
          <w:p>
            <w:r>
              <w:rPr>
                <w:sz w:val="18"/>
              </w:rPr>
              <w:t>Cuenca</w:t>
            </w:r>
          </w:p>
        </w:tc>
        <w:tc>
          <w:tcPr>
            <w:tcW w:type="dxa" w:w="2160"/>
          </w:tcPr>
          <w:p>
            <w:r>
              <w:rPr>
                <w:sz w:val="18"/>
              </w:rPr>
              <w:t>63</w:t>
            </w:r>
          </w:p>
        </w:tc>
      </w:tr>
      <w:tr>
        <w:tc>
          <w:tcPr>
            <w:tcW w:type="dxa" w:w="4320"/>
            <w:shd w:fill="E8F0F8"/>
          </w:tcPr>
          <w:p>
            <w:r>
              <w:rPr>
                <w:sz w:val="18"/>
              </w:rPr>
              <w:t>Machala</w:t>
            </w:r>
          </w:p>
        </w:tc>
        <w:tc>
          <w:tcPr>
            <w:tcW w:type="dxa" w:w="2160"/>
            <w:shd w:fill="E8F0F8"/>
          </w:tcPr>
          <w:p>
            <w:r>
              <w:rPr>
                <w:sz w:val="18"/>
              </w:rPr>
              <w:t>68</w:t>
            </w:r>
          </w:p>
        </w:tc>
      </w:tr>
      <w:tr>
        <w:tc>
          <w:tcPr>
            <w:tcW w:type="dxa" w:w="4320"/>
          </w:tcPr>
          <w:p>
            <w:r>
              <w:rPr>
                <w:sz w:val="18"/>
              </w:rPr>
              <w:t>Manta</w:t>
            </w:r>
          </w:p>
        </w:tc>
        <w:tc>
          <w:tcPr>
            <w:tcW w:type="dxa" w:w="2160"/>
          </w:tcPr>
          <w:p>
            <w:r>
              <w:rPr>
                <w:sz w:val="18"/>
              </w:rPr>
              <w:t>88</w:t>
            </w:r>
          </w:p>
        </w:tc>
      </w:tr>
      <w:tr>
        <w:tc>
          <w:tcPr>
            <w:tcW w:type="dxa" w:w="4320"/>
            <w:shd w:fill="E8F0F8"/>
          </w:tcPr>
          <w:p>
            <w:r>
              <w:rPr>
                <w:sz w:val="18"/>
              </w:rPr>
              <w:t>Portoviejo</w:t>
            </w:r>
          </w:p>
        </w:tc>
        <w:tc>
          <w:tcPr>
            <w:tcW w:type="dxa" w:w="2160"/>
            <w:shd w:fill="E8F0F8"/>
          </w:tcPr>
          <w:p>
            <w:r>
              <w:rPr>
                <w:sz w:val="18"/>
              </w:rPr>
              <w:t>61</w:t>
            </w:r>
          </w:p>
        </w:tc>
      </w:tr>
    </w:tbl>
    <w:p/>
    <w:p>
      <w:pPr>
        <w:pStyle w:val="Heading2"/>
      </w:pPr>
      <w:r>
        <w:rPr>
          <w:color w:val="1A568E"/>
        </w:rPr>
        <w:t>Indicadores consolidados</w:t>
      </w:r>
    </w:p>
    <w:p>
      <w:pPr>
        <w:pStyle w:val="Heading3"/>
      </w:pPr>
      <w:r>
        <w:rPr>
          <w:color w:val="1A568E"/>
        </w:rPr>
        <w:t>Pilar 1: Control de gestión administrativa</w:t>
      </w:r>
    </w:p>
    <w:p>
      <w:pPr>
        <w:pStyle w:val="ListBullet"/>
      </w:pPr>
      <w:r>
        <w:t>Puntualidad de citas: 6,7 min atraso (meta &lt; 5 min)</w:t>
      </w:r>
    </w:p>
    <w:p>
      <w:pPr>
        <w:pStyle w:val="ListBullet"/>
      </w:pPr>
      <w:r>
        <w:t>Duración de cita médica: 16,7 min (meta 15-20 min)</w:t>
      </w:r>
    </w:p>
    <w:p>
      <w:pPr>
        <w:pStyle w:val="ListBullet"/>
      </w:pPr>
      <w:r>
        <w:t>Llenado de agenda: 79% (meta ≥ 80%)</w:t>
      </w:r>
    </w:p>
    <w:p>
      <w:pPr>
        <w:pStyle w:val="ListBullet"/>
      </w:pPr>
      <w:r>
        <w:t>Ausentismo de clientes: 8,4% (meta 5-7%)</w:t>
      </w:r>
    </w:p>
    <w:p>
      <w:pPr>
        <w:pStyle w:val="ListBullet"/>
      </w:pPr>
      <w:r>
        <w:t>Productividad de kioscos: 59% (meta ≥ 70%)</w:t>
      </w:r>
    </w:p>
    <w:p>
      <w:pPr>
        <w:pStyle w:val="ListBullet"/>
      </w:pPr>
      <w:r>
        <w:t>Tiempo de espera en caja: 6,2 min (meta &lt; 6 min)</w:t>
      </w:r>
    </w:p>
    <w:p>
      <w:pPr>
        <w:pStyle w:val="ListBullet"/>
      </w:pPr>
      <w:r>
        <w:t>Atención en caja: 2,47 min/trx (meta ≤ 2,90)</w:t>
      </w:r>
    </w:p>
    <w:p>
      <w:pPr>
        <w:pStyle w:val="Heading3"/>
      </w:pPr>
      <w:r>
        <w:rPr>
          <w:color w:val="1A568E"/>
        </w:rPr>
        <w:t>Pilar 2: Control de gestión del ingreso</w:t>
      </w:r>
    </w:p>
    <w:p>
      <w:pPr>
        <w:pStyle w:val="ListBullet"/>
      </w:pPr>
      <w:r>
        <w:t>Adherencia - Laboratorios: 75% (meta 71%)</w:t>
      </w:r>
    </w:p>
    <w:p>
      <w:pPr>
        <w:pStyle w:val="ListBullet"/>
      </w:pPr>
      <w:r>
        <w:t>Adherencia - Imágenes: 68% (meta 74%)</w:t>
      </w:r>
    </w:p>
    <w:p>
      <w:pPr>
        <w:pStyle w:val="ListBullet"/>
      </w:pPr>
      <w:r>
        <w:t>Adherencia - Procedimientos: 60% (meta 63%)</w:t>
      </w:r>
    </w:p>
    <w:p>
      <w:pPr>
        <w:pStyle w:val="ListBullet"/>
      </w:pPr>
      <w:r>
        <w:t>Adherencia - Terapias: 53% (meta 58%)</w:t>
      </w:r>
    </w:p>
    <w:p>
      <w:pPr>
        <w:pStyle w:val="ListBullet"/>
      </w:pPr>
      <w:r>
        <w:t>Adherencia - Farmacia: 69% (meta 65%)</w:t>
      </w:r>
    </w:p>
    <w:p>
      <w:pPr>
        <w:pStyle w:val="ListBullet"/>
      </w:pPr>
      <w:r>
        <w:t>Cierre de empaquetados: 76% (meta ≥ 90%)</w:t>
      </w:r>
    </w:p>
    <w:p>
      <w:pPr>
        <w:pStyle w:val="Heading2"/>
      </w:pPr>
      <w:r>
        <w:rPr>
          <w:color w:val="1A568E"/>
        </w:rPr>
        <w:t>Coach IA (ejemplos)</w:t>
      </w:r>
    </w:p>
    <w:p>
      <w:pPr>
        <w:pStyle w:val="ListBullet"/>
      </w:pPr>
      <w:r>
        <w:t>ALERTA: Adherencia - Terapias - Samborondón cruzó umbral crítico (52%).</w:t>
      </w:r>
    </w:p>
    <w:p>
      <w:pPr>
        <w:pStyle w:val="ListBullet"/>
      </w:pPr>
      <w:r>
        <w:t>RECOMENDACIÓN: Dr. L. Cedeño - El Recreo: duración de cita 11,8 min vs. referentes 18-20 min.</w:t>
      </w:r>
    </w:p>
    <w:p>
      <w:pPr>
        <w:pStyle w:val="ListBullet"/>
      </w:pPr>
      <w:r>
        <w:t>ALERTA: Caja 3 - Mall del Sol: cola 8,4 min (umbral 6).</w:t>
      </w:r>
    </w:p>
    <w:p>
      <w:pPr>
        <w:pStyle w:val="ListBullet"/>
      </w:pPr>
      <w:r>
        <w:t>INSIGHT: Cajero L. Ponce: adherencia 64% vs meta 68%. Monto no captado: $312.</w:t>
      </w:r>
    </w:p>
    <w:p>
      <w:pPr>
        <w:pStyle w:val="Heading1"/>
      </w:pPr>
      <w:r>
        <w:rPr>
          <w:color w:val="1A568E"/>
        </w:rPr>
        <w:t>8. Demo de Torre de Control — Jefe de central</w:t>
      </w:r>
    </w:p>
    <w:p>
      <w:r>
        <w:t>Central: Veris Mall del Sol (Guayaquil - salud operativa 83/100)</w:t>
      </w:r>
    </w:p>
    <w:p>
      <w:pPr>
        <w:pStyle w:val="Heading2"/>
      </w:pPr>
      <w:r>
        <w:rPr>
          <w:color w:val="1A568E"/>
        </w:rPr>
        <w:t>Equipo en piso</w:t>
      </w:r>
    </w:p>
    <w:p>
      <w:pPr>
        <w:pStyle w:val="ListBullet"/>
      </w:pPr>
      <w:r>
        <w:t>Dr. F. Mora: 12 min duración cita</w:t>
      </w:r>
    </w:p>
    <w:p>
      <w:pPr>
        <w:pStyle w:val="ListBullet"/>
      </w:pPr>
      <w:r>
        <w:t>Dra. P. Andrade: 16 min duración cita</w:t>
      </w:r>
    </w:p>
    <w:p>
      <w:pPr>
        <w:pStyle w:val="ListBullet"/>
      </w:pPr>
      <w:r>
        <w:t>K. Bravo: 77% adherencia</w:t>
      </w:r>
    </w:p>
    <w:p>
      <w:pPr>
        <w:pStyle w:val="ListBullet"/>
      </w:pPr>
      <w:r>
        <w:t>D. Suárez: 62% adherencia</w:t>
      </w:r>
    </w:p>
    <w:p>
      <w:pPr>
        <w:pStyle w:val="Heading2"/>
      </w:pPr>
      <w:r>
        <w:rPr>
          <w:color w:val="1A568E"/>
        </w:rPr>
        <w:t>Indicadores del día</w:t>
      </w:r>
    </w:p>
    <w:p>
      <w:r>
        <w:t>Pilar 1: Puntualidad 10,3 min · Duración 16,7 min · Llenado 66% · Ausentismo 9,7% · Kioscos 66% · Espera caja 3,8 min · Atención caja 2,40 min/trx</w:t>
      </w:r>
    </w:p>
    <w:p>
      <w:r>
        <w:t>Pilar 2: Lab 83% · Imágenes 82% · Procedimientos 58% · Terapias 52% · Farmacia 70% · Empaquetados 68%</w:t>
      </w:r>
    </w:p>
    <w:p>
      <w:pPr>
        <w:pStyle w:val="Heading1"/>
      </w:pPr>
      <w:r>
        <w:rPr>
          <w:color w:val="1A568E"/>
        </w:rPr>
        <w:t>9. Demo de Torre de Colaborador (Médico/Cajero)</w:t>
      </w:r>
    </w:p>
    <w:p>
      <w:r>
        <w:t>Usuario: L. Ponce — Ejecutivo de caja - Veris Mall del Sol - Caja 3</w:t>
      </w:r>
    </w:p>
    <w:p>
      <w:r>
        <w:rPr>
          <w:b/>
        </w:rPr>
        <w:t xml:space="preserve">Alerta: </w:t>
      </w:r>
      <w:r>
        <w:t>Cola en aumento. Espera estimada 8,4 min - umbral 6 min. Sugerencia IA: prioriza pagos en kiosco para 2 personas en fila.</w:t>
      </w:r>
    </w:p>
    <w:p>
      <w:pPr>
        <w:pStyle w:val="Heading2"/>
      </w:pPr>
      <w:r>
        <w:rPr>
          <w:color w:val="1A568E"/>
        </w:rPr>
        <w:t>Tiempo de atención por franja (min/trx)</w:t>
      </w:r>
    </w:p>
    <w:p>
      <w:r>
        <w:t>08h 3,0 · 09h 3,1 · 10h 3,4 · 11h 3,8 · 12h 5,2 · 13h 4,6 · 14h 3,3 · 15h 3,0 · 16h 3,2 · 17h 2,9</w:t>
      </w:r>
    </w:p>
    <w:p>
      <w:r>
        <w:rPr>
          <w:i/>
        </w:rPr>
        <w:t>Referente IPN≥90 = 2,98 min</w:t>
      </w:r>
    </w:p>
    <w:p>
      <w:pPr>
        <w:pStyle w:val="Heading2"/>
      </w:pPr>
      <w:r>
        <w:rPr>
          <w:color w:val="1A568E"/>
        </w:rPr>
        <w:t>Adherencia de primer impulso</w:t>
      </w:r>
    </w:p>
    <w:p>
      <w:pPr>
        <w:pStyle w:val="ListBullet"/>
      </w:pPr>
      <w:r>
        <w:t>Laboratorios: 64% / meta 71%</w:t>
      </w:r>
    </w:p>
    <w:p>
      <w:pPr>
        <w:pStyle w:val="ListBullet"/>
      </w:pPr>
      <w:r>
        <w:t>Imágenes: 72% / meta 74%</w:t>
      </w:r>
    </w:p>
    <w:p>
      <w:pPr>
        <w:pStyle w:val="ListBullet"/>
      </w:pPr>
      <w:r>
        <w:t>Procedimientos: 66% / meta 43%</w:t>
      </w:r>
    </w:p>
    <w:p>
      <w:pPr>
        <w:pStyle w:val="ListBullet"/>
      </w:pPr>
      <w:r>
        <w:t>Farmacia: 70% / meta 65%</w:t>
      </w:r>
    </w:p>
    <w:p>
      <w:pPr>
        <w:pStyle w:val="ListBullet"/>
      </w:pPr>
      <w:r>
        <w:t>Empaquetados: 58% / meta 90%</w:t>
      </w:r>
    </w:p>
    <w:p>
      <w:pPr>
        <w:pStyle w:val="Heading2"/>
      </w:pPr>
      <w:r>
        <w:rPr>
          <w:color w:val="1A568E"/>
        </w:rPr>
        <w:t>Insight de fin de turno</w:t>
      </w:r>
    </w:p>
    <w:p>
      <w:r>
        <w:t>Monto aportado: $1.480</w:t>
      </w:r>
    </w:p>
    <w:p>
      <w:r>
        <w:t>Monto no captado: $312 (7 órdenes de laboratorio no facturadas en caliente).</w:t>
      </w:r>
    </w:p>
    <w:p>
      <w:pPr>
        <w:pStyle w:val="Heading2"/>
      </w:pPr>
      <w:r>
        <w:rPr>
          <w:color w:val="1A568E"/>
        </w:rPr>
        <w:t>Coach IA (conversación)</w:t>
      </w:r>
    </w:p>
    <w:p>
      <w:r>
        <w:t>Usuario: "Dame un plan para subir 4% mi cierre de empaquetados esta semana."</w:t>
      </w:r>
    </w:p>
    <w:p>
      <w:r>
        <w:t>IA: Tu cierre va en 58% (meta 90%). En tu franja 12:00–13:00 pierdes cierres por cola. Plan: 1) Ofrece el empaquetado Chequeo Preventivo a pacientes asegurados — hoy representan el 41% de tu fila. 2) Cajeros como tú con IPN≥90 cierran en 2,98 min; baja tu atención de 5,2 a ~3,5 en hora pico. 3) Deriva 2 pagos simples a kiosco para liberar la cola.</w:t>
      </w:r>
    </w:p>
    <w:p>
      <w:r>
        <w:t>Usuario: "¿Qué producto tiene más oportunidad hoy?"</w:t>
      </w:r>
    </w:p>
    <w:p>
      <w:r>
        <w:t>IA: Por estacionalidad y tu histórico: laboratorio. Es donde más dejas escapar ($312 hoy) y donde la conversión en caliente es más alta.</w:t>
      </w:r>
    </w:p>
    <w:p/>
    <w:p>
      <w:pPr>
        <w:jc w:val="center"/>
      </w:pPr>
      <w:r>
        <w:rPr>
          <w:i/>
        </w:rPr>
        <w:t>Maqueta de propuesta — Viamática — VRS-2026-COM-000113</w:t>
      </w:r>
    </w:p>
    <w:p>
      <w:pPr>
        <w:jc w:val="center"/>
      </w:pPr>
      <w:r>
        <w:rPr>
          <w:sz w:val="18"/>
        </w:rPr>
        <w:t>Verde = En meta | Amarillo = En alerta | Rojo = Crítico — requiere acción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