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Посчитайте зависимость категориального признака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от числового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по внутриклассовому и межклассовому расстоянию: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Внутриклассовое расстояние = ∑|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-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∙ [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=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Межклассовое расстояние = ∑|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-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∙ [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≠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</w:t>
      </w:r>
      <w:r w:rsidDel="00000000" w:rsidR="00000000" w:rsidRPr="00000000">
        <w:rPr>
          <w:rtl w:val="0"/>
        </w:rPr>
        <w:t xml:space="preserve">одно ц</w:t>
      </w:r>
      <w:r w:rsidDel="00000000" w:rsidR="00000000" w:rsidRPr="00000000">
        <w:rPr>
          <w:sz w:val="24"/>
          <w:szCs w:val="24"/>
          <w:rtl w:val="0"/>
        </w:rPr>
        <w:t xml:space="preserve">елое положительное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  <w:t xml:space="preserve"> максимальное число различных значений </w:t>
      </w:r>
      <w:r w:rsidDel="00000000" w:rsidR="00000000" w:rsidRPr="00000000">
        <w:rPr>
          <w:b w:val="1"/>
          <w:i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второго признака.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Следующая строка содержит одно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D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(|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≤ 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 ≤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— значения первого и второго признака описываемого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первой строке выведите одно целое число — внутриклассовое расстояние.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 второй строке выведите одно целое число — межклассовое расстояние.</w:t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