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5ops4s07hh" w:id="0"/>
      <w:bookmarkEnd w:id="0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score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256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 эксперимента по классификации на K классов была получена матрица неточностей (Confusion matrix) CM, где CM[</w:t>
      </w:r>
      <w:r w:rsidDel="00000000" w:rsidR="00000000" w:rsidRPr="00000000">
        <w:rPr>
          <w:i w:val="1"/>
          <w:rtl w:val="0"/>
        </w:rPr>
        <w:t xml:space="preserve">c,t</w:t>
      </w:r>
      <w:r w:rsidDel="00000000" w:rsidR="00000000" w:rsidRPr="00000000">
        <w:rPr>
          <w:rtl w:val="0"/>
        </w:rPr>
        <w:t xml:space="preserve">] — число объектов класса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которые были классифицированы как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Посчитайте по данной матрице неточностей усреднённую по классам макро и микро F-меру.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Первая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число классов (1 ≤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20). Далее идёт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строк — описание матрицы неточностей. Каждая строка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содержит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целых чисел —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-тая строка матрицы неточностей. ∀</w:t>
      </w:r>
      <w:r w:rsidDel="00000000" w:rsidR="00000000" w:rsidRPr="00000000">
        <w:rPr>
          <w:i w:val="1"/>
          <w:rtl w:val="0"/>
        </w:rPr>
        <w:t xml:space="preserve">c,t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CM[</w:t>
      </w:r>
      <w:r w:rsidDel="00000000" w:rsidR="00000000" w:rsidRPr="00000000">
        <w:rPr>
          <w:i w:val="1"/>
          <w:rtl w:val="0"/>
        </w:rPr>
        <w:t xml:space="preserve">c,t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≤ 100) и ∃</w:t>
      </w:r>
      <w:r w:rsidDel="00000000" w:rsidR="00000000" w:rsidRPr="00000000">
        <w:rPr>
          <w:i w:val="1"/>
          <w:rtl w:val="0"/>
        </w:rPr>
        <w:t xml:space="preserve">c,t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(CM[</w:t>
      </w:r>
      <w:r w:rsidDel="00000000" w:rsidR="00000000" w:rsidRPr="00000000">
        <w:rPr>
          <w:i w:val="1"/>
          <w:rtl w:val="0"/>
        </w:rPr>
        <w:t xml:space="preserve">c,t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≥ 1)</w:t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Выведите два вещественных числа с плавающей точкой — взвешенно усреднённую по классам макро и микро F-меру. Абсолютная погрешность ответа не должна превышать 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lhrzllvwy0pj" w:id="4"/>
      <w:bookmarkEnd w:id="4"/>
      <w:r w:rsidDel="00000000" w:rsidR="00000000" w:rsidRPr="00000000">
        <w:rPr>
          <w:rtl w:val="0"/>
        </w:rPr>
        <w:t xml:space="preserve">Примеры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0.6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0.6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3 1 1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3 1 1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0.3268608414239482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0.31666666666666665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jc w:val="both"/>
        <w:rPr/>
      </w:pPr>
      <w:bookmarkStart w:colFirst="0" w:colLast="0" w:name="_vtpi2m1l4ket" w:id="5"/>
      <w:bookmarkEnd w:id="5"/>
      <w:r w:rsidDel="00000000" w:rsidR="00000000" w:rsidRPr="00000000">
        <w:rPr>
          <w:rtl w:val="0"/>
        </w:rPr>
        <w:t xml:space="preserve">Пояснение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В первом примере классы распределены как 1:4. Точность (precision), полнота (recall) и F-мера первого класса равны 0, а второго 0.75. При этом средняя точность, полнота и F-мера равны 0.6.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