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nghflyuzzkh" w:id="0"/>
      <w:bookmarkEnd w:id="0"/>
      <w:r w:rsidDel="00000000" w:rsidR="00000000" w:rsidRPr="00000000">
        <w:rPr>
          <w:rtl w:val="0"/>
        </w:rPr>
        <w:t xml:space="preserve">Linear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времени на тест: 4 секунды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ограничение по памяти на тест: 512 мегабайт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ввод: стандартный ввод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вывод: стандартный 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both"/>
        <w:rPr/>
      </w:pPr>
      <w:bookmarkStart w:colFirst="0" w:colLast="0" w:name="_g77l47q24i7d" w:id="1"/>
      <w:bookmarkEnd w:id="1"/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tl w:val="0"/>
        </w:rPr>
        <w:t xml:space="preserve">айдите уравнения прямой аппроксимирующей положение объектов из заданного набора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both"/>
        <w:rPr/>
      </w:pPr>
      <w:bookmarkStart w:colFirst="0" w:colLast="0" w:name="_gnr31ibr8lx" w:id="2"/>
      <w:bookmarkEnd w:id="2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Первая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(1 ≤ 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1000) — число признаков у объектов исключая зависимую переменную.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Вторая строка содержит целое число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 (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≤ 10000) — число объектов в обучающем множестве.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Следующие </w:t>
      </w:r>
      <w:r w:rsidDel="00000000" w:rsidR="00000000" w:rsidRPr="00000000">
        <w:rPr>
          <w:b w:val="1"/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строк содержат описание объектов.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-тая из этих строк содержит описание </w:t>
      </w:r>
      <w:r w:rsidDel="00000000" w:rsidR="00000000" w:rsidRPr="00000000">
        <w:rPr>
          <w:b w:val="1"/>
          <w:i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-того объекта,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целых чисел: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tl w:val="0"/>
        </w:rPr>
        <w:t xml:space="preserve"> (|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i,j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 признаки объекта и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 (|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| ≤ 10</w:t>
      </w:r>
      <w:r w:rsidDel="00000000" w:rsidR="00000000" w:rsidRPr="00000000">
        <w:rPr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  <w:t xml:space="preserve">) — значение его зависимой переменной.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jc w:val="both"/>
        <w:rPr/>
      </w:pPr>
      <w:bookmarkStart w:colFirst="0" w:colLast="0" w:name="_czyhgnt79rfu" w:id="3"/>
      <w:bookmarkEnd w:id="3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Выведите </w:t>
      </w:r>
      <w:r w:rsidDel="00000000" w:rsidR="00000000" w:rsidRPr="00000000">
        <w:rPr>
          <w:b w:val="1"/>
          <w:i w:val="1"/>
          <w:rtl w:val="0"/>
        </w:rPr>
        <w:t xml:space="preserve">M</w:t>
      </w:r>
      <w:r w:rsidDel="00000000" w:rsidR="00000000" w:rsidRPr="00000000">
        <w:rPr>
          <w:rtl w:val="0"/>
        </w:rPr>
        <w:t xml:space="preserve"> + 1 вещественных чисел с плавающей точкой </w:t>
      </w:r>
      <w:r w:rsidDel="00000000" w:rsidR="00000000" w:rsidRPr="00000000">
        <w:rPr>
          <w:b w:val="1"/>
          <w:i w:val="1"/>
          <w:rtl w:val="0"/>
        </w:rPr>
        <w:t xml:space="preserve">A</w:t>
      </w:r>
      <w:r w:rsidDel="00000000" w:rsidR="00000000" w:rsidRPr="00000000">
        <w:rPr>
          <w:b w:val="1"/>
          <w:i w:val="1"/>
          <w:vertAlign w:val="subscript"/>
          <w:rtl w:val="0"/>
        </w:rPr>
        <w:t xml:space="preserve">j </w:t>
      </w:r>
      <w:r w:rsidDel="00000000" w:rsidR="00000000" w:rsidRPr="00000000">
        <w:rPr>
          <w:rtl w:val="0"/>
        </w:rPr>
        <w:t xml:space="preserve">— коэффициенты прямой из уравнения </w:t>
      </w:r>
      <w:r w:rsidDel="00000000" w:rsidR="00000000" w:rsidRPr="00000000">
        <w:rPr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∙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∙ x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+ … + </w:t>
      </w:r>
      <w:r w:rsidDel="00000000" w:rsidR="00000000" w:rsidRPr="00000000">
        <w:rPr>
          <w:i w:val="1"/>
          <w:rtl w:val="0"/>
        </w:rPr>
        <w:t xml:space="preserve">a</w:t>
      </w:r>
      <w:r w:rsidDel="00000000" w:rsidR="00000000" w:rsidRPr="00000000">
        <w:rPr>
          <w:i w:val="1"/>
          <w:vertAlign w:val="subscript"/>
          <w:rtl w:val="0"/>
        </w:rPr>
        <w:t xml:space="preserve">M-1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∙ </w:t>
      </w:r>
      <w:r w:rsidDel="00000000" w:rsidR="00000000" w:rsidRPr="00000000">
        <w:rPr>
          <w:i w:val="1"/>
          <w:rtl w:val="0"/>
        </w:rPr>
        <w:t xml:space="preserve">x</w:t>
      </w:r>
      <w:r w:rsidDel="00000000" w:rsidR="00000000" w:rsidRPr="00000000">
        <w:rPr>
          <w:i w:val="1"/>
          <w:vertAlign w:val="subscript"/>
          <w:rtl w:val="0"/>
        </w:rPr>
        <w:t xml:space="preserve">M-1</w:t>
      </w:r>
      <w:r w:rsidDel="00000000" w:rsidR="00000000" w:rsidRPr="00000000">
        <w:rPr>
          <w:rtl w:val="0"/>
        </w:rPr>
        <w:t xml:space="preserve"> + a</w:t>
      </w:r>
      <w:r w:rsidDel="00000000" w:rsidR="00000000" w:rsidRPr="00000000">
        <w:rPr>
          <w:vertAlign w:val="subscript"/>
          <w:rtl w:val="0"/>
        </w:rPr>
        <w:t xml:space="preserve">M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tlhdoasxp4ru" w:id="4"/>
      <w:bookmarkEnd w:id="4"/>
      <w:r w:rsidDel="00000000" w:rsidR="00000000" w:rsidRPr="00000000">
        <w:rPr>
          <w:rtl w:val="0"/>
        </w:rPr>
        <w:t xml:space="preserve">Система оценки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Решение будет проверено на секретном наборе данных. На основании предсказанных значений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t</w:t>
      </w:r>
      <w:r w:rsidDel="00000000" w:rsidR="00000000" w:rsidRPr="00000000">
        <w:rPr>
          <w:i w:val="1"/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 и реальных 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ычисляется ошибка предсказания — нормированная сумма квадратов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= ∑(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t</w:t>
      </w:r>
      <w:r w:rsidDel="00000000" w:rsidR="00000000" w:rsidRPr="00000000">
        <w:rPr>
          <w:i w:val="1"/>
          <w:vertAlign w:val="superscript"/>
          <w:rtl w:val="0"/>
        </w:rPr>
        <w:t xml:space="preserve">’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  <w:t xml:space="preserve">- 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i w:val="1"/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 / D(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), где D(</w:t>
      </w:r>
      <w:r w:rsidDel="00000000" w:rsidR="00000000" w:rsidRPr="00000000">
        <w:rPr>
          <w:b w:val="1"/>
          <w:i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 — это дисперсия</w:t>
      </w:r>
      <w:r w:rsidDel="00000000" w:rsidR="00000000" w:rsidRPr="00000000">
        <w:rPr>
          <w:rtl w:val="0"/>
        </w:rPr>
        <w:t xml:space="preserve"> зависимой величины. Решение засчитывается если полученная ошибка </w:t>
      </w:r>
      <w:r w:rsidDel="00000000" w:rsidR="00000000" w:rsidRPr="00000000">
        <w:rPr>
          <w:b w:val="1"/>
          <w:i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отличается от ошибки полученной базовым решением не более чем на 0.01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jc w:val="both"/>
        <w:rPr/>
      </w:pPr>
      <w:bookmarkStart w:colFirst="0" w:colLast="0" w:name="_lhrzllvwy0pj" w:id="5"/>
      <w:bookmarkEnd w:id="5"/>
      <w:r w:rsidDel="00000000" w:rsidR="00000000" w:rsidRPr="00000000">
        <w:rPr>
          <w:rtl w:val="0"/>
        </w:rPr>
        <w:t xml:space="preserve">Пример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Входные данные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Выходные данные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