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4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Дан набор данных для бинарной классификации. Требуется построить разделяющие правило опирающиеся на объекты из заданного набора.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 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 — число признаков у объектов исключая класс.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Вторая </w:t>
      </w:r>
      <w:r w:rsidDel="00000000" w:rsidR="00000000" w:rsidRPr="00000000">
        <w:rPr>
          <w:sz w:val="24"/>
          <w:szCs w:val="24"/>
          <w:rtl w:val="0"/>
        </w:rPr>
        <w:t xml:space="preserve">строка содержит целое число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 (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 ≤ 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00) — число объектов в обучающем множестве.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строк содержат описание объектов.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-тая из этих строк содержит описание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-того объекта: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целых чисел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(|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|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— признаки объекта</w:t>
      </w:r>
      <w:r w:rsidDel="00000000" w:rsidR="00000000" w:rsidRPr="00000000">
        <w:rPr>
          <w:sz w:val="24"/>
          <w:szCs w:val="24"/>
          <w:rtl w:val="0"/>
        </w:rPr>
        <w:t xml:space="preserve"> и его класс (</w:t>
      </w:r>
      <w:r w:rsidDel="00000000" w:rsidR="00000000" w:rsidRPr="00000000">
        <w:rPr>
          <w:rtl w:val="0"/>
        </w:rPr>
        <w:t xml:space="preserve">‘+’ если объект положительный class(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 = +1 и ‘-’ если он отрицательный class(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 = -1)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Выведите решающие правило формата: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class(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 = sign((∑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 class(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 ∙ 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)) - 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В первой строке выведите симметричную функцию ядра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: ℝ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 × ℝ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→ ℝ, состоящую из не более чем 1000 символов. Данная функция должна удовлетворять грамматике: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pow(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) , где pow(a,b) = a</w:t>
      </w:r>
      <w:r w:rsidDel="00000000" w:rsidR="00000000" w:rsidRPr="00000000">
        <w:rPr>
          <w:vertAlign w:val="superscript"/>
          <w:rtl w:val="0"/>
        </w:rPr>
        <w:t xml:space="preserve">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sub(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) , где sub(a,b) = a - 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sum(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E,</w:t>
      </w:r>
      <w:r w:rsidDel="00000000" w:rsidR="00000000" w:rsidRPr="00000000">
        <w:rPr>
          <w:rtl w:val="0"/>
        </w:rPr>
        <w:t xml:space="preserve">…,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) , где sum(a,b, … z) = a + b + … + z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prod(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E,</w:t>
      </w:r>
      <w:r w:rsidDel="00000000" w:rsidR="00000000" w:rsidRPr="00000000">
        <w:rPr>
          <w:rtl w:val="0"/>
        </w:rPr>
        <w:t xml:space="preserve">…,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) , где prod(a,b, … z) = a × b × … × z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i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1"/>
          <w:rtl w:val="0"/>
        </w:rPr>
        <w:t xml:space="preserve">A1</w:t>
      </w:r>
      <w:r w:rsidDel="00000000" w:rsidR="00000000" w:rsidRPr="00000000">
        <w:rPr>
          <w:rtl w:val="0"/>
        </w:rPr>
        <w:t xml:space="preserve"> | … | </w:t>
      </w:r>
      <w:r w:rsidDel="00000000" w:rsidR="00000000" w:rsidRPr="00000000">
        <w:rPr>
          <w:b w:val="1"/>
          <w:i w:val="1"/>
          <w:rtl w:val="0"/>
        </w:rPr>
        <w:t xml:space="preserve">A9 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значение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-той координаты первого вектора (0 ≤ i &lt; 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координаты нумеруются с нуля).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i w:val="1"/>
          <w:rtl w:val="0"/>
        </w:rPr>
        <w:t xml:space="preserve">B0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 | … | </w:t>
      </w:r>
      <w:r w:rsidDel="00000000" w:rsidR="00000000" w:rsidRPr="00000000">
        <w:rPr>
          <w:b w:val="1"/>
          <w:i w:val="1"/>
          <w:rtl w:val="0"/>
        </w:rPr>
        <w:t xml:space="preserve">B9 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Bi</w:t>
      </w:r>
      <w:r w:rsidDel="00000000" w:rsidR="00000000" w:rsidRPr="00000000">
        <w:rPr>
          <w:rtl w:val="0"/>
        </w:rPr>
        <w:t xml:space="preserve"> значение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-той координаты второго вектора.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число с плавающей </w:t>
      </w:r>
      <w:r w:rsidDel="00000000" w:rsidR="00000000" w:rsidRPr="00000000">
        <w:rPr>
          <w:b w:val="1"/>
          <w:rtl w:val="0"/>
        </w:rPr>
        <w:t xml:space="preserve">точкой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Запрещено использовать пробелы и иные символы.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E,</w:t>
      </w:r>
      <w:r w:rsidDel="00000000" w:rsidR="00000000" w:rsidRPr="00000000">
        <w:rPr>
          <w:rtl w:val="0"/>
        </w:rPr>
        <w:t xml:space="preserve">…,</w:t>
      </w:r>
      <w:r w:rsidDel="00000000" w:rsidR="00000000" w:rsidRPr="00000000">
        <w:rPr>
          <w:b w:val="1"/>
          <w:i w:val="1"/>
          <w:rtl w:val="0"/>
        </w:rPr>
        <w:t xml:space="preserve">E  </w:t>
      </w:r>
      <w:r w:rsidDel="00000000" w:rsidR="00000000" w:rsidRPr="00000000">
        <w:rPr>
          <w:rtl w:val="0"/>
        </w:rPr>
        <w:t xml:space="preserve">— это непустое перечисление через запятую.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следующих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строках выведите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вещественных чисел 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 ≤ 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∑</w:t>
      </w:r>
      <w:r w:rsidDel="00000000" w:rsidR="00000000" w:rsidRPr="00000000">
        <w:rPr>
          <w:i w:val="1"/>
          <w:rtl w:val="0"/>
        </w:rPr>
        <w:t xml:space="preserve">λ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∙class(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=0)</w:t>
      </w:r>
      <w:r w:rsidDel="00000000" w:rsidR="00000000" w:rsidRPr="00000000">
        <w:rPr>
          <w:rtl w:val="0"/>
        </w:rPr>
        <w:t xml:space="preserve"> — веса объектов в порядке их перечисления во входных данных.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последней строке выведете одно вещественное число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коэффицент сдвига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tlhdoasxp4ru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Решение будет проверено на секретном наборе данных. Н</w:t>
      </w:r>
      <w:r w:rsidDel="00000000" w:rsidR="00000000" w:rsidRPr="00000000">
        <w:rPr>
          <w:sz w:val="24"/>
          <w:szCs w:val="24"/>
          <w:rtl w:val="0"/>
        </w:rPr>
        <w:t xml:space="preserve">а основании предсказанных и реальных классов вычисляется усреднённая по классам микро 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мера. Тест считается пройденным, если эта 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мера будет выше определённого порога, рассчитанного с 5% запасом с помощью базового решения.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2 -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3 -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4 -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1 +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3 -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4 -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+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2 +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4 -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1 +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2 +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3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pow(sum(0.0,prod(sub(A0,2.5),sub(B0,2.5),0.73),prod(sub(A1,2.5),sub(B1,2.5),0.3)),1.0)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0.3823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0.3823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0.3823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0.3823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