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7E" w:rsidRPr="00CD1E7E" w:rsidRDefault="00CD1E7E" w:rsidP="00CD1E7E">
      <w:pPr>
        <w:shd w:val="clear" w:color="auto" w:fill="C489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</w:pPr>
      <w:bookmarkStart w:id="0" w:name="1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  <w:t>4.1. Характеристики потоков платежей</w:t>
      </w:r>
      <w:bookmarkEnd w:id="0"/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1" w:name="1_1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4.1.1. Основные понятия</w:t>
      </w:r>
      <w:bookmarkEnd w:id="1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Операции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отдельными денежными суммами лежат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основе более сложных операций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операций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последовательностями таких сумм, распределенных во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времени, 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потоками платежей.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Потоком платежей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называется последовательность денежны</w:t>
      </w:r>
      <w:bookmarkStart w:id="2" w:name="_GoBack"/>
      <w:bookmarkEnd w:id="2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х сумм, приуроченных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определенным моментам времени. Отдельные денежные суммы, являющиеся членами последовательности, называются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членами потока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Потоки возникают, например, при реализации инвестиционного проекта, при погашении задолженности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рассрочку, при получении доходов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акциям или другим ценным бумагам, при выплате пенсий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Потоки платежей классифицируются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регулярные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нерегулярные. Варианты потоков графически представлены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рис.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4.1-4.3.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нерегулярном потоке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временные интервалы между членами потока могут иметь различную продолжительность. Кроме того, члены такого потока могут иметь различные знаки. Положительные члены обычно соответствуют поступлениям денежных сумм, отрицательные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затратам.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регулярном потоке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промежутки времени между соседними выплатами имеют одинаковую длину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члены потока имеют один знак.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Регулярные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потоки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называются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также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финансовыми</w:t>
      </w:r>
      <w:proofErr w:type="spellEnd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рентами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4152900" cy="1133475"/>
            <wp:effectExtent l="0" t="0" r="0" b="9525"/>
            <wp:docPr id="46" name="Picture 46" descr="http://eos.ibi.spb.ru/umk/6_6/5/pict/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os.ibi.spb.ru/umk/6_6/5/pict/4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60" w:line="240" w:lineRule="auto"/>
        <w:ind w:left="45" w:right="45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>Рис</w:t>
      </w:r>
      <w:proofErr w:type="spellEnd"/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 xml:space="preserve">. 4.1. </w:t>
      </w:r>
      <w:proofErr w:type="spellStart"/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>Нерегулярный</w:t>
      </w:r>
      <w:proofErr w:type="spellEnd"/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>поток</w:t>
      </w:r>
      <w:proofErr w:type="spellEnd"/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>платежей</w:t>
      </w:r>
      <w:proofErr w:type="spellEnd"/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4152900" cy="1133475"/>
            <wp:effectExtent l="0" t="0" r="0" b="9525"/>
            <wp:docPr id="45" name="Picture 45" descr="http://eos.ibi.spb.ru/umk/6_6/5/pict/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os.ibi.spb.ru/umk/6_6/5/pict/4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60" w:line="240" w:lineRule="auto"/>
        <w:ind w:left="45" w:right="45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Рис.</w:t>
      </w:r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CD1E7E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4.2. Регулярный поток платежей (случай постоянной финансовой ренты)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152900" cy="1133475"/>
            <wp:effectExtent l="0" t="0" r="0" b="9525"/>
            <wp:docPr id="44" name="Picture 44" descr="http://eos.ibi.spb.ru/umk/6_6/5/pict/4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os.ibi.spb.ru/umk/6_6/5/pict/4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60" w:line="240" w:lineRule="auto"/>
        <w:ind w:left="45" w:right="45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Рис.</w:t>
      </w:r>
      <w:r w:rsidRPr="00CD1E7E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CD1E7E">
        <w:rPr>
          <w:rFonts w:ascii="Verdana" w:eastAsia="Times New Roman" w:hAnsi="Verdana" w:cs="Times New Roman"/>
          <w:color w:val="000000"/>
          <w:sz w:val="18"/>
          <w:szCs w:val="18"/>
          <w:lang w:val="ru-RU"/>
        </w:rPr>
        <w:t>4.3. Регулярный поток платежей (случай переменной финансовой ренты)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Отметим, что члены финансовой ренты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общем случае могут различаться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своей величине. Если они одинаковы,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говорят 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постоянной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финансовой ренте. Если различаются,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переменной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финансовой ренте. Эти различия могут подчиняться какой-нибудь закономерности (например, ренты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постоянным абсолютным или относительным приростом членов) или быть несистематическими.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 основным параметрам, характеризующим ренту, относятся:</w:t>
      </w:r>
    </w:p>
    <w:p w:rsidR="00CD1E7E" w:rsidRPr="00CD1E7E" w:rsidRDefault="00CD1E7E" w:rsidP="00CD1E7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член ренты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размер отдельного платежа;</w:t>
      </w:r>
    </w:p>
    <w:p w:rsidR="00CD1E7E" w:rsidRPr="00CD1E7E" w:rsidRDefault="00CD1E7E" w:rsidP="00CD1E7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период ренты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длина интервала времени между соседними платежами;</w:t>
      </w:r>
    </w:p>
    <w:p w:rsidR="00CD1E7E" w:rsidRPr="00CD1E7E" w:rsidRDefault="00CD1E7E" w:rsidP="00CD1E7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срок ренты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длина промежутка времени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начала первого периода до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конца последнего периода;</w:t>
      </w:r>
    </w:p>
    <w:p w:rsidR="00CD1E7E" w:rsidRPr="00CD1E7E" w:rsidRDefault="00CD1E7E" w:rsidP="00CD1E7E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процентная ставка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та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величина процентной ставки,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основе которой проводится анализ ренты.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 анализе конкретных рент используются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другие характеристики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параметры, например периодичность начисления процентов (при начислении несколько раз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году), вероятность выплаты (если речь идет 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страховых платежах)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др.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Ренты могут иметь заранее оговоренный срок или 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иметь такого срока.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последнем случае говорят 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вечной ренте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Ренты различаются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моменту выплат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пределах периода. Если платежи приурочены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концу периодов,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рента называется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рентой постнумерандо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также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обыкновенной рентой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). Если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же платежи приурочены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началу периодов,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рента называется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рентой пренумерандо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3" w:name="1_2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4.1.2. Обобщающие характеристики потоков платежей</w:t>
      </w:r>
      <w:bookmarkEnd w:id="3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Два финансовых потока могут быть по-разному распределены во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времени, иметь различную продолжительность, различное число членов, различаться величиной членов.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Их сопоставление, анализ, выбор варианта потока проводится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основе обобщающих характеристик, позволяющих свести все разнообразие потоков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небольшому числу базовых показателей.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 основной характеристике потока относится его приведенная стоимость (приведенная оценка). Она позволяет «свернуть» весь распределенный во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времени поток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одно число.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Под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приведенной стоимостью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понимается сумма всех членов потока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начисленными процентами, приведенная (дисконтированная)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какому-то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lastRenderedPageBreak/>
        <w:t>заданному моменту времени. Обычно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качестве такого момента времени выбирают момент начала первого периода потока или момент окончания его последнего периода.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первом случае говорят 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современной стоимости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современной оценке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 потока, во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втором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наращенной стоимости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наращенной сумме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 потока.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Иногда современную оценку потока привязывают 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его началу, 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некоторому более раннему моменту времени. Например, если сегодня анализируются потоки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вариантам инвестиционных проектов, реализация которых должна начаться через некоторое время,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современную оценку привязывают обычно 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началу потоков (у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разных вариантов может быть разный начальный момент), 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сегодняшнему дню.</w:t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4" w:name="1_3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4.1.3. Расчет приведенной стоимости потока</w:t>
      </w:r>
      <w:bookmarkEnd w:id="4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Сформулируем определение приведенной стоимости потока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общем случае.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Пусть поток состоит из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членов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 приуроченных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моментам времени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 Определим стоимость этого потока, приведенную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произвольному моменту времени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Рассмотрим произвольный член потока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. Если соответствующий ему момент времени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наступает раньше момента приведения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proofErr w:type="spellStart"/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 xml:space="preserve">&lt; 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то при пересчете оценки величины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следует увеличить, умножив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коэффициент роста, равный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800100" cy="276225"/>
            <wp:effectExtent l="0" t="0" r="0" b="9525"/>
            <wp:docPr id="43" name="Picture 43" descr="http://eos.ibi.spb.ru/umk/6_6/5/pict/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os.ibi.spb.ru/umk/6_6/5/pict/4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 Этот коэффициент показывает, во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сколько раз изменится величина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сложной процентной ставке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за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время (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—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), отделяющее момент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момента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Другими словами, если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бы денежную сумму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положить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депозитный счет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условиями начисления сложных процентов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ставке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за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время (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—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) величина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выросла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бы до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величины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noProof/>
          <w:color w:val="000000"/>
          <w:sz w:val="15"/>
          <w:szCs w:val="15"/>
        </w:rPr>
        <w:drawing>
          <wp:inline distT="0" distB="0" distL="0" distR="0">
            <wp:extent cx="800100" cy="276225"/>
            <wp:effectExtent l="0" t="0" r="0" b="9525"/>
            <wp:docPr id="42" name="Picture 42" descr="http://eos.ibi.spb.ru/umk/6_6/5/pict/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os.ibi.spb.ru/umk/6_6/5/pict/4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 Показатель степени положительный, так что коэффициент больше 1,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величина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 умножении увеличивается.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Если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же момент времени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наступает позже момента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proofErr w:type="spellStart"/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 xml:space="preserve">&gt; 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то при пересчете оценки величины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надо умножить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соответствующий коэффициент дисконтирования. Формула для этого коэффициента та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же, что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для прежнего коэффициента роста, 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800100" cy="276225"/>
            <wp:effectExtent l="0" t="0" r="0" b="9525"/>
            <wp:docPr id="41" name="Picture 41" descr="http://eos.ibi.spb.ru/umk/6_6/5/pict/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os.ibi.spb.ru/umk/6_6/5/pict/4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 Однако показатель степени теперь отрицательный, так что коэффициент автоматически окажется менее 1.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Величина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 умножении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такой коэффициент уменьшается.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lastRenderedPageBreak/>
        <w:t>Таким образом, независимо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того, как взаимно расположены моменты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, при приведении члена потока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моменту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его следует умножить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одно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же выражение, равное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800100" cy="276225"/>
            <wp:effectExtent l="0" t="0" r="0" b="9525"/>
            <wp:docPr id="40" name="Picture 40" descr="http://eos.ibi.spb.ru/umk/6_6/5/pict/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os.ibi.spb.ru/umk/6_6/5/pict/4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 одной ситуации это приводит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увеличению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другой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уменьшению. Во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всех ситуациях это приводит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корректному пересчету величины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k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приведению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 времени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Приведенная стоимость всего потока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 приведенная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 времени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сложной процентной ставке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определяется суммой результатов приведения всех членов потока, 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формулой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647825" cy="419100"/>
            <wp:effectExtent l="0" t="0" r="9525" b="0"/>
            <wp:docPr id="39" name="Picture 39" descr="http://eos.ibi.spb.ru/umk/6_6/5/pict/4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os.ibi.spb.ru/umk/6_6/5/pict/4-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Формула позволяет определить приведенную стоимость потока для любого момента времени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частности, если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момент начала потока,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эта формула определяет современную стоимость потока. Если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же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момент окончания срока потока, формула определяет наращенную сумму потока.</w:t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5" w:name="1_4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4.1.4. Связь между результатами приведения к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разным моментам времени</w:t>
      </w:r>
      <w:bookmarkEnd w:id="5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Рассмотрим, как изменяется величина приведенной стоимости при приведении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другому моменту.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Пусть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’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другой момент приведения. Тогда при приведении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моменту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’ получим величину: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704975" cy="419100"/>
            <wp:effectExtent l="0" t="0" r="9525" b="0"/>
            <wp:docPr id="38" name="Picture 38" descr="http://eos.ibi.spb.ru/umk/6_6/5/pict/4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os.ibi.spb.ru/umk/6_6/5/pict/4-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Величины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S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  <w:lang w:val="ru-RU"/>
        </w:rPr>
        <w:t>’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связаны соотношением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4848225" cy="428625"/>
            <wp:effectExtent l="0" t="0" r="9525" b="9525"/>
            <wp:docPr id="37" name="Picture 37" descr="http://eos.ibi.spb.ru/umk/6_6/5/pict/4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os.ibi.spb.ru/umk/6_6/5/pict/4-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Рассмотрим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отношение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приведенных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оценок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247775" cy="295275"/>
            <wp:effectExtent l="0" t="0" r="9525" b="9525"/>
            <wp:docPr id="36" name="Picture 36" descr="http://eos.ibi.spb.ru/umk/6_6/5/pict/4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os.ibi.spb.ru/umk/6_6/5/pict/4-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Отсюда получаем, что при приведении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более позднему моменту величина приведенной стоимости окажется больше.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Действительно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если</w:t>
      </w:r>
      <w:proofErr w:type="spellEnd"/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t’&gt; </w:t>
      </w:r>
      <w:proofErr w:type="gramStart"/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proofErr w:type="gramEnd"/>
    </w:p>
    <w:p w:rsidR="00CD1E7E" w:rsidRPr="00CD1E7E" w:rsidRDefault="00CD1E7E" w:rsidP="00CD1E7E">
      <w:pPr>
        <w:spacing w:before="60" w:after="165" w:line="240" w:lineRule="auto"/>
        <w:ind w:left="75" w:right="7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то</w:t>
      </w:r>
      <w:proofErr w:type="spellEnd"/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962025" cy="304800"/>
            <wp:effectExtent l="0" t="0" r="9525" b="0"/>
            <wp:docPr id="35" name="Picture 35" descr="http://eos.ibi.spb.ru/umk/6_6/5/pict/4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os.ibi.spb.ru/umk/6_6/5/pict/4-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откуда следует, что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S</w:t>
      </w:r>
      <w:r w:rsidRPr="00CD1E7E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t</w:t>
      </w:r>
      <w:r w:rsidRPr="00CD1E7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ru-RU"/>
        </w:rPr>
        <w:t>’</w:t>
      </w:r>
      <w:r w:rsidRPr="00CD1E7E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 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 xml:space="preserve">&gt; 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</w:t>
      </w:r>
      <w:r w:rsidRPr="00CD1E7E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t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Отношение приведенных оценок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t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  <w:lang w:val="ru-RU"/>
        </w:rPr>
        <w:t>’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/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CD1E7E">
        <w:rPr>
          <w:rFonts w:ascii="Verdana" w:eastAsia="Times New Roman" w:hAnsi="Verdana" w:cs="Times New Roman"/>
          <w:color w:val="000000"/>
          <w:sz w:val="15"/>
          <w:szCs w:val="15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выражается величиной, 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зависящей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конкретного потока. Она зависит лишь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разности (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—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’) моментов приведения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выбранной для приведения процентной ставки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Это позволяет сравнивать различные потоки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их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приведенной стоимости безотносительно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выбору конкретного момента приведения.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Действительно, пусть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09550" cy="266700"/>
            <wp:effectExtent l="0" t="0" r="0" b="0"/>
            <wp:docPr id="34" name="Picture 34" descr="http://eos.ibi.spb.ru/umk/6_6/5/pict/4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os.ibi.spb.ru/umk/6_6/5/pict/4-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28600" cy="276225"/>
            <wp:effectExtent l="0" t="0" r="0" b="9525"/>
            <wp:docPr id="33" name="Picture 33" descr="http://eos.ibi.spb.ru/umk/6_6/5/pict/4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os.ibi.spb.ru/umk/6_6/5/pict/4-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стоимости двух потоков при их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приведении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моменту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38125" cy="285750"/>
            <wp:effectExtent l="0" t="0" r="9525" b="0"/>
            <wp:docPr id="32" name="Picture 32" descr="http://eos.ibi.spb.ru/umk/6_6/5/pict/4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os.ibi.spb.ru/umk/6_6/5/pict/4-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38125" cy="266700"/>
            <wp:effectExtent l="0" t="0" r="9525" b="0"/>
            <wp:docPr id="31" name="Picture 31" descr="http://eos.ibi.spb.ru/umk/6_6/5/pict/4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os.ibi.spb.ru/umk/6_6/5/pict/4-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стоимости тех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же потоков при их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приведении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моменту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’.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Тогда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отношения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этих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оценок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равны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248025" cy="352425"/>
            <wp:effectExtent l="0" t="0" r="0" b="9525"/>
            <wp:docPr id="30" name="Picture 30" descr="http://eos.ibi.spb.ru/umk/6_6/5/pict/4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os.ibi.spb.ru/umk/6_6/5/pict/4-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Если приведенная стоимость одного потока оказалась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m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раз больше приведенной стоимости другого при приведении обоих потоков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какому-то одному моменту времени,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это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же соотношение между потоками сохранится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 приведении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любому другому моменту времени.</w:t>
      </w:r>
    </w:p>
    <w:p w:rsidR="00CD1E7E" w:rsidRPr="00CD1E7E" w:rsidRDefault="00CD1E7E" w:rsidP="00CD1E7E">
      <w:pPr>
        <w:shd w:val="clear" w:color="auto" w:fill="C489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</w:pPr>
      <w:bookmarkStart w:id="6" w:name="2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  <w:t>4.2. Характеристики постоянной финансовой ренты</w:t>
      </w:r>
      <w:bookmarkEnd w:id="6"/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7" w:name="2_1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4.2.1. Расчет характеристик постоянной ренты</w:t>
      </w:r>
      <w:bookmarkEnd w:id="7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Полученная выше формула приведенной стоимости потока пригодна для расчетов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любыми потоками.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некоторых важных частных случаях ее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можно заметно упростить. Так, для наиболее распространенного вида потоков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постоянной финансовой ренты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мы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получим существенно более простые расчетные формулы. Простые формулы можно получить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для переменных рент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несложной закономерностью изменения членов ренты.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Рассмотрим постоянную ренту, содержащую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членов одинаковой величины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(рис.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4.4). Интервал между членами ренты одинаков. Предположим, что он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составляет 1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год (такая рента называется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аннуитетом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). Пусть это рента постнумерандо.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Таким образом, перед нами последовательность из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n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одинаковых платежей размера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каждый. Общий срок ренты составляет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лет. Очередной платеж совершается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конце года. Первый платеж происходит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конце первого года, последний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конце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-го года.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Конец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общего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срока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ренты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совпадает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с 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моментом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последнего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платежа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4162425" cy="1133475"/>
            <wp:effectExtent l="0" t="0" r="9525" b="9525"/>
            <wp:docPr id="29" name="Picture 29" descr="http://eos.ibi.spb.ru/umk/6_6/5/pict/4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os.ibi.spb.ru/umk/6_6/5/pict/4-1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lastRenderedPageBreak/>
        <w:t>Рис.</w:t>
      </w:r>
      <w:r w:rsidRPr="00CD1E7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CD1E7E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4.4. Постоянная финансовая рента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Определим наращенную конечную стоимость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стоимость ренты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конец ее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срока (конечную стоимость обозначают иногда также посредством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FV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i/>
          <w:iCs/>
          <w:color w:val="660066"/>
          <w:sz w:val="21"/>
          <w:szCs w:val="21"/>
        </w:rPr>
        <w:t>Future Value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Приведение следует провести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момент окончания срока ренты. Рассмотрим поочередно члены ренты,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последнего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первому.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Последний,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-й член ренты при приведении сохраняется без изменения, поскольку момент приведения совпадает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моментом последнего платежа.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результате преобразования он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сохраняет свою величину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Предпоследний, (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-1)-й член преобразуется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величину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(1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+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Предпредпоследний, (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-2)-й член преобразуется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19125" cy="247650"/>
            <wp:effectExtent l="0" t="0" r="9525" b="0"/>
            <wp:docPr id="28" name="Picture 28" descr="http://eos.ibi.spb.ru/umk/6_6/5/pict/4-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os.ibi.spb.ru/umk/6_6/5/pict/4-1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Продолжая рассуждения, получим, что произвольный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k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-й член преобразуется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19125" cy="247650"/>
            <wp:effectExtent l="0" t="0" r="9525" b="0"/>
            <wp:docPr id="27" name="Picture 27" descr="http://eos.ibi.spb.ru/umk/6_6/5/pict/4-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os.ibi.spb.ru/umk/6_6/5/pict/4-1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 частности, первый член преобразуется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76275" cy="238125"/>
            <wp:effectExtent l="0" t="0" r="9525" b="9525"/>
            <wp:docPr id="26" name="Picture 26" descr="http://eos.ibi.spb.ru/umk/6_6/5/pict/4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os.ibi.spb.ru/umk/6_6/5/pict/4-1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Суммируя получившуюся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-членную геометрическую прогрессию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первым членом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знаменателем (1+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), приходим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формуле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371600" cy="495300"/>
            <wp:effectExtent l="0" t="0" r="0" b="0"/>
            <wp:docPr id="25" name="Picture 25" descr="http://eos.ibi.spb.ru/umk/6_6/5/pict/4-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os.ibi.spb.ru/umk/6_6/5/pict/4-18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Это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есть формула конечной наращенной суммы постоянной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-членной ренты постнумерандо.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Обратимся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формуле начальной, современной стоимости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соответствующей приведению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начальному моменту срока ренты (такую величину обозначают также посредством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PV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i/>
          <w:iCs/>
          <w:color w:val="660066"/>
          <w:sz w:val="21"/>
          <w:szCs w:val="21"/>
        </w:rPr>
        <w:t>Present</w:t>
      </w:r>
      <w:r w:rsidRPr="00CD1E7E">
        <w:rPr>
          <w:rFonts w:ascii="Verdana" w:eastAsia="Times New Roman" w:hAnsi="Verdana" w:cs="Times New Roman"/>
          <w:i/>
          <w:iCs/>
          <w:color w:val="660066"/>
          <w:sz w:val="21"/>
          <w:szCs w:val="21"/>
          <w:lang w:val="ru-RU"/>
        </w:rPr>
        <w:t xml:space="preserve"> </w:t>
      </w:r>
      <w:r w:rsidRPr="00CD1E7E">
        <w:rPr>
          <w:rFonts w:ascii="Verdana" w:eastAsia="Times New Roman" w:hAnsi="Verdana" w:cs="Times New Roman"/>
          <w:i/>
          <w:iCs/>
          <w:color w:val="660066"/>
          <w:sz w:val="21"/>
          <w:szCs w:val="21"/>
        </w:rPr>
        <w:t>Value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). Эту формулу можно получить двумя способами.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Один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провести рассуждения, аналогичные данным выше для формулы наращенной суммы, но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ориентированные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приведение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другому моменту времени. Другой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провести дисконтирование уже полученной величины наращенной суммы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начальному моменту срока ренты, 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воспользоваться равенством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190625" cy="295275"/>
            <wp:effectExtent l="0" t="0" r="9525" b="9525"/>
            <wp:docPr id="24" name="Picture 24" descr="http://eos.ibi.spb.ru/umk/6_6/5/pict/4-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os.ibi.spb.ru/umk/6_6/5/pict/4-1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Второй путь позволяет сразу написать итоговую формулу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476375" cy="495300"/>
            <wp:effectExtent l="0" t="0" r="9525" b="0"/>
            <wp:docPr id="23" name="Picture 23" descr="http://eos.ibi.spb.ru/umk/6_6/5/pict/4-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os.ibi.spb.ru/umk/6_6/5/pict/4-2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По этим формулам можно провести расчет при любой положительной величине процентной ставки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Они 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работают только при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= 0,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 случае, когда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lastRenderedPageBreak/>
        <w:t>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учитывается рост вложенной денежной суммы. Однако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этом случае современная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будущая оценки фонда совпадают,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обе равны простой сумме членов ренты: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1076325" cy="209550"/>
            <wp:effectExtent l="0" t="0" r="9525" b="0"/>
            <wp:docPr id="22" name="Picture 22" descr="http://eos.ibi.spb.ru/umk/6_6/5/pict/5_R4_T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os.ibi.spb.ru/umk/6_6/5/pict/5_R4_T4_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8" w:name="2_2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4.2.2. Вечная рента</w:t>
      </w:r>
      <w:bookmarkEnd w:id="8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 некоторых случаях ренту можно рассматривать как продолжающуюся неограниченно долго, 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имеющую неограниченное число членов. Такая ситуация возникает, когда заранее срок ренты 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установлен. Например, регулярные выплаты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облигациям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неограниченным сроком действия.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Ренты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неограниченным сроком называются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1"/>
          <w:szCs w:val="21"/>
          <w:lang w:val="ru-RU"/>
        </w:rPr>
        <w:t>вечными рентами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Определить наращенную сумму вечной ренты невозможно, 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такая сумма должна быть приведена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концу срока ренты. Однако можно определить современную стоимость вечной ренты. Для этого достаточно просуммировать бесконечную убывающую геометрическую прогрессию.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Если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полученной выше формуле для современной стоимости ренты со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сроком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устремить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бесконечности,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получим: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47700" cy="466725"/>
            <wp:effectExtent l="0" t="0" r="0" b="9525"/>
            <wp:docPr id="21" name="Picture 21" descr="http://eos.ibi.spb.ru/umk/6_6/5/pict/4-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os.ibi.spb.ru/umk/6_6/5/pict/4-21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Таким образом, современная стоимость вечной ренты определяется простым правилом: современная стоимость равна отношению величины члена ренты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процентной ставке.</w:t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9" w:name="2_3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4.2.3. Связь параметров ренты</w:t>
      </w:r>
      <w:bookmarkEnd w:id="9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Полученные формулы позволяют рассчитать параметры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n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через ее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итоговые приведенные характеристики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A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Простые преобразования приводят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формулам для члена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: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371600" cy="523875"/>
            <wp:effectExtent l="0" t="0" r="0" b="9525"/>
            <wp:docPr id="20" name="Picture 20" descr="http://eos.ibi.spb.ru/umk/6_6/5/pict/4-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os.ibi.spb.ru/umk/6_6/5/pict/4-2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также</w:t>
      </w:r>
      <w:proofErr w:type="spellEnd"/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476375" cy="523875"/>
            <wp:effectExtent l="0" t="0" r="9525" b="9525"/>
            <wp:docPr id="19" name="Picture 19" descr="http://eos.ibi.spb.ru/umk/6_6/5/pict/4-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eos.ibi.spb.ru/umk/6_6/5/pict/4-2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Формула для срока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выраженного через наращенную сумму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имеет вид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09675" cy="733425"/>
            <wp:effectExtent l="0" t="0" r="9525" b="9525"/>
            <wp:docPr id="18" name="Picture 18" descr="http://eos.ibi.spb.ru/umk/6_6/5/pict/4-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os.ibi.spb.ru/umk/6_6/5/pict/4-2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Аналогичная формула для срока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выраженного через современную стоимость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имеет вид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438275" cy="733425"/>
            <wp:effectExtent l="0" t="0" r="9525" b="9525"/>
            <wp:docPr id="17" name="Picture 17" descr="http://eos.ibi.spb.ru/umk/6_6/5/pict/4-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eos.ibi.spb.ru/umk/6_6/5/pict/4-2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Отметим, что числитель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последней формуле отрицателен (подлогарифмическое выражение меньше 1), так что знак «минус» перед формулой возвращает положительное значение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 отличие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R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расчет процентной ставки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удается провести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виде вычисления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готовой формуле. Величину процентной ставки определяют одним из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методов приближенных вычислений (например, методом линейной интерполяции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методом хорд или методом Ньютона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методом касательных).</w:t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10" w:name="2_4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4.2.4. Ренты пренумерандо и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постнумерандо</w:t>
      </w:r>
      <w:bookmarkEnd w:id="10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Рента пренумерандо при приведении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концу срока отличается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ренты постнумерандо сдвигом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один период времени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конца назад. Поэтому все ее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члены при приведении следует дополнительно умножить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одну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ту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же величину (1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+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).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В 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результате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формула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наращенной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суммы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ренты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пренумерандо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примет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вид</w:t>
      </w:r>
      <w:proofErr w:type="spellEnd"/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790700" cy="495300"/>
            <wp:effectExtent l="0" t="0" r="0" b="0"/>
            <wp:docPr id="16" name="Picture 16" descr="http://eos.ibi.spb.ru/umk/6_6/5/pict/4-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os.ibi.spb.ru/umk/6_6/5/pict/4-2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Аналогично изменится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формула современной стоимости ренты: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895475" cy="495300"/>
            <wp:effectExtent l="0" t="0" r="9525" b="0"/>
            <wp:docPr id="15" name="Picture 15" descr="http://eos.ibi.spb.ru/umk/6_6/5/pict/4-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os.ibi.spb.ru/umk/6_6/5/pict/4-2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Соответствующие изменения произойдут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формулах, определяющих величину постоянного члена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продолжительность для ренты пренумерандо: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43100" cy="523875"/>
            <wp:effectExtent l="0" t="0" r="0" b="9525"/>
            <wp:docPr id="14" name="Picture 14" descr="http://eos.ibi.spb.ru/umk/6_6/5/pict/4-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eos.ibi.spb.ru/umk/6_6/5/pict/4-2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также</w:t>
      </w:r>
      <w:proofErr w:type="spellEnd"/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047875" cy="523875"/>
            <wp:effectExtent l="0" t="0" r="9525" b="9525"/>
            <wp:docPr id="13" name="Picture 13" descr="http://eos.ibi.spb.ru/umk/6_6/5/pict/4-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eos.ibi.spb.ru/umk/6_6/5/pict/4-29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lastRenderedPageBreak/>
        <w:t>Полученные формулы можно рассматривать как формулы для ренты постнумерандо, но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новой оценкой приведенной стоимости (оценкой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или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), уменьшенной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(1+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раз.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Формула для срока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выраженного через наращенную сумму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имеет вид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647825" cy="771525"/>
            <wp:effectExtent l="0" t="0" r="9525" b="9525"/>
            <wp:docPr id="12" name="Picture 12" descr="http://eos.ibi.spb.ru/umk/6_6/5/pict/4-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eos.ibi.spb.ru/umk/6_6/5/pict/4-3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Аналогичная формула для срока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выраженного через современную стоимость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имеет вид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838325" cy="771525"/>
            <wp:effectExtent l="0" t="0" r="9525" b="9525"/>
            <wp:docPr id="11" name="Picture 11" descr="http://eos.ibi.spb.ru/umk/6_6/5/pict/4-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eos.ibi.spb.ru/umk/6_6/5/pict/4-3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Полученные формулы соответствуют формулам для ренты постнумерандо, но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новой величиной члена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увеличенной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(1+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раз.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 дальнейшем мы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будем строить формулы для ренты постнумерандо, имея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виду, что они легко преобразуются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формулы для ренты пренумерандо.</w:t>
      </w:r>
    </w:p>
    <w:p w:rsidR="00CD1E7E" w:rsidRPr="00CD1E7E" w:rsidRDefault="00CD1E7E" w:rsidP="00CD1E7E">
      <w:pPr>
        <w:shd w:val="clear" w:color="auto" w:fill="C489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</w:pP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  <w:t>4.3. Платежи и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  <w:t>проценты</w:t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11" w:name="3_1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4.3.1. Учет особенностей начисления процентов</w:t>
      </w:r>
      <w:bookmarkEnd w:id="11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Рассмотрим ситуацию, когда проценты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члены ренты начисляются не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один, 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несколько раз за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период поступления платежей.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Пусть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поступающие члены постоянной ежегодной ренты постнумерандо начисляются проценты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m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раз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году (например, ежеквартально). Рассмотрим два варианта перевода годовой ставки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квартальную.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1. Пусть перевод годовой ставки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квартальную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j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происходит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формуле сложной процентной ставки, 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формуле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209675" cy="266700"/>
            <wp:effectExtent l="0" t="0" r="9525" b="0"/>
            <wp:docPr id="10" name="Picture 10" descr="http://eos.ibi.spb.ru/umk/6_6/5/pict/4-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eos.ibi.spb.ru/umk/6_6/5/pict/4-3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 общем случае, при разделении года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m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равных периодов, эта формула имеет вид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304925" cy="257175"/>
            <wp:effectExtent l="0" t="0" r="9525" b="9525"/>
            <wp:docPr id="9" name="Picture 9" descr="http://eos.ibi.spb.ru/umk/6_6/5/pict/4-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eos.ibi.spb.ru/umk/6_6/5/pict/4-3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В таком случае ставка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ставка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j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корректно согласованы друг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другом,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все расчетные формулы, связанные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рентой, остаются прежними.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2. Пусть перевод годовой ставки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квартальную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j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происходит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формуле простой процентной ставки, т.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формуле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j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 xml:space="preserve"> = </w:t>
      </w:r>
      <w:proofErr w:type="spellStart"/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>/4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 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или,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случае разделения года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m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периодов,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формуле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j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 xml:space="preserve"> = </w:t>
      </w:r>
      <w:proofErr w:type="spellStart"/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</w:t>
      </w:r>
      <w:proofErr w:type="spellEnd"/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>/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</w:t>
      </w:r>
      <w:r w:rsidRPr="00CD1E7E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 этой ситуации множитель роста вклада за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год равен величине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847725" cy="276225"/>
            <wp:effectExtent l="0" t="0" r="9525" b="9525"/>
            <wp:docPr id="8" name="Picture 8" descr="http://eos.ibi.spb.ru/umk/6_6/5/pict/4-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eos.ibi.spb.ru/umk/6_6/5/pict/4-3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При построении приведенной оценки ренты ее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члены, как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первоначальном случае, образуют геометрическую прогрессию, но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другим знаменателем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со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знаменателем, равным множителю роста.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Таким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образом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для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наращенной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суммы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получаем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057525" cy="533400"/>
            <wp:effectExtent l="0" t="0" r="9525" b="0"/>
            <wp:docPr id="7" name="Picture 7" descr="http://eos.ibi.spb.ru/umk/6_6/5/pict/4-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eos.ibi.spb.ru/umk/6_6/5/pict/4-3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Для современной стоимости потока получаем формулу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009900" cy="533400"/>
            <wp:effectExtent l="0" t="0" r="0" b="0"/>
            <wp:docPr id="6" name="Picture 6" descr="http://eos.ibi.spb.ru/umk/6_6/5/pict/4-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eos.ibi.spb.ru/umk/6_6/5/pict/4-37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12" w:name="3_2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4.3.2. Учет особенностей поступления платежей</w:t>
      </w:r>
      <w:bookmarkEnd w:id="12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Мы рассмотрели вариант, когда период начисления процентов меньше периода поступления платежей. Рассмотрим теперь противоположный случай, когда период поступления платежей меньше периода начисления процентов.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Пусть проценты начисляются ежегодно, 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платежи поступают равными взносами, периодически,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p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раз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году (например, ежемесячно). Если годовая сумма платежей по-прежнему равна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,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отдельный платеж равен теперь величине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/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p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Общее число членов ренты за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n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лет равно теперь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nxp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 каждый член ренты при определении наращенной суммы начисляются проценты за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весь период времени, оставшийся до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конца срока ренты.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Последовательность членов такой ренты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начисленными процентами опять является геометрической прогрессией. Первый член прогрессии (считая, как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раньше, от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конца поступления платежей) равен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R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/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p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Число членов равно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np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.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Знаменатель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прогрессии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есть</w:t>
      </w:r>
      <w:proofErr w:type="spellEnd"/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733425" cy="295275"/>
            <wp:effectExtent l="0" t="0" r="9525" b="9525"/>
            <wp:docPr id="5" name="Picture 5" descr="http://eos.ibi.spb.ru/umk/6_6/5/pict/4-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eos.ibi.spb.ru/umk/6_6/5/pict/4-3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Наращенная сумма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есть сумма членов этой прогрессии Она определяется формулой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429000" cy="533400"/>
            <wp:effectExtent l="0" t="0" r="0" b="0"/>
            <wp:docPr id="4" name="Picture 4" descr="http://eos.ibi.spb.ru/umk/6_6/5/pict/4-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os.ibi.spb.ru/umk/6_6/5/pict/4-39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Современная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стоимость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ренты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определяется</w:t>
      </w:r>
      <w:proofErr w:type="spellEnd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формулой</w:t>
      </w:r>
      <w:proofErr w:type="spellEnd"/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733675" cy="533400"/>
            <wp:effectExtent l="0" t="0" r="9525" b="0"/>
            <wp:docPr id="3" name="Picture 3" descr="http://eos.ibi.spb.ru/umk/6_6/5/pict/4-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eos.ibi.spb.ru/umk/6_6/5/pict/4-40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100" w:beforeAutospacing="1" w:after="100" w:afterAutospacing="1" w:line="240" w:lineRule="auto"/>
        <w:ind w:left="503" w:right="503"/>
        <w:jc w:val="center"/>
        <w:outlineLvl w:val="2"/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</w:pPr>
      <w:bookmarkStart w:id="13" w:name="3_3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4.3.3. Учет особенностей начисления процентов и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</w:rPr>
        <w:t> </w:t>
      </w:r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24"/>
          <w:szCs w:val="24"/>
          <w:lang w:val="ru-RU"/>
        </w:rPr>
        <w:t>поступления платежей</w:t>
      </w:r>
      <w:bookmarkEnd w:id="13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Рассмотрим вариант ренты, когда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начисление процентов,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поступление платежей происходят несколько раз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году. Обычно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таких ситуациях оба события происходят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одинаковой периодичностью. Например, рентные платежи поступают ежемесячно,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начисление процентов происходит также ежемесячно.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Расчеты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такой ренте сводятся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расчетам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первоначальной формуле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заменой годового периода новым периодом (например, месячным). При этом число членов ренты кратно числу лет, 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процентная ставка изменяется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соответствии с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новым периодом.</w:t>
      </w:r>
    </w:p>
    <w:p w:rsidR="00CD1E7E" w:rsidRPr="00CD1E7E" w:rsidRDefault="00CD1E7E" w:rsidP="00CD1E7E">
      <w:pPr>
        <w:shd w:val="clear" w:color="auto" w:fill="C489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</w:pPr>
      <w:bookmarkStart w:id="14" w:name="3"/>
      <w:r w:rsidRPr="00CD1E7E">
        <w:rPr>
          <w:rFonts w:ascii="Verdana" w:eastAsia="Times New Roman" w:hAnsi="Verdana" w:cs="Times New Roman"/>
          <w:b/>
          <w:bCs/>
          <w:i/>
          <w:iCs/>
          <w:color w:val="660066"/>
          <w:sz w:val="30"/>
          <w:szCs w:val="30"/>
          <w:lang w:val="ru-RU"/>
        </w:rPr>
        <w:t>Выводы</w:t>
      </w:r>
      <w:bookmarkEnd w:id="14"/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Финансовая рента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— это последовательность платежей, возникающих через равные промежутки времени. Если размеры платежей финансовой ренты одинаковы, то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рента называется постоянной финансовой рентой.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Различают ренты постнумерандо (платежи поступают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конце промежутков времени)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ренты пренумерандо (платежи поступают в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начале промежутков времени).</w:t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Конечная стоимость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S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начальная стоимость ренты 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A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определяются путем приведения всех платежей к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конечному или начальному моменту времени по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сложной процентной ставке. Итоговые формулы получаются на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основе суммирования геометрической прогрессии. Для ренты постнумерандо формулы имеют вид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381375" cy="495300"/>
            <wp:effectExtent l="0" t="0" r="9525" b="0"/>
            <wp:docPr id="2" name="Picture 2" descr="http://eos.ibi.spb.ru/umk/6_6/5/pict/4-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eos.ibi.spb.ru/umk/6_6/5/pict/4-4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7E" w:rsidRPr="00CD1E7E" w:rsidRDefault="00CD1E7E" w:rsidP="00CD1E7E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Формула начальной стоимости ренты применима и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CD1E7E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для вечной ренты, содержащей бесконечное множество платежей:</w:t>
      </w:r>
    </w:p>
    <w:p w:rsidR="00CD1E7E" w:rsidRPr="00CD1E7E" w:rsidRDefault="00CD1E7E" w:rsidP="00CD1E7E">
      <w:pPr>
        <w:spacing w:before="60" w:after="165" w:line="240" w:lineRule="auto"/>
        <w:ind w:left="75" w:right="75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D1E7E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47700" cy="466725"/>
            <wp:effectExtent l="0" t="0" r="0" b="9525"/>
            <wp:docPr id="1" name="Picture 1" descr="http://eos.ibi.spb.ru/umk/6_6/5/pict/4-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eos.ibi.spb.ru/umk/6_6/5/pict/4-4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3E" w:rsidRPr="00CD1E7E" w:rsidRDefault="00CB203E" w:rsidP="00CD1E7E"/>
    <w:sectPr w:rsidR="00CB203E" w:rsidRPr="00CD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1232B"/>
    <w:multiLevelType w:val="multilevel"/>
    <w:tmpl w:val="E4E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7E"/>
    <w:rsid w:val="001538C4"/>
    <w:rsid w:val="00CB203E"/>
    <w:rsid w:val="00C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17F04-F0E5-4FD4-8988-FB98B6DB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1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E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E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E7E"/>
    <w:rPr>
      <w:b/>
      <w:bCs/>
    </w:rPr>
  </w:style>
  <w:style w:type="character" w:styleId="Emphasis">
    <w:name w:val="Emphasis"/>
    <w:basedOn w:val="DefaultParagraphFont"/>
    <w:uiPriority w:val="20"/>
    <w:qFormat/>
    <w:rsid w:val="00CD1E7E"/>
    <w:rPr>
      <w:i/>
      <w:iCs/>
    </w:rPr>
  </w:style>
  <w:style w:type="paragraph" w:customStyle="1" w:styleId="center">
    <w:name w:val="center"/>
    <w:basedOn w:val="Normal"/>
    <w:rsid w:val="00CD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s">
    <w:name w:val="ris"/>
    <w:basedOn w:val="Normal"/>
    <w:rsid w:val="00CD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">
    <w:name w:val="style5"/>
    <w:basedOn w:val="DefaultParagraphFont"/>
    <w:rsid w:val="00CD1E7E"/>
  </w:style>
  <w:style w:type="paragraph" w:customStyle="1" w:styleId="op">
    <w:name w:val="op"/>
    <w:basedOn w:val="Normal"/>
    <w:rsid w:val="00CD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2532</Words>
  <Characters>14437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2017-11-22T15:11:00Z</dcterms:created>
  <dcterms:modified xsi:type="dcterms:W3CDTF">2017-11-22T17:27:00Z</dcterms:modified>
</cp:coreProperties>
</file>