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heading=h.gs0tdl42fbb7" w:id="0"/>
      <w:bookmarkEnd w:id="0"/>
      <w:r w:rsidDel="00000000" w:rsidR="00000000" w:rsidRPr="00000000">
        <w:rPr>
          <w:b w:val="1"/>
          <w:rtl w:val="0"/>
        </w:rPr>
        <w:t xml:space="preserve">Вступление OpenLane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Перед объяснением всего что будет происходить, запустим маршрут, а пока он будет выполняться мы будем разбираться в том что происходит в процессе.</w:t>
        <w:br w:type="textWrapping"/>
        <w:br w:type="textWrapping"/>
        <w:t xml:space="preserve">Для</w:t>
      </w:r>
      <w:r w:rsidDel="00000000" w:rsidR="00000000" w:rsidRPr="00000000">
        <w:rPr>
          <w:b w:val="0"/>
          <w:shd w:fill="auto" w:val="clear"/>
          <w:rtl w:val="0"/>
        </w:rPr>
        <w:t xml:space="preserve"> примера будем использовать схему из репозитория OpenLane под названием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b w:val="0"/>
          <w:shd w:fill="auto" w:val="clear"/>
          <w:rtl w:val="0"/>
        </w:rPr>
        <w:br w:type="textWrapping"/>
        <w:t xml:space="preserve">OpenLane/designs/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b w:val="0"/>
          <w:shd w:fill="auto" w:val="clear"/>
          <w:rtl w:val="0"/>
        </w:rPr>
        <w:br w:type="textWrapping"/>
        <w:br w:type="textWrapping"/>
        <w:t xml:space="preserve">План действий:</w:t>
        <w:br w:type="textWrapping"/>
        <w:t xml:space="preserve">1) Открыть терминал и перейти в домашнюю директорию</w:t>
        <w:br w:type="textWrapping"/>
      </w:r>
      <w:r w:rsidDel="00000000" w:rsidR="00000000" w:rsidRPr="00000000">
        <w:rPr>
          <w:b w:val="1"/>
          <w:shd w:fill="auto" w:val="clear"/>
          <w:rtl w:val="0"/>
        </w:rPr>
        <w:t xml:space="preserve">cd</w:t>
      </w:r>
      <w:r w:rsidDel="00000000" w:rsidR="00000000" w:rsidRPr="00000000">
        <w:rPr>
          <w:b w:val="0"/>
          <w:shd w:fill="auto" w:val="clear"/>
          <w:rtl w:val="0"/>
        </w:rPr>
        <w:br w:type="textWrapping"/>
        <w:t xml:space="preserve">2) перейти в </w:t>
      </w:r>
      <w:r w:rsidDel="00000000" w:rsidR="00000000" w:rsidRPr="00000000">
        <w:rPr>
          <w:rtl w:val="0"/>
        </w:rPr>
        <w:t xml:space="preserve">директорию</w:t>
      </w:r>
      <w:r w:rsidDel="00000000" w:rsidR="00000000" w:rsidRPr="00000000">
        <w:rPr>
          <w:b w:val="0"/>
          <w:shd w:fill="auto" w:val="clear"/>
          <w:rtl w:val="0"/>
        </w:rPr>
        <w:t xml:space="preserve"> OpenLane</w:t>
        <w:br w:type="textWrapping"/>
      </w:r>
      <w:r w:rsidDel="00000000" w:rsidR="00000000" w:rsidRPr="00000000">
        <w:rPr>
          <w:b w:val="1"/>
          <w:shd w:fill="auto" w:val="clear"/>
          <w:rtl w:val="0"/>
        </w:rPr>
        <w:t xml:space="preserve">cd /</w:t>
      </w:r>
      <w:r w:rsidDel="00000000" w:rsidR="00000000" w:rsidRPr="00000000">
        <w:rPr>
          <w:b w:val="1"/>
          <w:rtl w:val="0"/>
        </w:rPr>
        <w:t xml:space="preserve">Desktop/</w:t>
      </w:r>
      <w:r w:rsidDel="00000000" w:rsidR="00000000" w:rsidRPr="00000000">
        <w:rPr>
          <w:b w:val="1"/>
          <w:shd w:fill="auto" w:val="clear"/>
          <w:rtl w:val="0"/>
        </w:rPr>
        <w:t xml:space="preserve">OpenLane/</w:t>
      </w:r>
      <w:r w:rsidDel="00000000" w:rsidR="00000000" w:rsidRPr="00000000">
        <w:rPr>
          <w:b w:val="0"/>
          <w:shd w:fill="auto" w:val="clear"/>
          <w:rtl w:val="0"/>
        </w:rPr>
        <w:br w:type="textWrapping"/>
        <w:t xml:space="preserve">3) Запустить OpenLane в докере с помощью </w:t>
      </w:r>
      <w:r w:rsidDel="00000000" w:rsidR="00000000" w:rsidRPr="00000000">
        <w:rPr>
          <w:b w:val="1"/>
          <w:shd w:fill="auto" w:val="clear"/>
          <w:rtl w:val="0"/>
        </w:rPr>
        <w:br w:type="textWrapping"/>
        <w:t xml:space="preserve">make mount</w:t>
      </w:r>
      <w:r w:rsidDel="00000000" w:rsidR="00000000" w:rsidRPr="00000000">
        <w:rPr>
          <w:b w:val="0"/>
          <w:shd w:fill="auto" w:val="clear"/>
          <w:rtl w:val="0"/>
        </w:rPr>
        <w:br w:type="textWrapping"/>
        <w:t xml:space="preserve">4)А теперь приступим к запуску flow.tcl</w:t>
        <w:br w:type="textWrapping"/>
      </w:r>
      <w:r w:rsidDel="00000000" w:rsidR="00000000" w:rsidRPr="00000000">
        <w:rPr>
          <w:b w:val="1"/>
          <w:shd w:fill="auto" w:val="clear"/>
          <w:rtl w:val="0"/>
        </w:rPr>
        <w:t xml:space="preserve">./flow.tcl -design </w:t>
      </w:r>
      <w:r w:rsidDel="00000000" w:rsidR="00000000" w:rsidRPr="00000000">
        <w:rPr>
          <w:b w:val="1"/>
          <w:rtl w:val="0"/>
        </w:rPr>
        <w:t xml:space="preserve">usb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76" w:right="0" w:firstLine="1276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058978" cy="38801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978" cy="388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76" w:right="0" w:firstLine="127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276" w:right="0" w:firstLine="127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76" w:right="0" w:firstLine="127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276" w:right="0" w:firstLine="127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Если упростить, то OpenLane это набор скриптов которые соединяют разные программы для полноценного прохождения маршрута RTL to GDSII такие как OpenROAD, Yosys, Magic, Netgen и другие, а также свои скриптовые методы исследования и оптимизации дизайна.</w:t>
      </w:r>
    </w:p>
    <w:p w:rsidR="00000000" w:rsidDel="00000000" w:rsidP="00000000" w:rsidRDefault="00000000" w:rsidRPr="00000000" w14:paraId="00000009">
      <w:pPr>
        <w:ind w:left="-1275.5905511811022" w:right="0" w:firstLine="0"/>
        <w:rPr/>
      </w:pPr>
      <w:r w:rsidDel="00000000" w:rsidR="00000000" w:rsidRPr="00000000">
        <w:rPr/>
        <w:drawing>
          <wp:inline distB="0" distT="0" distL="0" distR="0">
            <wp:extent cx="7009180" cy="779934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9180" cy="779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75.590551181102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Для начала рассмотрим основные моменты которые нас интересуют из репозитория:</w:t>
      </w:r>
    </w:p>
    <w:p w:rsidR="00000000" w:rsidDel="00000000" w:rsidP="00000000" w:rsidRDefault="00000000" w:rsidRPr="00000000" w14:paraId="0000000C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Папка scripts:</w:t>
      </w:r>
    </w:p>
    <w:p w:rsidR="00000000" w:rsidDel="00000000" w:rsidP="00000000" w:rsidRDefault="00000000" w:rsidRPr="00000000" w14:paraId="0000000D">
      <w:pPr>
        <w:ind w:left="-1276" w:righ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7115175" cy="730567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30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В данной папке scripts как раз находятся «Связи» для взаимодействия этих программ.</w:t>
        <w:br w:type="textWrapping"/>
        <w:t xml:space="preserve">Нам не потребуется вносить какие-либо изменения в эту папку.</w:t>
        <w:br w:type="textWrapping"/>
      </w:r>
    </w:p>
    <w:p w:rsidR="00000000" w:rsidDel="00000000" w:rsidP="00000000" w:rsidRDefault="00000000" w:rsidRPr="00000000" w14:paraId="0000000F">
      <w:pPr>
        <w:rPr>
          <w:shd w:fill="auto" w:val="clear"/>
        </w:rPr>
      </w:pPr>
      <w:r w:rsidDel="00000000" w:rsidR="00000000" w:rsidRPr="00000000">
        <w:rPr>
          <w:rtl w:val="0"/>
        </w:rPr>
        <w:t xml:space="preserve">В OpenLane в главном разделе есть специальный скрипт на языке TCL “flow.tcl”</w:t>
        <w:br w:type="textWrapping"/>
        <w:t xml:space="preserve">в котором реализованно взаимодействие и вызов всех нужных для прохождение полного маршрута действий в правильном порядке. Нам нужно лишь запустить его указав название схемы, и весь маршрут будет проходить самостоятельно. Как запустить  маршрут я расскажу позднее.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0" w:hanging="1410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7139569" cy="5133866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9569" cy="5133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0" w:firstLine="0"/>
        <w:rPr/>
      </w:pPr>
      <w:r w:rsidDel="00000000" w:rsidR="00000000" w:rsidRPr="00000000">
        <w:rPr>
          <w:shd w:fill="auto" w:val="clear"/>
          <w:rtl w:val="0"/>
        </w:rPr>
        <w:t xml:space="preserve">Для начала рассмотрим основные моменты flow.tcl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0" w:firstLine="0"/>
        <w:rPr/>
      </w:pPr>
      <w:r w:rsidDel="00000000" w:rsidR="00000000" w:rsidRPr="00000000">
        <w:rPr>
          <w:rtl w:val="0"/>
        </w:rPr>
        <w:t xml:space="preserve">На данном скриншоте представлены шаги выполнения потока OpenLane:</w:t>
        <w:br w:type="textWrapping"/>
        <w:br w:type="textWrapping"/>
        <w:t xml:space="preserve">synthesis</w:t>
        <w:br w:type="textWrapping"/>
        <w:t xml:space="preserve">floorplan</w:t>
        <w:br w:type="textWrapping"/>
        <w:t xml:space="preserve">placement</w:t>
        <w:br w:type="textWrapping"/>
        <w:t xml:space="preserve">и так далее...</w:t>
      </w:r>
    </w:p>
    <w:p w:rsidR="00000000" w:rsidDel="00000000" w:rsidP="00000000" w:rsidRDefault="00000000" w:rsidRPr="00000000" w14:paraId="0000001C">
      <w:pPr>
        <w:ind w:left="-1417.3228346456694" w:right="0" w:firstLine="1275.0000000000002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143099" cy="622171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099" cy="622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br w:type="textWrapping"/>
      </w:r>
    </w:p>
    <w:p w:rsidR="00000000" w:rsidDel="00000000" w:rsidP="00000000" w:rsidRDefault="00000000" w:rsidRPr="00000000" w14:paraId="00000020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  <w:t xml:space="preserve">В дальнейшем эти “шаги” запускают скрипты из директории OpenLane/scripts и подтягивают различные параметры.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1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249478" cy="6336659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9478" cy="633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br w:type="textWrapping"/>
      </w:r>
    </w:p>
    <w:p w:rsidR="00000000" w:rsidDel="00000000" w:rsidP="00000000" w:rsidRDefault="00000000" w:rsidRPr="00000000" w14:paraId="00000022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>
          <w:b w:val="1"/>
          <w:color w:val="ff0000"/>
        </w:rPr>
      </w:pPr>
      <w:bookmarkStart w:colFirst="0" w:colLast="0" w:name="_heading=h.mw3ansqyadgk" w:id="1"/>
      <w:bookmarkEnd w:id="1"/>
      <w:r w:rsidDel="00000000" w:rsidR="00000000" w:rsidRPr="00000000">
        <w:rPr>
          <w:b w:val="1"/>
          <w:rtl w:val="0"/>
        </w:rPr>
        <w:t xml:space="preserve">Структура папки с дизайном. Файл конфигурации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2426"/>
        </w:tabs>
        <w:ind w:left="0" w:firstLine="0"/>
        <w:rPr/>
      </w:pPr>
      <w:r w:rsidDel="00000000" w:rsidR="00000000" w:rsidRPr="00000000">
        <w:rPr>
          <w:rtl w:val="0"/>
        </w:rPr>
        <w:t xml:space="preserve">Папка с дизайном находится по следующему адресу OpenLane/designs/&lt;Название дизайн&gt;</w:t>
      </w:r>
    </w:p>
    <w:p w:rsidR="00000000" w:rsidDel="00000000" w:rsidP="00000000" w:rsidRDefault="00000000" w:rsidRPr="00000000" w14:paraId="00000027">
      <w:pPr>
        <w:tabs>
          <w:tab w:val="left" w:pos="2426"/>
        </w:tabs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21463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1) В папке с дизайном есть runs, где находятся все данные о завершенном выполнении маршрута.</w:t>
        <w:br w:type="textWrapping"/>
        <w:t xml:space="preserve">финальные результаты OpenLane/designs/usb/runs/&lt;RUN_***&gt;/results/final</w:t>
        <w:br w:type="textWrapping"/>
        <w:t xml:space="preserve">логи и репорты</w:t>
        <w:br w:type="textWrapping"/>
        <w:t xml:space="preserve">OpenLane/designs/spm/runs/&lt;RUN_***&gt;/logs</w:t>
        <w:br w:type="textWrapping"/>
        <w:t xml:space="preserve">OpenLane/designs/spm/runs/&lt;RUN_***&gt;/reports</w:t>
      </w:r>
    </w:p>
    <w:p w:rsidR="00000000" w:rsidDel="00000000" w:rsidP="00000000" w:rsidRDefault="00000000" w:rsidRPr="00000000" w14:paraId="00000029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2) Помимо папки runs где лежат результаты выполнения маршрута, есть папка src где находится rtl описание дизайна</w:t>
      </w:r>
    </w:p>
    <w:p w:rsidR="00000000" w:rsidDel="00000000" w:rsidP="00000000" w:rsidRDefault="00000000" w:rsidRPr="00000000" w14:paraId="0000002A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3) Для того что бы внести корректировки в маршрут(такие как площадь дизайна и тд) необходимо изменять файл конфигурации конкретного дизайн проекта.</w:t>
        <w:br w:type="textWrapping"/>
      </w:r>
      <w:r w:rsidDel="00000000" w:rsidR="00000000" w:rsidRPr="00000000">
        <w:rPr>
          <w:b w:val="1"/>
          <w:rtl w:val="0"/>
        </w:rPr>
        <w:t xml:space="preserve">OpenLane/designs/usb/config.json</w:t>
      </w:r>
      <w:r w:rsidDel="00000000" w:rsidR="00000000" w:rsidRPr="00000000">
        <w:rPr>
          <w:rtl w:val="0"/>
        </w:rPr>
        <w:br w:type="textWrapping"/>
        <w:t xml:space="preserve">Документация по всем параметрам конфигураций:</w:t>
        <w:br w:type="textWrapping"/>
      </w:r>
      <w:r w:rsidDel="00000000" w:rsidR="00000000" w:rsidRPr="00000000">
        <w:rPr>
          <w:b w:val="1"/>
          <w:rtl w:val="0"/>
        </w:rPr>
        <w:t xml:space="preserve">https://openlane.readthedocs.io/en/latest/reference/configuration.html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647700</wp:posOffset>
            </wp:positionV>
            <wp:extent cx="5940115" cy="2273300"/>
            <wp:effectExtent b="0" l="0" r="0" t="0"/>
            <wp:wrapTopAndBottom distB="114300" distT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Style w:val="Title"/>
        <w:rPr>
          <w:b w:val="1"/>
        </w:rPr>
      </w:pPr>
      <w:bookmarkStart w:colFirst="0" w:colLast="0" w:name="_heading=h.n37c1t1838bd" w:id="2"/>
      <w:bookmarkEnd w:id="2"/>
      <w:r w:rsidDel="00000000" w:rsidR="00000000" w:rsidRPr="00000000">
        <w:rPr>
          <w:b w:val="1"/>
          <w:rtl w:val="0"/>
        </w:rPr>
        <w:t xml:space="preserve">Запуск маршрута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Рассмотрим 3 варианта запуска маршрута:</w:t>
      </w:r>
    </w:p>
    <w:p w:rsidR="00000000" w:rsidDel="00000000" w:rsidP="00000000" w:rsidRDefault="00000000" w:rsidRPr="00000000" w14:paraId="0000002D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  <w:t xml:space="preserve">- Обычный автоматический поток</w:t>
        <w:br w:type="textWrapping"/>
        <w:t xml:space="preserve">- Интерактивный режим</w:t>
        <w:br w:type="textWrapping"/>
        <w:t xml:space="preserve">- Регрессионные тесты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1) Запуск автоматического потока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OpenLane запускается с помощью Докера.</w:t>
        <w:br w:type="textWrapping"/>
        <w:t xml:space="preserve">Для начала необходимо перейти в директорию OpenLane:  </w:t>
      </w:r>
    </w:p>
    <w:p w:rsidR="00000000" w:rsidDel="00000000" w:rsidP="00000000" w:rsidRDefault="00000000" w:rsidRPr="00000000" w14:paraId="0000002F">
      <w:pPr>
        <w:rPr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cd /Deskt</w:t>
      </w:r>
      <w:r w:rsidDel="00000000" w:rsidR="00000000" w:rsidRPr="00000000">
        <w:rPr>
          <w:b w:val="1"/>
          <w:rtl w:val="0"/>
        </w:rPr>
        <w:t xml:space="preserve">op/</w:t>
      </w:r>
      <w:r w:rsidDel="00000000" w:rsidR="00000000" w:rsidRPr="00000000">
        <w:rPr>
          <w:b w:val="1"/>
          <w:shd w:fill="auto" w:val="clear"/>
          <w:rtl w:val="0"/>
        </w:rPr>
        <w:t xml:space="preserve">OpenLane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Теперь нужно запустить OpenLane:</w:t>
      </w:r>
    </w:p>
    <w:p w:rsidR="00000000" w:rsidDel="00000000" w:rsidP="00000000" w:rsidRDefault="00000000" w:rsidRPr="00000000" w14:paraId="00000031">
      <w:pPr>
        <w:rPr>
          <w:b w:val="1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make mount</w:t>
      </w:r>
    </w:p>
    <w:p w:rsidR="00000000" w:rsidDel="00000000" w:rsidP="00000000" w:rsidRDefault="00000000" w:rsidRPr="00000000" w14:paraId="00000032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163753" cy="468399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3753" cy="46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После того как мы запустили OpenLane в контейнере мы можем приступить к практической части.</w:t>
        <w:br w:type="textWrapping"/>
        <w:t xml:space="preserve">Выше мы уже упоминали про flow.tcl теперь рассмотрим как его запускать. Важно запустить flow.tcl именно в контейнере OpenLane.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br w:type="textWrapping"/>
        <w:t xml:space="preserve">Пример:</w:t>
      </w:r>
      <w:r w:rsidDel="00000000" w:rsidR="00000000" w:rsidRPr="00000000">
        <w:rPr>
          <w:b w:val="1"/>
          <w:shd w:fill="auto" w:val="clear"/>
          <w:rtl w:val="0"/>
        </w:rPr>
        <w:t xml:space="preserve"> ./flow.tcl -design *Название дизайна*</w:t>
      </w:r>
      <w:r w:rsidDel="00000000" w:rsidR="00000000" w:rsidRPr="00000000">
        <w:rPr>
          <w:shd w:fill="auto" w:val="clear"/>
          <w:rtl w:val="0"/>
        </w:rPr>
        <w:br w:type="textWrapping"/>
        <w:br w:type="textWrapping"/>
        <w:t xml:space="preserve">Всё. Больше делать ничего не нужно, он сам полностью завершит маршрут. (Либо вывалится из за ошибки)</w:t>
        <w:br w:type="textWrapping"/>
        <w:br w:type="textWrapping"/>
      </w:r>
      <w:r w:rsidDel="00000000" w:rsidR="00000000" w:rsidRPr="00000000">
        <w:rPr>
          <w:b w:val="1"/>
          <w:shd w:fill="auto" w:val="clear"/>
          <w:rtl w:val="0"/>
        </w:rPr>
        <w:t xml:space="preserve">2) </w:t>
      </w:r>
      <w:r w:rsidDel="00000000" w:rsidR="00000000" w:rsidRPr="00000000">
        <w:rPr>
          <w:b w:val="1"/>
          <w:rtl w:val="0"/>
        </w:rPr>
        <w:t xml:space="preserve">Интерактивный режим.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Для начала перейдем в директорию OpenLane если вы ещё не там, а потом запустим OpenLane в контейнере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 /Desktop/OpenLane</w:t>
        <w:br w:type="textWrapping"/>
        <w:t xml:space="preserve">make mount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  <w:t xml:space="preserve">Помимо автоматического прохождения полного маршрута, можно самим поэтапно запускать все скрипты в flow.tcl.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./flow.tcl -interactive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Далее после запуска интерактивного режима нужно выбрать дизайн который будет запускаться:</w:t>
        <w:br w:type="textWrapping"/>
      </w:r>
      <w:r w:rsidDel="00000000" w:rsidR="00000000" w:rsidRPr="00000000">
        <w:rPr>
          <w:b w:val="1"/>
          <w:rtl w:val="0"/>
        </w:rPr>
        <w:t xml:space="preserve">prep -design &lt;design&gt; -tag &lt;tag&gt; -config &lt;config&gt; -init_design_config -overwrite</w:t>
      </w:r>
      <w:r w:rsidDel="00000000" w:rsidR="00000000" w:rsidRPr="00000000">
        <w:rPr>
          <w:rtl w:val="0"/>
        </w:rPr>
        <w:br w:type="textWrapping"/>
        <w:t xml:space="preserve">Важно указать дизайн, остальные параметры можно не указывать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  <w:t xml:space="preserve">Пример:</w:t>
        <w:br w:type="textWrapping"/>
      </w:r>
      <w:r w:rsidDel="00000000" w:rsidR="00000000" w:rsidRPr="00000000">
        <w:rPr>
          <w:b w:val="1"/>
          <w:rtl w:val="0"/>
        </w:rPr>
        <w:t xml:space="preserve">prep -design usb</w:t>
        <w:br w:type="textWrapping"/>
        <w:br w:type="textWrapping"/>
        <w:t xml:space="preserve">run_synthesis</w:t>
        <w:br w:type="textWrapping"/>
        <w:t xml:space="preserve">run_floorplan</w:t>
        <w:br w:type="textWrapping"/>
        <w:t xml:space="preserve">run_placement</w:t>
        <w:br w:type="textWrapping"/>
        <w:t xml:space="preserve">run_cts</w:t>
        <w:br w:type="textWrapping"/>
        <w:t xml:space="preserve">run_routing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write_powered_verilog </w:t>
      </w:r>
      <w:r w:rsidDel="00000000" w:rsidR="00000000" w:rsidRPr="00000000">
        <w:rPr>
          <w:highlight w:val="yellow"/>
          <w:rtl w:val="0"/>
        </w:rPr>
        <w:t xml:space="preserve">с последующим set_netlist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$::env(routing_logs)/$::env(DESIGN_NAME).powered.v</w:t>
      </w:r>
    </w:p>
    <w:p w:rsidR="00000000" w:rsidDel="00000000" w:rsidP="00000000" w:rsidRDefault="00000000" w:rsidRPr="00000000" w14:paraId="0000003C">
      <w:pPr>
        <w:rPr>
          <w:shd w:fill="auto" w:val="clear"/>
        </w:rPr>
      </w:pPr>
      <w:r w:rsidDel="00000000" w:rsidR="00000000" w:rsidRPr="00000000">
        <w:rPr>
          <w:b w:val="1"/>
          <w:rtl w:val="0"/>
        </w:rPr>
        <w:t xml:space="preserve">run_magic</w:t>
        <w:br w:type="textWrapping"/>
        <w:t xml:space="preserve">run_magic_spice_export</w:t>
        <w:br w:type="textWrapping"/>
        <w:t xml:space="preserve">run_magic_drc</w:t>
        <w:br w:type="textWrapping"/>
        <w:t xml:space="preserve">run_lvs</w:t>
        <w:br w:type="textWrapping"/>
        <w:t xml:space="preserve">run_antenna_check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Более подробно про интерактивный режим и команды можно посмотреть в следующих ссылках:</w:t>
      </w:r>
      <w:r w:rsidDel="00000000" w:rsidR="00000000" w:rsidRPr="00000000">
        <w:rPr>
          <w:shd w:fill="auto" w:val="clear"/>
          <w:rtl w:val="0"/>
        </w:rPr>
        <w:br w:type="textWrapping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https://openlane.readthedocs.io/en/latest/reference/interactive_mode.html</w:t>
        </w:r>
      </w:hyperlink>
      <w:r w:rsidDel="00000000" w:rsidR="00000000" w:rsidRPr="00000000">
        <w:rPr>
          <w:rtl w:val="0"/>
        </w:rPr>
        <w:br w:type="textWrapping"/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https://openlane.readthedocs.io/en/latest/reference/openlane_commands.html</w:t>
        </w:r>
      </w:hyperlink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3) Регрессионный запуск.</w:t>
      </w:r>
      <w:r w:rsidDel="00000000" w:rsidR="00000000" w:rsidRPr="00000000">
        <w:rPr>
          <w:rtl w:val="0"/>
        </w:rPr>
        <w:br w:type="textWrapping"/>
        <w:br w:type="textWrapping"/>
        <w:t xml:space="preserve">У этого метода есть 2 применения которые можно совмещать:</w:t>
        <w:br w:type="textWrapping"/>
        <w:t xml:space="preserve">- Одновременный запуск маршрута с несколькими дизайнами параллельно</w:t>
        <w:br w:type="textWrapping"/>
        <w:t xml:space="preserve">- Исследование дизайна с различными изменениями в конфигурационных параметрах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Для начала перейдем в директорию OpenLane если вы ещё не там, а потом запустим OpenLane в контейнере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cd /Desktop/OpenLane</w:t>
        <w:br w:type="textWrapping"/>
        <w:t xml:space="preserve">make mount</w:t>
        <w:br w:type="textWrapping"/>
        <w:br w:type="textWrapping"/>
      </w:r>
      <w:r w:rsidDel="00000000" w:rsidR="00000000" w:rsidRPr="00000000">
        <w:rPr>
          <w:rtl w:val="0"/>
        </w:rPr>
        <w:t xml:space="preserve">Запуск 4-х дизайнов в 4 потока (параллельно):</w:t>
      </w:r>
      <w:r w:rsidDel="00000000" w:rsidR="00000000" w:rsidRPr="00000000">
        <w:rPr>
          <w:b w:val="1"/>
          <w:rtl w:val="0"/>
        </w:rPr>
        <w:br w:type="textWrapping"/>
        <w:t xml:space="preserve">python3 run_designs.py --threads 4 spm xtea s44 usb</w:t>
        <w:br w:type="textWrapping"/>
        <w:br w:type="textWrapping"/>
      </w:r>
      <w:r w:rsidDel="00000000" w:rsidR="00000000" w:rsidRPr="00000000">
        <w:rPr>
          <w:rtl w:val="0"/>
        </w:rPr>
        <w:t xml:space="preserve">Запуск 2-х дизайнов в 2 потока с использованием специального конфигурационного файла</w:t>
        <w:br w:type="textWrapping"/>
      </w:r>
      <w:r w:rsidDel="00000000" w:rsidR="00000000" w:rsidRPr="00000000">
        <w:rPr>
          <w:b w:val="1"/>
          <w:rtl w:val="0"/>
        </w:rPr>
        <w:t xml:space="preserve">python3 run_designs.py --regression ./scripts/config/regression.config --threads 2 spm xtea</w:t>
        <w:br w:type="textWrapping"/>
      </w:r>
      <w:r w:rsidDel="00000000" w:rsidR="00000000" w:rsidRPr="00000000">
        <w:rPr>
          <w:rtl w:val="0"/>
        </w:rPr>
        <w:br w:type="textWrapping"/>
        <w:t xml:space="preserve">Данные параметры конфигурационного файла добавляются к основному который лежит в папке с дизайном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rPr/>
      </w:pPr>
      <w:bookmarkStart w:colFirst="0" w:colLast="0" w:name="_heading=h.w6yj4mvjb4p4" w:id="3"/>
      <w:bookmarkEnd w:id="3"/>
      <w:r w:rsidDel="00000000" w:rsidR="00000000" w:rsidRPr="00000000">
        <w:rPr>
          <w:b w:val="1"/>
          <w:rtl w:val="0"/>
        </w:rPr>
        <w:t xml:space="preserve">Добавление своего дизайна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Для того чтобы добавить свой дизайн достаточно запустить OpenLane и прописать команду:</w:t>
        <w:br w:type="textWrapping"/>
      </w:r>
      <w:r w:rsidDel="00000000" w:rsidR="00000000" w:rsidRPr="00000000">
        <w:rPr>
          <w:b w:val="1"/>
          <w:rtl w:val="0"/>
        </w:rPr>
        <w:t xml:space="preserve">./flow.tcl -design &lt;design_name&gt; -init_design_config -add_to_designs</w:t>
      </w:r>
      <w:r w:rsidDel="00000000" w:rsidR="00000000" w:rsidRPr="00000000">
        <w:rPr>
          <w:rtl w:val="0"/>
        </w:rPr>
        <w:br w:type="textWrapping"/>
        <w:t xml:space="preserve">Пример:</w:t>
      </w:r>
    </w:p>
    <w:p w:rsidR="00000000" w:rsidDel="00000000" w:rsidP="00000000" w:rsidRDefault="00000000" w:rsidRPr="00000000" w14:paraId="00000056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173278" cy="428787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3278" cy="428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Мы создали дизайн с названием test, и создали для него базовый конфигурационный файл config.json, далее необходимо загрузить свой verilog файл в папку src.</w:t>
      </w:r>
    </w:p>
    <w:p w:rsidR="00000000" w:rsidDel="00000000" w:rsidP="00000000" w:rsidRDefault="00000000" w:rsidRPr="00000000" w14:paraId="00000058">
      <w:pPr>
        <w:ind w:left="-708.6614173228347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0115" cy="17399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Какие сложности у меня возникли при добавлении своего дизайна: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543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Не был найден модуль test. Необходимо либо подправить название модуля в верилоге, либо подправить config.json, и там прописать  название верилог файла которое будет совпадать с модулем внутри. Пример как выглядит в конфиге usb:</w:t>
      </w:r>
      <w:r w:rsidDel="00000000" w:rsidR="00000000" w:rsidRPr="00000000">
        <w:rPr/>
        <w:drawing>
          <wp:inline distB="114300" distT="114300" distL="114300" distR="114300">
            <wp:extent cx="4305300" cy="1628775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Далее появилась следующая проблема:</w:t>
      </w:r>
    </w:p>
    <w:p w:rsidR="00000000" w:rsidDel="00000000" w:rsidP="00000000" w:rsidRDefault="00000000" w:rsidRPr="00000000" w14:paraId="0000005E">
      <w:pPr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7023728" cy="185812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3728" cy="185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pitch 6.4400 был мал и просит выставить от 6.6. Для этого мы в конфигурационном файле дописываем пару параметров.</w:t>
        <w:br w:type="textWrapping"/>
        <w:t xml:space="preserve">“FP_PDN_VPITCH”: “7”,</w:t>
        <w:br w:type="textWrapping"/>
        <w:t xml:space="preserve">“FP_PDN_VPITCH”: “7”,</w:t>
        <w:br w:type="textWrapping"/>
        <w:br w:type="textWrapping"/>
        <w:t xml:space="preserve">Снова возникла проблема, на этот раз просит выставить другую плотность размещения ячеек:</w:t>
      </w:r>
    </w:p>
    <w:p w:rsidR="00000000" w:rsidDel="00000000" w:rsidP="00000000" w:rsidRDefault="00000000" w:rsidRPr="00000000" w14:paraId="00000060">
      <w:pPr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7063400" cy="324991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3400" cy="3249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br w:type="textWrapping"/>
        <w:t xml:space="preserve">Выставил плотность размещения, но всё равно не удалось завершить размещения, для этого меняем “FP_CORE_UTIL”, т.к. по умолчанию он 50%, поставим 30%</w:t>
        <w:br w:type="textWrapping"/>
        <w:t xml:space="preserve">“PL_TARGET_DENSITY”: 0.61,</w:t>
        <w:br w:type="textWrapping"/>
        <w:t xml:space="preserve">“FP_CORE_UTIL”: 30,</w:t>
        <w:br w:type="textWrapping"/>
        <w:t xml:space="preserve">После этого поток успешно завершился, и я смог визуализировать gds файл: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1219200</wp:posOffset>
            </wp:positionV>
            <wp:extent cx="6135053" cy="3216611"/>
            <wp:effectExtent b="0" l="0" r="0" t="0"/>
            <wp:wrapTopAndBottom distB="114300" distT="11430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053" cy="3216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pStyle w:val="Title"/>
        <w:tabs>
          <w:tab w:val="left" w:pos="2426"/>
        </w:tabs>
        <w:rPr/>
      </w:pPr>
      <w:bookmarkStart w:colFirst="0" w:colLast="0" w:name="_heading=h.bxt5q63sxuv0" w:id="4"/>
      <w:bookmarkEnd w:id="4"/>
      <w:r w:rsidDel="00000000" w:rsidR="00000000" w:rsidRPr="00000000">
        <w:rPr>
          <w:b w:val="1"/>
          <w:rtl w:val="0"/>
        </w:rPr>
        <w:t xml:space="preserve">Практическая часть выполнения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2426"/>
        </w:tabs>
        <w:rPr>
          <w:b w:val="1"/>
        </w:rPr>
      </w:pPr>
      <w:r w:rsidDel="00000000" w:rsidR="00000000" w:rsidRPr="00000000">
        <w:rPr>
          <w:rtl w:val="0"/>
        </w:rPr>
        <w:t xml:space="preserve">1) Визуализируем топологию usb которую мы получили запустив маршрут в самом начале, заменив</w:t>
      </w:r>
      <w:r w:rsidDel="00000000" w:rsidR="00000000" w:rsidRPr="00000000">
        <w:rPr>
          <w:rtl w:val="0"/>
        </w:rPr>
        <w:t xml:space="preserve"> &lt;RUN_***&gt; на свой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make mount</w:t>
      </w:r>
    </w:p>
    <w:p w:rsidR="00000000" w:rsidDel="00000000" w:rsidP="00000000" w:rsidRDefault="00000000" w:rsidRPr="00000000" w14:paraId="00000064">
      <w:pPr>
        <w:tabs>
          <w:tab w:val="left" w:pos="2426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klayout -e -nn $PDK_ROOT/sky130A/libs.tech/klayout/tech/sky130A.lyt \</w:t>
        <w:br w:type="textWrapping"/>
        <w:t xml:space="preserve">-l $PDK_ROOT/sky130A/libs.tech/klayout/tech/sky130A.lyp \</w:t>
        <w:br w:type="textWrapping"/>
        <w:t xml:space="preserve">./designs/usb/runs/&lt;RUN_***&gt;/results/final/gds/usb.gds</w:t>
      </w:r>
    </w:p>
    <w:p w:rsidR="00000000" w:rsidDel="00000000" w:rsidP="00000000" w:rsidRDefault="00000000" w:rsidRPr="00000000" w14:paraId="00000065">
      <w:pPr>
        <w:tabs>
          <w:tab w:val="left" w:pos="2426"/>
        </w:tabs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6990326" cy="5568092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326" cy="556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Визуально осматриваем и видим большое количество белого, Это не логические ячейки, там находятся decap ячейки и тд для заполнения пустот.</w:t>
      </w:r>
    </w:p>
    <w:p w:rsidR="00000000" w:rsidDel="00000000" w:rsidP="00000000" w:rsidRDefault="00000000" w:rsidRPr="00000000" w14:paraId="00000067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Decap - Ячейки представляют собой временные конденсаторы, добавленные в конструкцию между шинами питания и заземления для противодействия функциональным сбоям из-за динамического IR drop.</w:t>
      </w:r>
    </w:p>
    <w:p w:rsidR="00000000" w:rsidDel="00000000" w:rsidP="00000000" w:rsidRDefault="00000000" w:rsidRPr="00000000" w14:paraId="00000068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2) Попробуем сжать нашу схему usb, путём внесения изменений в конфигурационный файл схемы.</w:t>
        <w:br w:type="textWrapping"/>
        <w:br w:type="textWrapping"/>
        <w:t xml:space="preserve">Для этого будем использовать 2 параметра</w:t>
      </w:r>
    </w:p>
    <w:p w:rsidR="00000000" w:rsidDel="00000000" w:rsidP="00000000" w:rsidRDefault="00000000" w:rsidRPr="00000000" w14:paraId="00000069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“FP_CORE_UTIL”</w:t>
        <w:br w:type="textWrapping"/>
        <w:t xml:space="preserve">“PL_TARGET_DENSITY”</w:t>
        <w:br w:type="textWrapping"/>
        <w:t xml:space="preserve">Первый отвечает за процент использования площади ядра, второй за плотность размещения ячеек. Более подробно про них можете прочесть в документации:</w:t>
        <w:br w:type="textWrapping"/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https://openlane.readthedocs.io/en/latest/reference/configuration.html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2426"/>
        </w:tabs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6986264" cy="3003441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264" cy="300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2426"/>
        </w:tabs>
        <w:rPr/>
      </w:pPr>
      <w:r w:rsidDel="00000000" w:rsidR="00000000" w:rsidRPr="00000000">
        <w:rPr>
          <w:rtl w:val="0"/>
        </w:rPr>
        <w:t xml:space="preserve">Ваша задача попробовать подобрать эти параметры чтобы схема меньше тратила свободного пространства и была плотнее. Визуализировать и посмотреть через программу klayout. </w:t>
      </w:r>
    </w:p>
    <w:p w:rsidR="00000000" w:rsidDel="00000000" w:rsidP="00000000" w:rsidRDefault="00000000" w:rsidRPr="00000000" w14:paraId="0000006C">
      <w:pPr>
        <w:tabs>
          <w:tab w:val="left" w:pos="2426"/>
        </w:tabs>
        <w:rPr>
          <w:b w:val="0"/>
          <w:shd w:fill="auto" w:val="clear"/>
        </w:rPr>
      </w:pPr>
      <w:r w:rsidDel="00000000" w:rsidR="00000000" w:rsidRPr="00000000">
        <w:rPr>
          <w:rtl w:val="0"/>
        </w:rPr>
        <w:t xml:space="preserve">p.s. при большом значении “PL_TARGET_DENSITY” время трассировки существенно увеличивается, поэтому начинайте постепенно увеличивать.</w:t>
        <w:br w:type="textWrapping"/>
        <w:br w:type="textWrapping"/>
        <w:br w:type="textWrapping"/>
        <w:t xml:space="preserve">3) Загрузить свой дизайн в OpenLane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2426"/>
        </w:tabs>
        <w:rPr>
          <w:b w:val="0"/>
          <w:shd w:fill="auto" w:val="clear"/>
        </w:rPr>
      </w:pPr>
      <w:r w:rsidDel="00000000" w:rsidR="00000000" w:rsidRPr="00000000">
        <w:rPr>
          <w:b w:val="0"/>
          <w:shd w:fill="auto" w:val="clear"/>
          <w:rtl w:val="0"/>
        </w:rPr>
        <w:br w:type="textWrapping"/>
        <w:br w:type="textWrapping"/>
        <w:br w:type="textWrapping"/>
      </w:r>
    </w:p>
    <w:sectPr>
      <w:pgSz w:h="16838" w:w="11906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634">
    <w:name w:val="Heading 1"/>
    <w:basedOn w:val="810"/>
    <w:next w:val="810"/>
    <w:link w:val="635"/>
    <w:uiPriority w:val="9"/>
    <w:qFormat w:val="1"/>
    <w:pPr>
      <w:keepNext w:val="1"/>
      <w:keepLines w:val="1"/>
      <w:spacing w:after="200" w:before="480"/>
      <w:outlineLvl w:val="0"/>
    </w:pPr>
    <w:rPr>
      <w:rFonts w:ascii="Arial" w:cs="Arial" w:eastAsia="Arial" w:hAnsi="Arial"/>
      <w:sz w:val="40"/>
      <w:szCs w:val="40"/>
    </w:rPr>
  </w:style>
  <w:style w:type="character" w:styleId="635">
    <w:name w:val="Heading 1 Char"/>
    <w:link w:val="634"/>
    <w:uiPriority w:val="9"/>
    <w:rPr>
      <w:rFonts w:ascii="Arial" w:cs="Arial" w:eastAsia="Arial" w:hAnsi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ascii="Arial" w:cs="Arial" w:eastAsia="Arial" w:hAnsi="Arial"/>
      <w:sz w:val="34"/>
    </w:rPr>
  </w:style>
  <w:style w:type="character" w:styleId="637">
    <w:name w:val="Heading 2 Char"/>
    <w:link w:val="636"/>
    <w:uiPriority w:val="9"/>
    <w:rPr>
      <w:rFonts w:ascii="Arial" w:cs="Arial" w:eastAsia="Arial" w:hAnsi="Arial"/>
      <w:sz w:val="34"/>
    </w:rPr>
  </w:style>
  <w:style w:type="paragraph" w:styleId="638">
    <w:name w:val="Heading 3"/>
    <w:basedOn w:val="810"/>
    <w:next w:val="810"/>
    <w:link w:val="639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character" w:styleId="639">
    <w:name w:val="Heading 3 Char"/>
    <w:link w:val="638"/>
    <w:uiPriority w:val="9"/>
    <w:rPr>
      <w:rFonts w:ascii="Arial" w:cs="Arial" w:eastAsia="Arial" w:hAnsi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character" w:styleId="641">
    <w:name w:val="Heading 4 Char"/>
    <w:link w:val="640"/>
    <w:uiPriority w:val="9"/>
    <w:rPr>
      <w:rFonts w:ascii="Arial" w:cs="Arial" w:eastAsia="Arial" w:hAnsi="Arial"/>
      <w:b w:val="1"/>
      <w:bCs w:val="1"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character" w:styleId="643">
    <w:name w:val="Heading 5 Char"/>
    <w:link w:val="642"/>
    <w:uiPriority w:val="9"/>
    <w:rPr>
      <w:rFonts w:ascii="Arial" w:cs="Arial" w:eastAsia="Arial" w:hAnsi="Arial"/>
      <w:b w:val="1"/>
      <w:bCs w:val="1"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character" w:styleId="645">
    <w:name w:val="Heading 6 Char"/>
    <w:link w:val="644"/>
    <w:uiPriority w:val="9"/>
    <w:rPr>
      <w:rFonts w:ascii="Arial" w:cs="Arial" w:eastAsia="Arial" w:hAnsi="Arial"/>
      <w:b w:val="1"/>
      <w:bCs w:val="1"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647">
    <w:name w:val="Heading 7 Char"/>
    <w:link w:val="646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character" w:styleId="649">
    <w:name w:val="Heading 8 Char"/>
    <w:link w:val="648"/>
    <w:uiPriority w:val="9"/>
    <w:rPr>
      <w:rFonts w:ascii="Arial" w:cs="Arial" w:eastAsia="Arial" w:hAnsi="Arial"/>
      <w:i w:val="1"/>
      <w:iCs w:val="1"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651">
    <w:name w:val="Heading 9 Char"/>
    <w:link w:val="650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 w:val="1"/>
    <w:pPr>
      <w:spacing w:after="200" w:before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 w:val="1"/>
    <w:pPr>
      <w:ind w:left="720" w:right="720"/>
    </w:pPr>
    <w:rPr>
      <w:i w:val="1"/>
    </w:rPr>
  </w:style>
  <w:style w:type="character" w:styleId="657">
    <w:name w:val="Quote Char"/>
    <w:link w:val="656"/>
    <w:uiPriority w:val="29"/>
    <w:rPr>
      <w:i w:val="1"/>
    </w:rPr>
  </w:style>
  <w:style w:type="paragraph" w:styleId="658">
    <w:name w:val="Intense Quote"/>
    <w:basedOn w:val="810"/>
    <w:next w:val="810"/>
    <w:link w:val="659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  <w:contextualSpacing w:val="0"/>
    </w:pPr>
    <w:rPr>
      <w:i w:val="1"/>
    </w:rPr>
  </w:style>
  <w:style w:type="character" w:styleId="659">
    <w:name w:val="Intense Quote Char"/>
    <w:link w:val="658"/>
    <w:uiPriority w:val="30"/>
    <w:rPr>
      <w:i w:val="1"/>
    </w:rPr>
  </w:style>
  <w:style w:type="paragraph" w:styleId="660">
    <w:name w:val="Header"/>
    <w:basedOn w:val="810"/>
    <w:link w:val="661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debf6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debf6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debf6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debf6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ebf6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ebf6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67a4d8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f4b185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a5a5a5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ffd864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472c4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70ad47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debf6" w:themeColor="accent1" w:themeFill="accent1" w:themeFillTint="000034" w:themeTint="000034" w:val="clear"/>
    </w:tblPr>
    <w:tblStylePr w:type="band1Horz">
      <w:tcPr>
        <w:shd w:color="ffffff" w:fill="b4d2eb" w:themeColor="accent1" w:themeFill="accent1" w:themeFillTint="000075" w:themeTint="000075" w:val="clear"/>
      </w:tcPr>
    </w:tblStylePr>
    <w:tblStylePr w:type="band1Vert">
      <w:tcPr>
        <w:shd w:color="ffffff" w:fill="b4d2eb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5b9bd5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5b9bd5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5b9bd5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5b9bd5" w:themeColor="accent1" w:themeFill="accent1" w:val="clear"/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be5d6" w:themeColor="accent2" w:themeFill="accent2" w:themeFillTint="000032" w:themeTint="000032" w:val="clear"/>
    </w:tblPr>
    <w:tblStylePr w:type="band1Horz">
      <w:tcPr>
        <w:shd w:color="ffffff" w:fill="f6c3a1" w:themeColor="accent2" w:themeFill="accent2" w:themeFillTint="000075" w:themeTint="000075" w:val="clear"/>
      </w:tcPr>
    </w:tblStylePr>
    <w:tblStylePr w:type="band1Vert">
      <w:tcPr>
        <w:shd w:color="ffffff" w:fill="f6c3a1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ed7d31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ed7d31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ed7d31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ed7d31" w:themeColor="accent2" w:themeFill="accent2" w:val="clear"/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deded" w:themeColor="accent3" w:themeFill="accent3" w:themeFillTint="000034" w:themeTint="000034" w:val="clear"/>
    </w:tblPr>
    <w:tblStylePr w:type="band1Horz">
      <w:tcPr>
        <w:shd w:color="ffffff" w:fill="d6d6d6" w:themeColor="accent3" w:themeFill="accent3" w:themeFillTint="000075" w:themeTint="000075" w:val="clear"/>
      </w:tcPr>
    </w:tblStylePr>
    <w:tblStylePr w:type="band1Vert">
      <w:tcPr>
        <w:shd w:color="ffffff" w:fill="d6d6d6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a5a5a5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a5a5a5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a5a5a5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a5a5a5" w:themeColor="accent3" w:themeFill="accent3" w:val="clear"/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ef2cb" w:themeColor="accent4" w:themeFill="accent4" w:themeFillTint="000034" w:themeTint="000034" w:val="clear"/>
    </w:tblPr>
    <w:tblStylePr w:type="band1Horz">
      <w:tcPr>
        <w:shd w:color="ffffff" w:fill="fee189" w:themeColor="accent4" w:themeFill="accent4" w:themeFillTint="000075" w:themeTint="000075" w:val="clear"/>
      </w:tcPr>
    </w:tblStylePr>
    <w:tblStylePr w:type="band1Vert">
      <w:tcPr>
        <w:shd w:color="ffffff" w:fill="fee189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c000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c000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c000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c000" w:themeColor="accent4" w:themeFill="accent4" w:val="clear"/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9e2f2" w:themeColor="accent5" w:themeFill="accent5" w:themeFillTint="000034" w:themeTint="000034" w:val="clear"/>
    </w:tblPr>
    <w:tblStylePr w:type="band1Horz">
      <w:tcPr>
        <w:shd w:color="ffffff" w:fill="aabfe3" w:themeColor="accent5" w:themeFill="accent5" w:themeFillTint="000075" w:themeTint="000075" w:val="clear"/>
      </w:tcPr>
    </w:tblStylePr>
    <w:tblStylePr w:type="band1Vert">
      <w:tcPr>
        <w:shd w:color="ffffff" w:fill="aabfe3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472c4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472c4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472c4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472c4" w:themeColor="accent5" w:themeFill="accent5" w:val="clear"/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2efd8" w:themeColor="accent6" w:themeFill="accent6" w:themeFillTint="000034" w:themeTint="000034" w:val="clear"/>
    </w:tblPr>
    <w:tblStylePr w:type="band1Horz">
      <w:tcPr>
        <w:shd w:color="ffffff" w:fill="bedba8" w:themeColor="accent6" w:themeFill="accent6" w:themeFillTint="000075" w:themeTint="000075" w:val="clear"/>
      </w:tcPr>
    </w:tblStylePr>
    <w:tblStylePr w:type="band1Vert">
      <w:tcPr>
        <w:shd w:color="ffffff" w:fill="bedb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70ad47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70ad47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70ad47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70ad47" w:themeColor="accent6" w:themeFill="accent6" w:val="clear"/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debf6" w:themeColor="accent1" w:themeFill="accent1" w:themeFillTint="000034" w:themeTint="000034" w:val="clear"/>
      </w:tcPr>
    </w:tblStylePr>
    <w:tblStylePr w:type="band1Vert">
      <w:tcPr>
        <w:shd w:color="ffffff" w:fill="ddebf6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17bba" w:themeColor="accent1" w:themeShade="000095" w:themeTint="000080"/>
      </w:rPr>
    </w:tblStylePr>
    <w:tblStylePr w:type="firstRow">
      <w:rPr>
        <w:b w:val="1"/>
        <w:color w:val="317bba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17bba" w:themeColor="accent1" w:themeShade="000095" w:themeTint="000080"/>
      </w:rPr>
    </w:tblStylePr>
    <w:tblStylePr w:type="lastRow">
      <w:rPr>
        <w:b w:val="1"/>
        <w:color w:val="317bba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1Vert">
      <w:tcPr>
        <w:shd w:color="ffffff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c95712" w:themeColor="accent2" w:themeShade="000095" w:themeTint="000097"/>
      </w:rPr>
    </w:tblStylePr>
    <w:tblStylePr w:type="firstRow">
      <w:rPr>
        <w:b w:val="1"/>
        <w:color w:val="c95712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c95712" w:themeColor="accent2" w:themeShade="000095" w:themeTint="000097"/>
      </w:rPr>
    </w:tblStylePr>
    <w:tblStylePr w:type="lastRow">
      <w:rPr>
        <w:b w:val="1"/>
        <w:color w:val="c95712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1Vert">
      <w:tcPr>
        <w:shd w:color="ffffff" w:fill="edede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606060" w:themeColor="accent3" w:themeShade="000095" w:themeTint="0000FE"/>
      </w:rPr>
    </w:tblStylePr>
    <w:tblStylePr w:type="firstRow">
      <w:rPr>
        <w:b w:val="1"/>
        <w:color w:val="606060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606060" w:themeColor="accent3" w:themeShade="000095" w:themeTint="0000FE"/>
      </w:rPr>
    </w:tblStylePr>
    <w:tblStylePr w:type="lastRow">
      <w:rPr>
        <w:b w:val="1"/>
        <w:color w:val="606060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1Vert">
      <w:tcPr>
        <w:shd w:color="ffffff" w:fill="fef2cb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cd9600" w:themeColor="accent4" w:themeShade="000095" w:themeTint="00009A"/>
      </w:rPr>
    </w:tblStylePr>
    <w:tblStylePr w:type="firstRow">
      <w:rPr>
        <w:b w:val="1"/>
        <w:color w:val="cd9600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cd9600" w:themeColor="accent4" w:themeShade="000095" w:themeTint="00009A"/>
      </w:rPr>
    </w:tblStylePr>
    <w:tblStylePr w:type="lastRow">
      <w:rPr>
        <w:b w:val="1"/>
        <w:color w:val="cd9600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1Vert">
      <w:tcPr>
        <w:shd w:color="ffffff" w:fill="d9e2f2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54374" w:themeColor="accent5" w:themeShade="000095"/>
      </w:rPr>
    </w:tblStylePr>
    <w:tblStylePr w:type="firstRow">
      <w:rPr>
        <w:b w:val="1"/>
        <w:color w:val="254374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54374" w:themeColor="accent5" w:themeShade="000095"/>
      </w:rPr>
    </w:tblStylePr>
    <w:tblStylePr w:type="lastRow">
      <w:rPr>
        <w:b w:val="1"/>
        <w:color w:val="254374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1Vert">
      <w:tcPr>
        <w:shd w:color="ffffff" w:fill="e2ef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54374" w:themeColor="accent5" w:themeShade="000095"/>
      </w:rPr>
    </w:tblStylePr>
    <w:tblStylePr w:type="firstRow">
      <w:rPr>
        <w:b w:val="1"/>
        <w:color w:val="254374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54374" w:themeColor="accent5" w:themeShade="000095"/>
      </w:rPr>
    </w:tblStylePr>
    <w:tblStylePr w:type="lastRow">
      <w:rPr>
        <w:b w:val="1"/>
        <w:color w:val="254374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17bba" w:themeColor="accent1" w:themeShade="000095" w:themeTint="000080"/>
        <w:sz w:val="22"/>
      </w:rPr>
      <w:tcPr>
        <w:shd w:color="ffffff" w:fill="ddebf6" w:themeColor="accent1" w:themeFill="accent1" w:themeFillTint="000034" w:themeTint="000034" w:val="clear"/>
      </w:tcPr>
    </w:tblStylePr>
    <w:tblStylePr w:type="band1Vert">
      <w:tcPr>
        <w:shd w:color="ffffff" w:fill="ddebf6" w:themeColor="accent1" w:themeFill="accent1" w:themeFillTint="000034" w:themeTint="000034" w:val="clear"/>
      </w:tcPr>
    </w:tblStylePr>
    <w:tblStylePr w:type="band2Horz">
      <w:rPr>
        <w:rFonts w:ascii="Arial" w:hAnsi="Arial"/>
        <w:color w:val="317bba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/>
      </w:tcPr>
    </w:tblStylePr>
    <w:tblStylePr w:type="firstRow">
      <w:rPr>
        <w:rFonts w:ascii="Arial" w:hAnsi="Arial"/>
        <w:b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317bba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c95712" w:themeColor="accent2" w:themeShade="000095" w:themeTint="000097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1Vert">
      <w:tcPr>
        <w:shd w:color="ffffff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c95712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/>
      </w:tcPr>
    </w:tblStylePr>
    <w:tblStylePr w:type="firstRow">
      <w:rPr>
        <w:rFonts w:ascii="Arial" w:hAnsi="Arial"/>
        <w:b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c95712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606060" w:themeColor="accent3" w:themeShade="000095" w:themeTint="0000FE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1Vert">
      <w:tcPr>
        <w:shd w:color="ffffff" w:fill="ededed" w:themeColor="accent3" w:themeFill="accent3" w:themeFillTint="000034" w:themeTint="000034" w:val="clear"/>
      </w:tcPr>
    </w:tblStylePr>
    <w:tblStylePr w:type="band2Horz">
      <w:rPr>
        <w:rFonts w:ascii="Arial" w:hAnsi="Arial"/>
        <w:color w:val="606060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/>
      </w:tcPr>
    </w:tblStylePr>
    <w:tblStylePr w:type="firstRow">
      <w:rPr>
        <w:rFonts w:ascii="Arial" w:hAnsi="Arial"/>
        <w:b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606060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cd9600" w:themeColor="accent4" w:themeShade="000095" w:themeTint="00009A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1Vert">
      <w:tcPr>
        <w:shd w:color="ffffff" w:fill="fef2cb" w:themeColor="accent4" w:themeFill="accent4" w:themeFillTint="000034" w:themeTint="000034" w:val="clear"/>
      </w:tcPr>
    </w:tblStylePr>
    <w:tblStylePr w:type="band2Horz">
      <w:rPr>
        <w:rFonts w:ascii="Arial" w:hAnsi="Arial"/>
        <w:color w:val="cd9600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/>
      </w:tcPr>
    </w:tblStylePr>
    <w:tblStylePr w:type="firstRow">
      <w:rPr>
        <w:rFonts w:ascii="Arial" w:hAnsi="Arial"/>
        <w:b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cd9600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54374" w:themeColor="accent5" w:themeShade="000095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1Vert">
      <w:tcPr>
        <w:shd w:color="ffffff" w:fill="d9e2f2" w:themeColor="accent5" w:themeFill="accent5" w:themeFillTint="000034" w:themeTint="000034" w:val="clear"/>
      </w:tcPr>
    </w:tblStylePr>
    <w:tblStylePr w:type="band2Horz">
      <w:rPr>
        <w:rFonts w:ascii="Arial" w:hAnsi="Arial"/>
        <w:color w:val="254374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/>
      </w:tcPr>
    </w:tblStylePr>
    <w:tblStylePr w:type="firstRow">
      <w:rPr>
        <w:rFonts w:ascii="Arial" w:hAnsi="Arial"/>
        <w:b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254374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26429" w:themeColor="accent6" w:themeShade="000095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1Vert">
      <w:tcPr>
        <w:shd w:color="ffffff" w:fill="e2efd8" w:themeColor="accent6" w:themeFill="accent6" w:themeFillTint="000034" w:themeTint="000034" w:val="clear"/>
      </w:tcPr>
    </w:tblStylePr>
    <w:tblStylePr w:type="band2Horz">
      <w:rPr>
        <w:rFonts w:ascii="Arial" w:hAnsi="Arial"/>
        <w:color w:val="426429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/>
      </w:tcPr>
    </w:tblStylePr>
    <w:tblStylePr w:type="firstRow">
      <w:rPr>
        <w:rFonts w:ascii="Arial" w:hAnsi="Arial"/>
        <w:b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b w:val="1"/>
        <w:color w:val="426429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5e6f4" w:themeColor="accent1" w:themeFill="accent1" w:themeFillTint="000040" w:themeTint="000040" w:val="clear"/>
      </w:tcPr>
    </w:tblStylePr>
    <w:tblStylePr w:type="band1Vert">
      <w:tcPr>
        <w:shd w:color="ffffff" w:fill="d5e6f4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adecb" w:themeColor="accent2" w:themeFill="accent2" w:themeFillTint="000040" w:themeTint="000040" w:val="clear"/>
      </w:tcPr>
    </w:tblStylePr>
    <w:tblStylePr w:type="band1Vert">
      <w:tcPr>
        <w:shd w:color="ffffff" w:fill="fadecb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8e8e8" w:themeColor="accent3" w:themeFill="accent3" w:themeFillTint="000040" w:themeTint="000040" w:val="clear"/>
      </w:tcPr>
    </w:tblStylePr>
    <w:tblStylePr w:type="band1Vert">
      <w:tcPr>
        <w:shd w:color="ffffff" w:fill="e8e8e8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efbf" w:themeColor="accent4" w:themeFill="accent4" w:themeFillTint="000040" w:themeTint="000040" w:val="clear"/>
      </w:tcPr>
    </w:tblStylePr>
    <w:tblStylePr w:type="band1Vert">
      <w:tcPr>
        <w:shd w:color="ffffff" w:fill="ffefbf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cfdcf0" w:themeColor="accent5" w:themeFill="accent5" w:themeFillTint="000040" w:themeTint="000040" w:val="clear"/>
      </w:tcPr>
    </w:tblStylePr>
    <w:tblStylePr w:type="band1Vert">
      <w:tcPr>
        <w:shd w:color="ffffff" w:fill="cfdc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bebd0" w:themeColor="accent6" w:themeFill="accent6" w:themeFillTint="000040" w:themeTint="000040" w:val="clear"/>
      </w:tcPr>
    </w:tblStylePr>
    <w:tblStylePr w:type="band1Vert">
      <w:tcPr>
        <w:shd w:color="ffffff" w:fill="dbebd0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5e6f4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5e6f4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adecb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adecb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8e8e8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8e8e8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efbf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efbf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fdc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fdc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bebd0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bebd0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5b9bd5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4b185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9c9c9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d864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eabdb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aad08f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5e6f4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5e6f4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5b9bd5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adecb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adecb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ed7d31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8e8e8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8e8e8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a5a5a5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efbf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efbf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c000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fdc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fdc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472c4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bebd0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bebd0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70ad47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5b9bd5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5b9bd5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5b9bd5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5b9bd5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5b9bd5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f4b185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185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4b185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185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f4b185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9c9c9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ffd864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864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d864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864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ffd864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8eabdb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8eabdb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8eabdb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8eabdb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8eabdb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aad08f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ad08f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aad08f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ad08f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aad08f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5e6f4" w:themeColor="accent1" w:themeFill="accent1" w:themeFillTint="000040" w:themeTint="000040" w:val="clear"/>
      </w:tcPr>
    </w:tblStylePr>
    <w:tblStylePr w:type="band1Vert">
      <w:tcPr>
        <w:shd w:color="ffffff" w:fill="d5e6f4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45d8d" w:themeColor="accent1" w:themeShade="000095"/>
      </w:rPr>
    </w:tblStylePr>
    <w:tblStylePr w:type="firstRow">
      <w:rPr>
        <w:b w:val="1"/>
        <w:color w:val="245d8d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45d8d" w:themeColor="accent1" w:themeShade="000095"/>
      </w:rPr>
    </w:tblStylePr>
    <w:tblStylePr w:type="lastRow">
      <w:rPr>
        <w:b w:val="1"/>
        <w:color w:val="245d8d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adecb" w:themeColor="accent2" w:themeFill="accent2" w:themeFillTint="000040" w:themeTint="000040" w:val="clear"/>
      </w:tcPr>
    </w:tblStylePr>
    <w:tblStylePr w:type="band1Vert">
      <w:tcPr>
        <w:shd w:color="ffffff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c95712" w:themeColor="accent2" w:themeShade="000095" w:themeTint="000097"/>
      </w:rPr>
    </w:tblStylePr>
    <w:tblStylePr w:type="firstRow">
      <w:rPr>
        <w:b w:val="1"/>
        <w:color w:val="c95712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c95712" w:themeColor="accent2" w:themeShade="000095" w:themeTint="000097"/>
      </w:rPr>
    </w:tblStylePr>
    <w:tblStylePr w:type="lastRow">
      <w:rPr>
        <w:b w:val="1"/>
        <w:color w:val="c95712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8e8e8" w:themeColor="accent3" w:themeFill="accent3" w:themeFillTint="000040" w:themeTint="000040" w:val="clear"/>
      </w:tcPr>
    </w:tblStylePr>
    <w:tblStylePr w:type="band1Vert">
      <w:tcPr>
        <w:shd w:color="ffffff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57575" w:themeColor="accent3" w:themeShade="000095" w:themeTint="000098"/>
      </w:rPr>
    </w:tblStylePr>
    <w:tblStylePr w:type="firstRow">
      <w:rPr>
        <w:b w:val="1"/>
        <w:color w:val="757575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57575" w:themeColor="accent3" w:themeShade="000095" w:themeTint="000098"/>
      </w:rPr>
    </w:tblStylePr>
    <w:tblStylePr w:type="lastRow">
      <w:rPr>
        <w:b w:val="1"/>
        <w:color w:val="757575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ffefbf" w:themeColor="accent4" w:themeFill="accent4" w:themeFillTint="000040" w:themeTint="000040" w:val="clear"/>
      </w:tcPr>
    </w:tblStylePr>
    <w:tblStylePr w:type="band1Vert">
      <w:tcPr>
        <w:shd w:color="ffffff" w:fill="ffefbf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cd9600" w:themeColor="accent4" w:themeShade="000095" w:themeTint="00009A"/>
      </w:rPr>
    </w:tblStylePr>
    <w:tblStylePr w:type="firstRow">
      <w:rPr>
        <w:b w:val="1"/>
        <w:color w:val="cd9600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cd9600" w:themeColor="accent4" w:themeShade="000095" w:themeTint="00009A"/>
      </w:rPr>
    </w:tblStylePr>
    <w:tblStylePr w:type="lastRow">
      <w:rPr>
        <w:b w:val="1"/>
        <w:color w:val="cd9600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cfdcf0" w:themeColor="accent5" w:themeFill="accent5" w:themeFillTint="000040" w:themeTint="000040" w:val="clear"/>
      </w:tcPr>
    </w:tblStylePr>
    <w:tblStylePr w:type="band1Vert">
      <w:tcPr>
        <w:shd w:color="ffffff" w:fill="cfdc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5e9e" w:themeColor="accent5" w:themeShade="000095" w:themeTint="00009A"/>
      </w:rPr>
    </w:tblStylePr>
    <w:tblStylePr w:type="firstRow">
      <w:rPr>
        <w:b w:val="1"/>
        <w:color w:val="335e9e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5e9e" w:themeColor="accent5" w:themeShade="000095" w:themeTint="00009A"/>
      </w:rPr>
    </w:tblStylePr>
    <w:tblStylePr w:type="lastRow">
      <w:rPr>
        <w:b w:val="1"/>
        <w:color w:val="335e9e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dbebd0" w:themeColor="accent6" w:themeFill="accent6" w:themeFillTint="000040" w:themeTint="000040" w:val="clear"/>
      </w:tcPr>
    </w:tblStylePr>
    <w:tblStylePr w:type="band1Vert">
      <w:tcPr>
        <w:shd w:color="ffffff" w:fill="dbebd0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5f8f3c" w:themeColor="accent6" w:themeShade="000095" w:themeTint="000098"/>
      </w:rPr>
    </w:tblStylePr>
    <w:tblStylePr w:type="firstRow">
      <w:rPr>
        <w:b w:val="1"/>
        <w:color w:val="5f8f3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5f8f3c" w:themeColor="accent6" w:themeShade="000095" w:themeTint="000098"/>
      </w:rPr>
    </w:tblStylePr>
    <w:tblStylePr w:type="lastRow">
      <w:rPr>
        <w:b w:val="1"/>
        <w:color w:val="5f8f3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45d8d" w:themeColor="accent1" w:themeShade="000095"/>
        <w:sz w:val="22"/>
      </w:rPr>
      <w:tcPr>
        <w:shd w:color="ffffff" w:fill="d5e6f4" w:themeColor="accent1" w:themeFill="accent1" w:themeFillTint="000040" w:themeTint="000040" w:val="clear"/>
      </w:tcPr>
    </w:tblStylePr>
    <w:tblStylePr w:type="band1Vert">
      <w:tcPr>
        <w:shd w:color="ffffff" w:fill="d5e6f4" w:themeColor="accent1" w:themeFill="accent1" w:themeFillTint="000040" w:themeTint="000040" w:val="clear"/>
      </w:tcPr>
    </w:tblStylePr>
    <w:tblStylePr w:type="band2Horz">
      <w:rPr>
        <w:rFonts w:ascii="Arial" w:hAnsi="Arial"/>
        <w:color w:val="245d8d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/>
      </w:tcPr>
    </w:tblStylePr>
    <w:tblStylePr w:type="firstRow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45d8d" w:themeColor="accent1" w:themeShade="0000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c95712" w:themeColor="accent2" w:themeShade="000095" w:themeTint="000097"/>
        <w:sz w:val="22"/>
      </w:rPr>
      <w:tcPr>
        <w:shd w:color="ffffff" w:fill="fadecb" w:themeColor="accent2" w:themeFill="accent2" w:themeFillTint="000040" w:themeTint="000040" w:val="clear"/>
      </w:tcPr>
    </w:tblStylePr>
    <w:tblStylePr w:type="band1Vert">
      <w:tcPr>
        <w:shd w:color="ffffff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c95712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/>
      </w:tcPr>
    </w:tblStylePr>
    <w:tblStylePr w:type="firstRow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c95712" w:themeColor="accent2" w:themeShade="000095" w:themeTint="000097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57575" w:themeColor="accent3" w:themeShade="000095" w:themeTint="000098"/>
        <w:sz w:val="22"/>
      </w:rPr>
      <w:tcPr>
        <w:shd w:color="ffffff" w:fill="e8e8e8" w:themeColor="accent3" w:themeFill="accent3" w:themeFillTint="000040" w:themeTint="000040" w:val="clear"/>
      </w:tcPr>
    </w:tblStylePr>
    <w:tblStylePr w:type="band1Vert">
      <w:tcPr>
        <w:shd w:color="ffffff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757575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/>
      </w:tcPr>
    </w:tblStylePr>
    <w:tblStylePr w:type="firstRow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57575" w:themeColor="accent3" w:themeShade="000095" w:themeTint="000098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cd9600" w:themeColor="accent4" w:themeShade="000095" w:themeTint="00009A"/>
        <w:sz w:val="22"/>
      </w:rPr>
      <w:tcPr>
        <w:shd w:color="ffffff" w:fill="ffefbf" w:themeColor="accent4" w:themeFill="accent4" w:themeFillTint="000040" w:themeTint="000040" w:val="clear"/>
      </w:tcPr>
    </w:tblStylePr>
    <w:tblStylePr w:type="band1Vert">
      <w:tcPr>
        <w:shd w:color="ffffff" w:fill="ffefbf" w:themeColor="accent4" w:themeFill="accent4" w:themeFillTint="000040" w:themeTint="000040" w:val="clear"/>
      </w:tcPr>
    </w:tblStylePr>
    <w:tblStylePr w:type="band2Horz">
      <w:rPr>
        <w:rFonts w:ascii="Arial" w:hAnsi="Arial"/>
        <w:color w:val="cd9600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/>
      </w:tcPr>
    </w:tblStylePr>
    <w:tblStylePr w:type="firstRow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cd9600" w:themeColor="accent4" w:themeShade="000095" w:themeTint="00009A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5e9e" w:themeColor="accent5" w:themeShade="000095" w:themeTint="00009A"/>
        <w:sz w:val="22"/>
      </w:rPr>
      <w:tcPr>
        <w:shd w:color="ffffff" w:fill="cfdcf0" w:themeColor="accent5" w:themeFill="accent5" w:themeFillTint="000040" w:themeTint="000040" w:val="clear"/>
      </w:tcPr>
    </w:tblStylePr>
    <w:tblStylePr w:type="band1Vert">
      <w:tcPr>
        <w:shd w:color="ffffff" w:fill="cfdcf0" w:themeColor="accent5" w:themeFill="accent5" w:themeFillTint="000040" w:themeTint="000040" w:val="clear"/>
      </w:tcPr>
    </w:tblStylePr>
    <w:tblStylePr w:type="band2Horz">
      <w:rPr>
        <w:rFonts w:ascii="Arial" w:hAnsi="Arial"/>
        <w:color w:val="335e9e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/>
      </w:tcPr>
    </w:tblStylePr>
    <w:tblStylePr w:type="firstRow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5e9e" w:themeColor="accent5" w:themeShade="000095" w:themeTint="00009A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5f8f3c" w:themeColor="accent6" w:themeShade="000095" w:themeTint="000098"/>
        <w:sz w:val="22"/>
      </w:rPr>
      <w:tcPr>
        <w:shd w:color="ffffff" w:fill="dbebd0" w:themeColor="accent6" w:themeFill="accent6" w:themeFillTint="000040" w:themeTint="000040" w:val="clear"/>
      </w:tcPr>
    </w:tblStylePr>
    <w:tblStylePr w:type="band1Vert">
      <w:tcPr>
        <w:shd w:color="ffffff" w:fill="dbebd0" w:themeColor="accent6" w:themeFill="accent6" w:themeFillTint="000040" w:themeTint="000040" w:val="clear"/>
      </w:tcPr>
    </w:tblStylePr>
    <w:tblStylePr w:type="band2Horz">
      <w:rPr>
        <w:rFonts w:ascii="Arial" w:hAnsi="Arial"/>
        <w:color w:val="5f8f3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/>
      </w:tcPr>
    </w:tblStylePr>
    <w:tblStylePr w:type="firstRow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5f8f3c" w:themeColor="accent6" w:themeShade="000095" w:themeTint="000098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ce0f1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ce0f1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ce0f1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ce0f1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67a4d8" w:themeColor="accent1" w:themeFill="accent1" w:themeFillTint="0000EA" w:themeTint="0000EA" w:val="clear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be5d6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4b185" w:themeColor="accent2" w:themeFill="accent2" w:themeFillTint="000097" w:themeTint="000097" w:val="clear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dede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a5a5a5" w:themeColor="accent3" w:themeFill="accent3" w:themeFillTint="0000FE" w:themeTint="0000FE" w:val="clear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ef2cb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d864" w:themeColor="accent4" w:themeFill="accent4" w:themeFillTint="00009A" w:themeTint="00009A" w:val="clear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9e2f2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472c4" w:themeColor="accent5" w:themeFill="accent5" w:val="clear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2ef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0ad47" w:themeColor="accent6" w:themeFill="accent6" w:val="clear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792">
    <w:name w:val="Hyperlink"/>
    <w:uiPriority w:val="99"/>
    <w:unhideWhenUsed w:val="1"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 w:val="1"/>
    <w:unhideWhenUsed w:val="1"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 w:val="1"/>
    <w:rPr>
      <w:vertAlign w:val="superscript"/>
    </w:rPr>
  </w:style>
  <w:style w:type="paragraph" w:styleId="796">
    <w:name w:val="endnote text"/>
    <w:basedOn w:val="810"/>
    <w:link w:val="797"/>
    <w:uiPriority w:val="99"/>
    <w:semiHidden w:val="1"/>
    <w:unhideWhenUsed w:val="1"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 w:val="1"/>
    <w:unhideWhenUsed w:val="1"/>
    <w:rPr>
      <w:vertAlign w:val="superscript"/>
    </w:rPr>
  </w:style>
  <w:style w:type="paragraph" w:styleId="799">
    <w:name w:val="toc 1"/>
    <w:basedOn w:val="810"/>
    <w:next w:val="810"/>
    <w:uiPriority w:val="39"/>
    <w:unhideWhenUsed w:val="1"/>
    <w:pPr>
      <w:spacing w:after="57"/>
      <w:ind w:left="0" w:right="0" w:firstLine="0"/>
    </w:pPr>
  </w:style>
  <w:style w:type="paragraph" w:styleId="800">
    <w:name w:val="toc 2"/>
    <w:basedOn w:val="810"/>
    <w:next w:val="810"/>
    <w:uiPriority w:val="39"/>
    <w:unhideWhenUsed w:val="1"/>
    <w:pPr>
      <w:spacing w:after="57"/>
      <w:ind w:left="283" w:right="0" w:firstLine="0"/>
    </w:pPr>
  </w:style>
  <w:style w:type="paragraph" w:styleId="801">
    <w:name w:val="toc 3"/>
    <w:basedOn w:val="810"/>
    <w:next w:val="810"/>
    <w:uiPriority w:val="39"/>
    <w:unhideWhenUsed w:val="1"/>
    <w:pPr>
      <w:spacing w:after="57"/>
      <w:ind w:left="567" w:right="0" w:firstLine="0"/>
    </w:pPr>
  </w:style>
  <w:style w:type="paragraph" w:styleId="802">
    <w:name w:val="toc 4"/>
    <w:basedOn w:val="810"/>
    <w:next w:val="810"/>
    <w:uiPriority w:val="39"/>
    <w:unhideWhenUsed w:val="1"/>
    <w:pPr>
      <w:spacing w:after="57"/>
      <w:ind w:left="850" w:right="0" w:firstLine="0"/>
    </w:pPr>
  </w:style>
  <w:style w:type="paragraph" w:styleId="803">
    <w:name w:val="toc 5"/>
    <w:basedOn w:val="810"/>
    <w:next w:val="810"/>
    <w:uiPriority w:val="39"/>
    <w:unhideWhenUsed w:val="1"/>
    <w:pPr>
      <w:spacing w:after="57"/>
      <w:ind w:left="1134" w:right="0" w:firstLine="0"/>
    </w:pPr>
  </w:style>
  <w:style w:type="paragraph" w:styleId="804">
    <w:name w:val="toc 6"/>
    <w:basedOn w:val="810"/>
    <w:next w:val="810"/>
    <w:uiPriority w:val="39"/>
    <w:unhideWhenUsed w:val="1"/>
    <w:pPr>
      <w:spacing w:after="57"/>
      <w:ind w:left="1417" w:right="0" w:firstLine="0"/>
    </w:pPr>
  </w:style>
  <w:style w:type="paragraph" w:styleId="805">
    <w:name w:val="toc 7"/>
    <w:basedOn w:val="810"/>
    <w:next w:val="810"/>
    <w:uiPriority w:val="39"/>
    <w:unhideWhenUsed w:val="1"/>
    <w:pPr>
      <w:spacing w:after="57"/>
      <w:ind w:left="1701" w:right="0" w:firstLine="0"/>
    </w:pPr>
  </w:style>
  <w:style w:type="paragraph" w:styleId="806">
    <w:name w:val="toc 8"/>
    <w:basedOn w:val="810"/>
    <w:next w:val="810"/>
    <w:uiPriority w:val="39"/>
    <w:unhideWhenUsed w:val="1"/>
    <w:pPr>
      <w:spacing w:after="57"/>
      <w:ind w:left="1984" w:right="0" w:firstLine="0"/>
    </w:pPr>
  </w:style>
  <w:style w:type="paragraph" w:styleId="807">
    <w:name w:val="toc 9"/>
    <w:basedOn w:val="810"/>
    <w:next w:val="810"/>
    <w:uiPriority w:val="39"/>
    <w:unhideWhenUsed w:val="1"/>
    <w:pPr>
      <w:spacing w:after="57"/>
      <w:ind w:left="2268" w:right="0" w:firstLine="0"/>
    </w:pPr>
  </w:style>
  <w:style w:type="paragraph" w:styleId="808">
    <w:name w:val="TOC Heading"/>
    <w:uiPriority w:val="39"/>
    <w:unhideWhenUsed w:val="1"/>
  </w:style>
  <w:style w:type="paragraph" w:styleId="809">
    <w:name w:val="table of figures"/>
    <w:basedOn w:val="810"/>
    <w:next w:val="810"/>
    <w:uiPriority w:val="99"/>
    <w:unhideWhenUsed w:val="1"/>
    <w:pPr>
      <w:spacing w:after="0" w:afterAutospacing="0"/>
    </w:pPr>
  </w:style>
  <w:style w:type="paragraph" w:styleId="810" w:default="1">
    <w:name w:val="Normal"/>
    <w:qFormat w:val="1"/>
  </w:style>
  <w:style w:type="table" w:styleId="81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812" w:default="1">
    <w:name w:val="No List"/>
    <w:uiPriority w:val="99"/>
    <w:semiHidden w:val="1"/>
    <w:unhideWhenUsed w:val="1"/>
  </w:style>
  <w:style w:type="paragraph" w:styleId="813">
    <w:name w:val="No Spacing"/>
    <w:basedOn w:val="810"/>
    <w:uiPriority w:val="1"/>
    <w:qFormat w:val="1"/>
    <w:pPr>
      <w:spacing w:after="0" w:line="240" w:lineRule="auto"/>
    </w:pPr>
  </w:style>
  <w:style w:type="paragraph" w:styleId="814">
    <w:name w:val="List Paragraph"/>
    <w:basedOn w:val="810"/>
    <w:uiPriority w:val="34"/>
    <w:qFormat w:val="1"/>
    <w:pPr>
      <w:ind w:left="720"/>
      <w:contextualSpacing w:val="1"/>
    </w:pPr>
  </w:style>
  <w:style w:type="character" w:styleId="815" w:default="1">
    <w:name w:val="Default Paragraph Font"/>
    <w:uiPriority w:val="1"/>
    <w:semiHidden w:val="1"/>
    <w:unhideWhenUsed w:val="1"/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openlane.readthedocs.io/en/latest/reference/configuration.html" TargetMode="External"/><Relationship Id="rId25" Type="http://schemas.openxmlformats.org/officeDocument/2006/relationships/image" Target="media/image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2.png"/><Relationship Id="rId11" Type="http://schemas.openxmlformats.org/officeDocument/2006/relationships/image" Target="media/image1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hyperlink" Target="https://openlane.readthedocs.io/en/latest/reference/openlane_commands.html" TargetMode="External"/><Relationship Id="rId16" Type="http://schemas.openxmlformats.org/officeDocument/2006/relationships/hyperlink" Target="https://openlane.readthedocs.io/en/latest/reference/interactive_mode.html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n0Ft6aHVr8lWUQBj1gxhZzsQjw==">AMUW2mUP2Z1ADgvo8Gz42RJpMHKfs6zE2xOhCTn4rjGkzWN4ZlQtBZ8jdiN/l4eV2Y258tQtWq9gCm5muY19QCRHERsOQNDUNnguiJlIkqolb3xE7TI/gcZkcO+zMQh2mRAHR+Hh8z1pbcS62Gicxb2ZfdpriOif6FBNVRuAJ1iA2NY8AHzzXl3gXZFb4dlu6qIvEo/cmJYm1/pr0dM7qgcIMLkBeSxyPQ==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