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CCRS Migration Guide — v2.11 to v2.12-beta</w:t>
      </w:r>
    </w:p>
    <w:p>
      <w:r>
        <w:rPr>
          <w:i/>
          <w:color w:val="555555"/>
          <w:sz w:val="20"/>
        </w:rPr>
        <w:t>Operator-facing upgrade guide for an existing v2.11 deployment moving to v2.12-beta (develop @ 43635f737, 2026-07-20)</w:t>
      </w:r>
    </w:p>
    <w:p>
      <w:r>
        <w:rPr>
          <w:i/>
          <w:color w:val="555555"/>
          <w:sz w:val="20"/>
        </w:rPr>
        <w:t>Read alongside docs/release-config-changelog-v2.12-beta.docx for full context on each item below.</w:t>
      </w:r>
    </w:p>
    <w:p>
      <w:r>
        <w:rPr>
          <w:i/>
          <w:color w:val="555555"/>
          <w:sz w:val="20"/>
        </w:rPr>
        <w:t>Status: BETA — this document describes develop as of the date above and will be finalized alongside the v2.12 tag.</w:t>
      </w:r>
    </w:p>
    <w:p/>
    <w:p>
      <w:pPr>
        <w:pStyle w:val="Heading1"/>
      </w:pPr>
      <w:r>
        <w:rPr>
          <w:color w:val="1F4E79"/>
        </w:rPr>
        <w:t>1. Who this is for</w:t>
      </w:r>
    </w:p>
    <w:p>
      <w:r>
        <w:t>This guide is for an operator with a live v2.11 tenant (data, users, complaints already in production) who wants to move that deployment to v2.12-beta. If you are standing up a brand-new tenant instead, most of the "manual re-seed" items below do not apply — a fresh install auto-seeds the new master data.</w:t>
      </w:r>
    </w:p>
    <w:p>
      <w:pPr>
        <w:pStyle w:val="Heading1"/>
      </w:pPr>
      <w:r>
        <w:rPr>
          <w:color w:val="1F4E79"/>
        </w:rPr>
        <w:t>2. Before you start — backups</w:t>
      </w:r>
    </w:p>
    <w:p>
      <w:pPr>
        <w:pStyle w:val="ListBullet"/>
      </w:pPr>
      <w:r>
        <w:rPr>
          <w:b/>
        </w:rPr>
        <w:t>Full database backup</w:t>
      </w:r>
      <w:r>
        <w:t xml:space="preserve"> of every service schema (pgr-services, egov-user, novu-bridge if in use, etc.) before running any Flyway migration. Several new migrations do </w:t>
      </w:r>
      <w:r>
        <w:rPr>
          <w:rFonts w:ascii="Consolas" w:hAnsi="Consolas"/>
          <w:sz w:val="19"/>
        </w:rPr>
        <w:t>DROP MATERIALIZED VIEW ... CASCADE</w:t>
      </w:r>
      <w:r>
        <w:t xml:space="preserve"> and recreate — safe by design, but back up first.</w:t>
      </w:r>
    </w:p>
    <w:p>
      <w:pPr>
        <w:pStyle w:val="ListBullet"/>
      </w:pPr>
      <w:r>
        <w:rPr>
          <w:b/>
        </w:rPr>
        <w:t xml:space="preserve">Back up </w:t>
      </w:r>
      <w:r>
        <w:rPr>
          <w:rFonts w:ascii="Consolas" w:hAnsi="Consolas"/>
          <w:b/>
          <w:sz w:val="19"/>
        </w:rPr>
        <w:t>/opt/digit/.openbao/init.json</w:t>
      </w:r>
      <w:r>
        <w:t xml:space="preserve"> immediately after your first v2.12-beta deploy, out-of-band (e.g. to a password manager or offline vault). OpenBao is initialized with a single Shamir key (</w:t>
      </w:r>
      <w:r>
        <w:rPr>
          <w:rFonts w:ascii="Consolas" w:hAnsi="Consolas"/>
          <w:sz w:val="19"/>
        </w:rPr>
        <w:t>secret_shares:1, secret_threshold:1</w:t>
      </w:r>
      <w:r>
        <w:t>) and this file is the only copy of the root token + unseal key. There is no recovery path if it is lost.</w:t>
      </w:r>
    </w:p>
    <w:p>
      <w:pPr>
        <w:pStyle w:val="ListBullet"/>
      </w:pPr>
      <w:r>
        <w:t xml:space="preserve">If you use the Ansible deploy path for the first time (moving off a hand-rolled v2.11 compose setup), read </w:t>
      </w:r>
      <w:r>
        <w:rPr>
          <w:rFonts w:ascii="Consolas" w:hAnsi="Consolas"/>
          <w:sz w:val="19"/>
        </w:rPr>
        <w:t>local-setup/ansible/runbooks/01-openbao.md</w:t>
      </w:r>
      <w:r>
        <w:t xml:space="preserve"> before proceeding.</w:t>
      </w:r>
    </w:p>
    <w:p>
      <w:pPr>
        <w:pStyle w:val="Heading1"/>
      </w:pPr>
      <w:r>
        <w:rPr>
          <w:color w:val="1F4E79"/>
        </w:rPr>
        <w:t>3. Breaking changes requiring manual action</w:t>
      </w:r>
    </w:p>
    <w:p>
      <w:pPr>
        <w:pStyle w:val="Heading2"/>
      </w:pPr>
      <w:r>
        <w:rPr>
          <w:color w:val="2E2E2E"/>
        </w:rPr>
        <w:t>3.1 Complaint classification: ServiceDefs → ComplaintHierarchy</w:t>
      </w:r>
    </w:p>
    <w:p>
      <w:pPr>
        <w:ind w:left="216"/>
      </w:pPr>
      <w:r>
        <w:rPr>
          <w:b/>
          <w:color w:val="B00000"/>
        </w:rPr>
        <w:t xml:space="preserve">Action required:  </w:t>
      </w:r>
      <w:r>
        <w:t xml:space="preserve">Hand-migrate every existing </w:t>
      </w:r>
      <w:r>
        <w:rPr>
          <w:rFonts w:ascii="Consolas" w:hAnsi="Consolas"/>
          <w:sz w:val="19"/>
        </w:rPr>
        <w:t>RAINMAKER-PGR.ServiceDefs</w:t>
      </w:r>
      <w:r>
        <w:t xml:space="preserve"> row into the new two-master model — </w:t>
      </w:r>
      <w:r>
        <w:rPr>
          <w:rFonts w:ascii="Consolas" w:hAnsi="Consolas"/>
          <w:sz w:val="19"/>
        </w:rPr>
        <w:t>ComplaintHierarchyDefinition</w:t>
      </w:r>
      <w:r>
        <w:t xml:space="preserve"> (the hierarchy shape) + </w:t>
      </w:r>
      <w:r>
        <w:rPr>
          <w:rFonts w:ascii="Consolas" w:hAnsi="Consolas"/>
          <w:sz w:val="19"/>
        </w:rPr>
        <w:t>ComplaintHierarchy</w:t>
      </w:r>
      <w:r>
        <w:t xml:space="preserve"> (the actual category/sub-type tree). No automated backfill ships in this repo.</w:t>
      </w:r>
    </w:p>
    <w:p>
      <w:pPr>
        <w:pStyle w:val="ListBullet"/>
      </w:pPr>
      <w:r>
        <w:t xml:space="preserve">Keep each leaf node's </w:t>
      </w:r>
      <w:r>
        <w:rPr>
          <w:rFonts w:ascii="Consolas" w:hAnsi="Consolas"/>
          <w:sz w:val="19"/>
        </w:rPr>
        <w:t>code</w:t>
      </w:r>
      <w:r>
        <w:t xml:space="preserve"> identical to the old </w:t>
      </w:r>
      <w:r>
        <w:rPr>
          <w:rFonts w:ascii="Consolas" w:hAnsi="Consolas"/>
          <w:sz w:val="19"/>
        </w:rPr>
        <w:t>serviceCode</w:t>
      </w:r>
      <w:r>
        <w:t xml:space="preserve"> — already-filed complaints reference this value and remain valid as long as the code is reused.</w:t>
      </w:r>
    </w:p>
    <w:p>
      <w:pPr>
        <w:pStyle w:val="ListBullet"/>
      </w:pPr>
      <w:r>
        <w:rPr>
          <w:rFonts w:ascii="Consolas" w:hAnsi="Consolas"/>
          <w:sz w:val="19"/>
        </w:rPr>
        <w:t>ansible/nairobi-mdms/v2.11-user-service-upgrade.md</w:t>
      </w:r>
      <w:r>
        <w:t xml:space="preserve"> documents a worked example for one real tenant's upgrade — useful as a template, but its own </w:t>
      </w:r>
      <w:r>
        <w:rPr>
          <w:rFonts w:ascii="Consolas" w:hAnsi="Consolas"/>
          <w:sz w:val="19"/>
        </w:rPr>
        <w:t>ServiceDefs.json</w:t>
      </w:r>
      <w:r>
        <w:t xml:space="preserve"> snapshot has *not* been converted, so treat it as a starting point, not a finished migration.</w:t>
      </w:r>
    </w:p>
    <w:p>
      <w:pPr>
        <w:pStyle w:val="ListBullet"/>
      </w:pPr>
      <w:r>
        <w:t xml:space="preserve">Verify </w:t>
      </w:r>
      <w:r>
        <w:rPr>
          <w:rFonts w:ascii="Consolas" w:hAnsi="Consolas"/>
          <w:sz w:val="19"/>
        </w:rPr>
        <w:t>Workflow.BusinessServiceMasterConfig</w:t>
      </w:r>
      <w:r>
        <w:t xml:space="preserve"> has a </w:t>
      </w:r>
      <w:r>
        <w:rPr>
          <w:rFonts w:ascii="Consolas" w:hAnsi="Consolas"/>
          <w:sz w:val="19"/>
        </w:rPr>
        <w:t>PGR</w:t>
      </w:r>
      <w:r>
        <w:t xml:space="preserve"> row (</w:t>
      </w:r>
      <w:r>
        <w:rPr>
          <w:rFonts w:ascii="Consolas" w:hAnsi="Consolas"/>
          <w:sz w:val="19"/>
        </w:rPr>
        <w:t>active:true, isStatelevel:true</w:t>
      </w:r>
      <w:r>
        <w:t xml:space="preserve">) — required for escalation/notification-routing features that key off </w:t>
      </w:r>
      <w:r>
        <w:rPr>
          <w:rFonts w:ascii="Consolas" w:hAnsi="Consolas"/>
          <w:sz w:val="19"/>
        </w:rPr>
        <w:t>businessService</w:t>
      </w:r>
      <w:r>
        <w:t>.</w:t>
      </w:r>
    </w:p>
    <w:p>
      <w:pPr>
        <w:pStyle w:val="Heading2"/>
      </w:pPr>
      <w:r>
        <w:rPr>
          <w:color w:val="2E2E2E"/>
        </w:rPr>
        <w:t>3.2 Mobile validation: UserValidation → MobileNumberValidation</w:t>
      </w:r>
    </w:p>
    <w:p>
      <w:pPr>
        <w:ind w:left="216"/>
      </w:pPr>
      <w:r>
        <w:rPr>
          <w:b/>
          <w:color w:val="B00000"/>
        </w:rPr>
        <w:t xml:space="preserve">Action required:  </w:t>
      </w:r>
      <w:r>
        <w:rPr>
          <w:rFonts w:ascii="Consolas" w:hAnsi="Consolas"/>
          <w:sz w:val="19"/>
        </w:rPr>
        <w:t>common-masters.UserValidation</w:t>
      </w:r>
      <w:r>
        <w:t xml:space="preserve"> is gone. Create a </w:t>
      </w:r>
      <w:r>
        <w:rPr>
          <w:rFonts w:ascii="Consolas" w:hAnsi="Consolas"/>
          <w:sz w:val="19"/>
        </w:rPr>
        <w:t>common-masters.MobileNumberValidation</w:t>
      </w:r>
      <w:r>
        <w:t xml:space="preserve"> record for your tenant's country before upgrading </w:t>
      </w:r>
      <w:r>
        <w:rPr>
          <w:rFonts w:ascii="Consolas" w:hAnsi="Consolas"/>
          <w:sz w:val="19"/>
        </w:rPr>
        <w:t>egov-user</w:t>
      </w:r>
      <w:r>
        <w:t>.</w:t>
      </w:r>
    </w:p>
    <w:p>
      <w:pPr>
        <w:pStyle w:val="ListBullet"/>
      </w:pPr>
      <w:r>
        <w:t xml:space="preserve">New shape: </w:t>
      </w:r>
      <w:r>
        <w:rPr>
          <w:rFonts w:ascii="Consolas" w:hAnsi="Consolas"/>
          <w:sz w:val="19"/>
        </w:rPr>
        <w:t>{ countryCode, mobileNumberRegex, default, emailRegex?, nameRegex? }</w:t>
      </w:r>
      <w:r>
        <w:t xml:space="preserve">, unique on </w:t>
      </w:r>
      <w:r>
        <w:rPr>
          <w:rFonts w:ascii="Consolas" w:hAnsi="Consolas"/>
          <w:sz w:val="19"/>
        </w:rPr>
        <w:t>countryCode</w:t>
      </w:r>
      <w:r>
        <w:t>.</w:t>
      </w:r>
    </w:p>
    <w:p>
      <w:pPr>
        <w:pStyle w:val="ListBullet"/>
      </w:pPr>
      <w:r>
        <w:t xml:space="preserve">The only record shipped by default is for </w:t>
      </w:r>
      <w:r>
        <w:rPr>
          <w:b/>
        </w:rPr>
        <w:t>Kenya</w:t>
      </w:r>
      <w:r>
        <w:t xml:space="preserve"> (</w:t>
      </w:r>
      <w:r>
        <w:rPr>
          <w:rFonts w:ascii="Consolas" w:hAnsi="Consolas"/>
          <w:sz w:val="19"/>
        </w:rPr>
        <w:t>+254</w:t>
      </w:r>
      <w:r>
        <w:t xml:space="preserve">, </w:t>
      </w:r>
      <w:r>
        <w:rPr>
          <w:rFonts w:ascii="Consolas" w:hAnsi="Consolas"/>
          <w:sz w:val="19"/>
        </w:rPr>
        <w:t>^0?[17][0-9]{8}$</w:t>
      </w:r>
      <w:r>
        <w:t xml:space="preserve">). If your tenant is not Kenya, create your own record (e.g. India: </w:t>
      </w:r>
      <w:r>
        <w:rPr>
          <w:rFonts w:ascii="Consolas" w:hAnsi="Consolas"/>
          <w:sz w:val="19"/>
        </w:rPr>
        <w:t>countryCode:"+91"</w:t>
      </w:r>
      <w:r>
        <w:t>, a 10-digit regex) — otherwise mobile validation silently applies the wrong country's rule.</w:t>
      </w:r>
    </w:p>
    <w:p>
      <w:pPr>
        <w:pStyle w:val="ListBullet"/>
      </w:pPr>
      <w:r>
        <w:t xml:space="preserve">Bump </w:t>
      </w:r>
      <w:r>
        <w:rPr>
          <w:rFonts w:ascii="Consolas" w:hAnsi="Consolas"/>
          <w:sz w:val="19"/>
        </w:rPr>
        <w:t>egov-user</w:t>
      </w:r>
      <w:r>
        <w:t xml:space="preserve"> to </w:t>
      </w:r>
      <w:r>
        <w:rPr>
          <w:rFonts w:ascii="Consolas" w:hAnsi="Consolas"/>
          <w:sz w:val="19"/>
        </w:rPr>
        <w:t>egovio/egov-user:master-e22c7c5</w:t>
      </w:r>
      <w:r>
        <w:t xml:space="preserve"> (or later) and set </w:t>
      </w:r>
      <w:r>
        <w:rPr>
          <w:rFonts w:ascii="Consolas" w:hAnsi="Consolas"/>
          <w:sz w:val="19"/>
        </w:rPr>
        <w:t>MOBILE_NUMBER_VALIDATION_WORKAROUND_ENABLED=false</w:t>
      </w:r>
      <w:r>
        <w:t xml:space="preserve"> to activate MDMS-based validation.</w:t>
      </w:r>
    </w:p>
    <w:p>
      <w:pPr>
        <w:pStyle w:val="ListBullet"/>
      </w:pPr>
      <w:r>
        <w:t xml:space="preserve">Double-check </w:t>
      </w:r>
      <w:r>
        <w:rPr>
          <w:rFonts w:ascii="Consolas" w:hAnsi="Consolas"/>
          <w:sz w:val="19"/>
        </w:rPr>
        <w:t>novu-bridge</w:t>
      </w:r>
      <w:r>
        <w:t xml:space="preserve">'s </w:t>
      </w:r>
      <w:r>
        <w:rPr>
          <w:rFonts w:ascii="Consolas" w:hAnsi="Consolas"/>
          <w:sz w:val="19"/>
        </w:rPr>
        <w:t>MdmsServiceClient</w:t>
      </w:r>
      <w:r>
        <w:t xml:space="preserve"> and the PGR frontend </w:t>
      </w:r>
      <w:r>
        <w:rPr>
          <w:rFonts w:ascii="Consolas" w:hAnsi="Consolas"/>
          <w:sz w:val="19"/>
        </w:rPr>
        <w:t>useMobileValidation</w:t>
      </w:r>
      <w:r>
        <w:t xml:space="preserve"> hook both resolve the same record (they look for </w:t>
      </w:r>
      <w:r>
        <w:rPr>
          <w:rFonts w:ascii="Consolas" w:hAnsi="Consolas"/>
          <w:sz w:val="19"/>
        </w:rPr>
        <w:t>default:true</w:t>
      </w:r>
      <w:r>
        <w:t>) once you enable WhatsApp/SMS notifications.</w:t>
      </w:r>
    </w:p>
    <w:p>
      <w:pPr>
        <w:pStyle w:val="Heading2"/>
      </w:pPr>
      <w:r>
        <w:rPr>
          <w:color w:val="2E2E2E"/>
        </w:rPr>
        <w:t>3.3 novu-bridge behaviour changes (if you already run it)</w:t>
      </w:r>
    </w:p>
    <w:p>
      <w:pPr>
        <w:pStyle w:val="ListBullet"/>
      </w:pPr>
      <w:r>
        <w:rPr>
          <w:b/>
        </w:rPr>
        <w:t>Default notification channel changed from WhatsApp to SMS.</w:t>
      </w:r>
      <w:r>
        <w:t xml:space="preserve"> If your </w:t>
      </w:r>
      <w:r>
        <w:rPr>
          <w:rFonts w:ascii="Consolas" w:hAnsi="Consolas"/>
          <w:sz w:val="19"/>
        </w:rPr>
        <w:t>.env</w:t>
      </w:r>
      <w:r>
        <w:t xml:space="preserve"> did not explicitly pin </w:t>
      </w:r>
      <w:r>
        <w:rPr>
          <w:rFonts w:ascii="Consolas" w:hAnsi="Consolas"/>
          <w:sz w:val="19"/>
        </w:rPr>
        <w:t>novu.bridge.channel</w:t>
      </w:r>
      <w:r>
        <w:t>, review what channel you actually want after upgrading.</w:t>
      </w:r>
    </w:p>
    <w:p>
      <w:pPr>
        <w:pStyle w:val="ListBullet"/>
      </w:pPr>
      <w:r>
        <w:rPr>
          <w:b/>
        </w:rPr>
        <w:t>WhatsApp is now off by default</w:t>
      </w:r>
      <w:r>
        <w:t xml:space="preserve"> at the channel-enablement level too (</w:t>
      </w:r>
      <w:r>
        <w:rPr>
          <w:rFonts w:ascii="Consolas" w:hAnsi="Consolas"/>
          <w:sz w:val="19"/>
        </w:rPr>
        <w:t>novu.bridge.channels.enabled</w:t>
      </w:r>
      <w:r>
        <w:t xml:space="preserve"> defaults to </w:t>
      </w:r>
      <w:r>
        <w:rPr>
          <w:rFonts w:ascii="Consolas" w:hAnsi="Consolas"/>
          <w:sz w:val="19"/>
        </w:rPr>
        <w:t>SMS,EMAIL</w:t>
      </w:r>
      <w:r>
        <w:t xml:space="preserve">) — set it explicitly to include </w:t>
      </w:r>
      <w:r>
        <w:rPr>
          <w:rFonts w:ascii="Consolas" w:hAnsi="Consolas"/>
          <w:sz w:val="19"/>
        </w:rPr>
        <w:t>WHATSAPP</w:t>
      </w:r>
      <w:r>
        <w:t xml:space="preserve"> if you rely on it, or events will persist as </w:t>
      </w:r>
      <w:r>
        <w:rPr>
          <w:rFonts w:ascii="Consolas" w:hAnsi="Consolas"/>
          <w:sz w:val="19"/>
        </w:rPr>
        <w:t>SKIPPED/NB_NO_PROVIDER</w:t>
      </w:r>
      <w:r>
        <w:t>.</w:t>
      </w:r>
    </w:p>
    <w:p>
      <w:pPr>
        <w:pStyle w:val="ListBullet"/>
      </w:pPr>
      <w:r>
        <w:t xml:space="preserve">Removed properties </w:t>
      </w:r>
      <w:r>
        <w:rPr>
          <w:rFonts w:ascii="Consolas" w:hAnsi="Consolas"/>
          <w:sz w:val="19"/>
        </w:rPr>
        <w:t>novu.bridge.max.retries</w:t>
      </w:r>
      <w:r>
        <w:t xml:space="preserve"> and the </w:t>
      </w:r>
      <w:r>
        <w:rPr>
          <w:rFonts w:ascii="Consolas" w:hAnsi="Consolas"/>
          <w:sz w:val="19"/>
        </w:rPr>
        <w:t>novu.bridge.config.host</w:t>
      </w:r>
      <w:r>
        <w:t>/</w:t>
      </w:r>
      <w:r>
        <w:rPr>
          <w:rFonts w:ascii="Consolas" w:hAnsi="Consolas"/>
          <w:sz w:val="19"/>
        </w:rPr>
        <w:t>.resolve.path</w:t>
      </w:r>
      <w:r>
        <w:t>/</w:t>
      </w:r>
      <w:r>
        <w:rPr>
          <w:rFonts w:ascii="Consolas" w:hAnsi="Consolas"/>
          <w:sz w:val="19"/>
        </w:rPr>
        <w:t>.search.path</w:t>
      </w:r>
      <w:r>
        <w:t xml:space="preserve"> trio — delete these from any custom </w:t>
      </w:r>
      <w:r>
        <w:rPr>
          <w:rFonts w:ascii="Consolas" w:hAnsi="Consolas"/>
          <w:sz w:val="19"/>
        </w:rPr>
        <w:t>.env</w:t>
      </w:r>
      <w:r>
        <w:t>/property overrides, they no longer do anything.</w:t>
      </w:r>
    </w:p>
    <w:p>
      <w:pPr>
        <w:pStyle w:val="ListBullet"/>
      </w:pPr>
      <w:r>
        <w:t xml:space="preserve">Run the new out-of-order Flyway migration </w:t>
      </w:r>
      <w:r>
        <w:rPr>
          <w:rFonts w:ascii="Consolas" w:hAnsi="Consolas"/>
          <w:sz w:val="19"/>
        </w:rPr>
        <w:t>V20260701000000__extend_dispatch_unique_key.sql</w:t>
      </w:r>
      <w:r>
        <w:t xml:space="preserve"> with </w:t>
      </w:r>
      <w:r>
        <w:rPr>
          <w:rFonts w:ascii="Consolas" w:hAnsi="Consolas"/>
          <w:sz w:val="19"/>
        </w:rPr>
        <w:t>spring.flyway.out-of-order=true</w:t>
      </w:r>
      <w:r>
        <w:t xml:space="preserve"> set (already the repo default) — do not edit the older checksummed migrations to work around ordering.</w:t>
      </w:r>
    </w:p>
    <w:p>
      <w:pPr>
        <w:pStyle w:val="Heading2"/>
      </w:pPr>
      <w:r>
        <w:rPr>
          <w:color w:val="2E2E2E"/>
        </w:rPr>
        <w:t>3.4 pgr-services default boundary host changed</w:t>
      </w:r>
    </w:p>
    <w:p>
      <w:pPr>
        <w:ind w:left="216"/>
      </w:pPr>
      <w:r>
        <w:rPr>
          <w:b/>
          <w:color w:val="B00000"/>
        </w:rPr>
        <w:t xml:space="preserve">Check your override:  </w:t>
      </w:r>
      <w:r>
        <w:rPr>
          <w:rFonts w:ascii="Consolas" w:hAnsi="Consolas"/>
          <w:sz w:val="19"/>
        </w:rPr>
        <w:t>egov.boundary.host</w:t>
      </w:r>
      <w:r>
        <w:t xml:space="preserve"> default changed from </w:t>
      </w:r>
      <w:r>
        <w:rPr>
          <w:rFonts w:ascii="Consolas" w:hAnsi="Consolas"/>
          <w:sz w:val="19"/>
        </w:rPr>
        <w:t>http://localhost:8081</w:t>
      </w:r>
      <w:r>
        <w:t xml:space="preserve"> to </w:t>
      </w:r>
      <w:r>
        <w:rPr>
          <w:rFonts w:ascii="Consolas" w:hAnsi="Consolas"/>
          <w:sz w:val="19"/>
        </w:rPr>
        <w:t>http://boundary-service.egov:8080/</w:t>
      </w:r>
      <w:r>
        <w:t xml:space="preserve"> (in-cluster service name). If you already set this explicitly you are unaffected; if you relied on the old default, set it explicitly to your actual boundary-service address.</w:t>
      </w:r>
    </w:p>
    <w:p>
      <w:pPr>
        <w:pStyle w:val="Heading2"/>
      </w:pPr>
      <w:r>
        <w:rPr>
          <w:color w:val="2E2E2E"/>
        </w:rPr>
        <w:t>3.5 RBAC / security-policy re-seed</w:t>
      </w:r>
    </w:p>
    <w:p>
      <w:pPr>
        <w:ind w:left="216"/>
      </w:pPr>
      <w:r>
        <w:rPr>
          <w:b/>
          <w:color w:val="B00000"/>
        </w:rPr>
        <w:t xml:space="preserve">Action required:  </w:t>
      </w:r>
      <w:r>
        <w:t xml:space="preserve">default-data-handler seeding is create-only — an already-live tenant will not automatically pick up the new </w:t>
      </w:r>
      <w:r>
        <w:rPr>
          <w:rFonts w:ascii="Consolas" w:hAnsi="Consolas"/>
          <w:sz w:val="19"/>
        </w:rPr>
        <w:t>CMS_SCREENING_OFFICER</w:t>
      </w:r>
      <w:r>
        <w:t xml:space="preserve"> role/role-actions or the expanded </w:t>
      </w:r>
      <w:r>
        <w:rPr>
          <w:rFonts w:ascii="Consolas" w:hAnsi="Consolas"/>
          <w:sz w:val="19"/>
        </w:rPr>
        <w:t>DataSecurity.SecurityPolicy</w:t>
      </w:r>
      <w:r>
        <w:t xml:space="preserve"> PII-visibility grants. Re-run the relevant seed step manually, or apply the equivalent MDMS records by hand, and review the new PII-visibility defaults before applying them to a tenant with its own custom security policy.</w:t>
      </w:r>
    </w:p>
    <w:p>
      <w:pPr>
        <w:pStyle w:val="Heading1"/>
      </w:pPr>
      <w:r>
        <w:rPr>
          <w:color w:val="1F4E79"/>
        </w:rPr>
        <w:t>4. New mandatory infrastructure (always-on after upgrade)</w:t>
      </w:r>
    </w:p>
    <w:p>
      <w:r>
        <w:t>These are not feature flags — every v2.12-beta deployment gets them, whether or not you use the features they support:</w:t>
      </w:r>
    </w:p>
    <w:p>
      <w:pPr>
        <w:pStyle w:val="ListBullet"/>
      </w:pPr>
      <w:r>
        <w:rPr>
          <w:b/>
        </w:rPr>
        <w:t>OpenTelemetry agent</w:t>
      </w:r>
      <w:r>
        <w:t xml:space="preserve"> — every Java service now mounts </w:t>
      </w:r>
      <w:r>
        <w:rPr>
          <w:rFonts w:ascii="Consolas" w:hAnsi="Consolas"/>
          <w:sz w:val="19"/>
        </w:rPr>
        <w:t>./otel/opentelemetry-javaagent.jar</w:t>
      </w:r>
      <w:r>
        <w:t xml:space="preserve"> and sets </w:t>
      </w:r>
      <w:r>
        <w:rPr>
          <w:rFonts w:ascii="Consolas" w:hAnsi="Consolas"/>
          <w:sz w:val="19"/>
        </w:rPr>
        <w:t>JAVA_TOOL_OPTIONS=-javaagent:...</w:t>
      </w:r>
      <w:r>
        <w:t xml:space="preserve">. Run </w:t>
      </w:r>
      <w:r>
        <w:rPr>
          <w:rFonts w:ascii="Consolas" w:hAnsi="Consolas"/>
          <w:sz w:val="19"/>
        </w:rPr>
        <w:t>local-setup/otel/download-agent.sh</w:t>
      </w:r>
      <w:r>
        <w:t xml:space="preserve"> (pinned version 2.11.0)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sz w:val="19"/>
        </w:rPr>
        <w:t>docker compose up</w:t>
      </w:r>
      <w:r>
        <w:t>, or every Java container fails to start on a missing mount source.</w:t>
      </w:r>
    </w:p>
    <w:p>
      <w:pPr>
        <w:pStyle w:val="ListBullet"/>
      </w:pPr>
      <w:r>
        <w:rPr>
          <w:b/>
        </w:rPr>
        <w:t>Full observability stack</w:t>
      </w:r>
      <w:r>
        <w:t xml:space="preserve"> — otel-collector, Tempo (tracing), Promtail+Loki (logs), Grafana+Prometheus (dashboards/metrics) start unconditionally. Budget the extra RAM/CPU/disk, and be aware of the new loopback ports (Loki 13100, Prometheus 19090, Tempo 13200, OTel-collector 14317/14318/13133, OpenBao 18200).</w:t>
      </w:r>
    </w:p>
    <w:p>
      <w:pPr>
        <w:pStyle w:val="ListBullet"/>
      </w:pPr>
      <w:r>
        <w:rPr>
          <w:b/>
        </w:rPr>
        <w:t>OpenBao</w:t>
      </w:r>
      <w:r>
        <w:t xml:space="preserve"> — see the backup note in §2. Initializes and auto-unseals on every deploy run.</w:t>
      </w:r>
    </w:p>
    <w:p>
      <w:pPr>
        <w:pStyle w:val="ListBullet"/>
      </w:pPr>
      <w:r>
        <w:rPr>
          <w:b/>
        </w:rPr>
        <w:t>audit-service, db-migrations, hrms-prereq-gate, user-seed</w:t>
      </w:r>
      <w:r>
        <w:t xml:space="preserve"> — new always-on compose services with no profile gate.</w:t>
      </w:r>
    </w:p>
    <w:p>
      <w:pPr>
        <w:pStyle w:val="ListBullet"/>
      </w:pPr>
      <w:r>
        <w:rPr>
          <w:b/>
        </w:rPr>
        <w:t>egov-enc-service dependency</w:t>
      </w:r>
      <w:r>
        <w:t xml:space="preserve"> — pgr-services now calls this service for PII encryption on every request path that touches it; it must be deployed and reachable or those calls fail.</w:t>
      </w:r>
    </w:p>
    <w:p>
      <w:pPr>
        <w:pStyle w:val="ListBullet"/>
      </w:pPr>
      <w:r>
        <w:rPr>
          <w:b/>
        </w:rPr>
        <w:t>PGR escalation scheduler and dashboard MV refresh</w:t>
      </w:r>
      <w:r>
        <w:t xml:space="preserve"> — both default ON (</w:t>
      </w:r>
      <w:r>
        <w:rPr>
          <w:rFonts w:ascii="Consolas" w:hAnsi="Consolas"/>
          <w:sz w:val="19"/>
        </w:rPr>
        <w:t>pgr.escalation.enabled</w:t>
      </w:r>
      <w:r>
        <w:t xml:space="preserve">, </w:t>
      </w:r>
      <w:r>
        <w:rPr>
          <w:rFonts w:ascii="Consolas" w:hAnsi="Consolas"/>
          <w:sz w:val="19"/>
        </w:rPr>
        <w:t>pgr.dashboard.refresh.enabled</w:t>
      </w:r>
      <w:r>
        <w:t xml:space="preserve">). The escalation scheduler needs the </w:t>
      </w:r>
      <w:r>
        <w:rPr>
          <w:rFonts w:ascii="Consolas" w:hAnsi="Consolas"/>
          <w:sz w:val="19"/>
        </w:rPr>
        <w:t>pgr-escalation-events</w:t>
      </w:r>
      <w:r>
        <w:t xml:space="preserve"> Kafka topic to exist.</w:t>
      </w:r>
    </w:p>
    <w:p>
      <w:pPr>
        <w:pStyle w:val="Heading1"/>
      </w:pPr>
      <w:r>
        <w:rPr>
          <w:color w:val="1F4E79"/>
        </w:rPr>
        <w:t>5. Required database migrations</w:t>
      </w:r>
    </w:p>
    <w:p>
      <w:r>
        <w:t xml:space="preserve">Run all pending Flyway migrations for pgr-services (and novu-bridge, xstate-chatbot if in use) as part of the upgrade. They must run in order — several </w:t>
      </w:r>
      <w:r>
        <w:rPr>
          <w:rFonts w:ascii="Consolas" w:hAnsi="Consolas"/>
          <w:sz w:val="19"/>
        </w:rPr>
        <w:t>DROP MATERIALIZED VIEW ... CASCADE</w:t>
      </w:r>
      <w:r>
        <w:t xml:space="preserve"> and recreate later in the sequence: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Migration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Service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V20260422000000__create_dashboard_mvs.sql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V20260608000000__create_v2_grain_mvs.sql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V20260609000000__add_assignment_routing_flags_to_facts.sql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V20260621000000__add_extended_attributes.sql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V20260623120000__open_complaint_age_buckets.sql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V20260629000000__grain_scope_columns.sql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V20260708000000__sla_and_hierarchy_grains.sql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V20260715000000__create_hrms_projection.sql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V20260716000000__hier_path_null_on_dotted_node_codes.sql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V20260717000000__hier_path_null_on_dotted_parent_codes.sql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V20260701000000__extend_dispatch_unique_key.sql (out-of-order)</w:t>
            </w:r>
          </w:p>
        </w:tc>
        <w:tc>
          <w:tcPr>
            <w:tcW w:type="dxa" w:w="2880"/>
          </w:tcPr>
          <w:p>
            <w:r/>
            <w:r>
              <w:t>novu-bridge, if in use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V20260505000000__chat.sql (new DB)</w:t>
            </w:r>
          </w:p>
        </w:tc>
        <w:tc>
          <w:tcPr>
            <w:tcW w:type="dxa" w:w="2880"/>
          </w:tcPr>
          <w:p>
            <w:r/>
            <w:r>
              <w:t>xstate-chatbot, if in use</w:t>
            </w:r>
          </w:p>
        </w:tc>
      </w:tr>
    </w:tbl>
    <w:p/>
    <w:p>
      <w:r>
        <w:rPr>
          <w:i/>
        </w:rPr>
        <w:t xml:space="preserve">Before running these in production, check the new </w:t>
      </w:r>
      <w:r>
        <w:rPr>
          <w:rFonts w:ascii="Consolas" w:hAnsi="Consolas"/>
          <w:i/>
          <w:sz w:val="19"/>
        </w:rPr>
        <w:t>flyway-dump-alignment</w:t>
      </w:r>
      <w:r>
        <w:rPr>
          <w:i/>
        </w:rPr>
        <w:t xml:space="preserve"> CI gate's logic (</w:t>
      </w:r>
      <w:r>
        <w:rPr>
          <w:rFonts w:ascii="Consolas" w:hAnsi="Consolas"/>
          <w:i/>
          <w:sz w:val="19"/>
        </w:rPr>
        <w:t>.github/workflows/flyway-dump-alignment.yml</w:t>
      </w:r>
      <w:r>
        <w:rPr>
          <w:i/>
        </w:rPr>
        <w:t xml:space="preserve">) — it exists specifically to catch a </w:t>
      </w:r>
      <w:r>
        <w:rPr>
          <w:rFonts w:ascii="Consolas" w:hAnsi="Consolas"/>
          <w:i/>
          <w:sz w:val="19"/>
        </w:rPr>
        <w:t>SPRING_FLYWAY_TABLE</w:t>
      </w:r>
      <w:r>
        <w:rPr>
          <w:i/>
        </w:rPr>
        <w:t xml:space="preserve"> / seeded-dump mismatch that makes Flyway try to re-run already-applied migrations and crash with </w:t>
      </w:r>
      <w:r>
        <w:rPr>
          <w:rFonts w:ascii="Consolas" w:hAnsi="Consolas"/>
          <w:i/>
          <w:sz w:val="19"/>
        </w:rPr>
        <w:t>42P07 relation already exists</w:t>
      </w:r>
      <w:r>
        <w:rPr>
          <w:i/>
        </w:rPr>
        <w:t>.</w:t>
      </w:r>
    </w:p>
    <w:p>
      <w:pPr>
        <w:pStyle w:val="Heading1"/>
      </w:pPr>
      <w:r>
        <w:rPr>
          <w:color w:val="1F4E79"/>
        </w:rPr>
        <w:t>6. Optional features you may want to enable</w:t>
      </w:r>
    </w:p>
    <w:p>
      <w:r>
        <w:t>None of these are required to upgrade — enable only what you need: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Flag(s)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Config-driven PGR notifications (SMS/WhatsApp/Email)</w:t>
            </w:r>
          </w:p>
        </w:tc>
        <w:tc>
          <w:tcPr>
            <w:tcW w:type="dxa" w:w="2880"/>
          </w:tcPr>
          <w:p>
            <w:r/>
            <w:r>
              <w:t>pgr.notification.config.driven=true + notif-mdms-seed/seed.sh + Twilio creds</w:t>
            </w:r>
          </w:p>
        </w:tc>
        <w:tc>
          <w:tcPr>
            <w:tcW w:type="dxa" w:w="2880"/>
          </w:tcPr>
          <w:p>
            <w:r/>
            <w:r>
              <w:t>See §3.3 for channel defaults to review first</w:t>
            </w:r>
          </w:p>
        </w:tc>
      </w:tr>
      <w:tr>
        <w:tc>
          <w:tcPr>
            <w:tcW w:type="dxa" w:w="2880"/>
          </w:tcPr>
          <w:p>
            <w:r/>
            <w:r>
              <w:t>PGR Visibility V1 (My/All inbox tabs, reportee-scoped inbox)</w:t>
            </w:r>
          </w:p>
        </w:tc>
        <w:tc>
          <w:tcPr>
            <w:tcW w:type="dxa" w:w="2880"/>
          </w:tcPr>
          <w:p>
            <w:r/>
            <w:r>
              <w:t>pgr.visibility.enabled=true / PGR_VISIBILITY_ENABLED + RAINMAKER-PGR.InboxVisibilityConfig record</w:t>
            </w:r>
          </w:p>
        </w:tc>
        <w:tc>
          <w:tcPr>
            <w:tcW w:type="dxa" w:w="2880"/>
          </w:tcPr>
          <w:p>
            <w:r/>
            <w:r>
              <w:t>Needs the new eg_pgr_hrms_projection table (migration #8) and HRMS Kafka topics</w:t>
            </w:r>
          </w:p>
        </w:tc>
      </w:tr>
      <w:tr>
        <w:tc>
          <w:tcPr>
            <w:tcW w:type="dxa" w:w="2880"/>
          </w:tcPr>
          <w:p>
            <w:r/>
            <w:r>
              <w:t>Keycloak SSO</w:t>
            </w:r>
          </w:p>
        </w:tc>
        <w:tc>
          <w:tcPr>
            <w:tcW w:type="dxa" w:w="2880"/>
          </w:tcPr>
          <w:p>
            <w:r/>
            <w:r>
              <w:t>enable_keycloak + auth_provider: keycloak</w:t>
            </w:r>
          </w:p>
        </w:tc>
        <w:tc>
          <w:tcPr>
            <w:tcW w:type="dxa" w:w="2880"/>
          </w:tcPr>
          <w:p>
            <w:r/>
            <w:r>
              <w:t>Two-step cutover by design — enabling the service does not switch auth until auth_provider is flipped</w:t>
            </w:r>
          </w:p>
        </w:tc>
      </w:tr>
      <w:tr>
        <w:tc>
          <w:tcPr>
            <w:tcW w:type="dxa" w:w="2880"/>
          </w:tcPr>
          <w:p>
            <w:r/>
            <w:r>
              <w:t>digit-ui-v2 citizen SPA</w:t>
            </w:r>
          </w:p>
        </w:tc>
        <w:tc>
          <w:tcPr>
            <w:tcW w:type="dxa" w:w="2880"/>
          </w:tcPr>
          <w:p>
            <w:r/>
            <w:r>
              <w:t>enable_digit_ui_v2</w:t>
            </w:r>
          </w:p>
        </w:tc>
        <w:tc>
          <w:tcPr>
            <w:tcW w:type="dxa" w:w="2880"/>
          </w:tcPr>
          <w:p>
            <w:r/>
            <w:r>
              <w:t>Serves alongside the existing citizen UI at /citizen/</w:t>
            </w:r>
          </w:p>
        </w:tc>
      </w:tr>
      <w:tr>
        <w:tc>
          <w:tcPr>
            <w:tcW w:type="dxa" w:w="2880"/>
          </w:tcPr>
          <w:p>
            <w:r/>
            <w:r>
              <w:t>Elasticsearch-backed inbox v2</w:t>
            </w:r>
          </w:p>
        </w:tc>
        <w:tc>
          <w:tcPr>
            <w:tcW w:type="dxa" w:w="2880"/>
          </w:tcPr>
          <w:p>
            <w:r/>
            <w:r>
              <w:t>enable_search_stack</w:t>
            </w:r>
          </w:p>
        </w:tc>
        <w:tc>
          <w:tcPr>
            <w:tcW w:type="dxa" w:w="2880"/>
          </w:tcPr>
          <w:p>
            <w:r/>
            <w:r>
              <w:t>~3GB additional RAM</w:t>
            </w:r>
          </w:p>
        </w:tc>
      </w:tr>
      <w:tr>
        <w:tc>
          <w:tcPr>
            <w:tcW w:type="dxa" w:w="2880"/>
          </w:tcPr>
          <w:p>
            <w:r/>
            <w:r>
              <w:t>Real OTP delivery</w:t>
            </w:r>
          </w:p>
        </w:tc>
        <w:tc>
          <w:tcPr>
            <w:tcW w:type="dxa" w:w="2880"/>
          </w:tcPr>
          <w:p>
            <w:r/>
            <w:r>
              <w:t>enable_otp_services</w:t>
            </w:r>
          </w:p>
        </w:tc>
        <w:tc>
          <w:tcPr>
            <w:tcW w:type="dxa" w:w="2880"/>
          </w:tcPr>
          <w:p>
            <w:r/>
            <w:r>
              <w:t>Kong mocks a fixed OTP otherwise</w:t>
            </w:r>
          </w:p>
        </w:tc>
      </w:tr>
      <w:tr>
        <w:tc>
          <w:tcPr>
            <w:tcW w:type="dxa" w:w="2880"/>
          </w:tcPr>
          <w:p>
            <w:r/>
            <w:r>
              <w:t>Turbopass / self-hosted Overpass</w:t>
            </w:r>
          </w:p>
        </w:tc>
        <w:tc>
          <w:tcPr>
            <w:tcW w:type="dxa" w:w="2880"/>
          </w:tcPr>
          <w:p>
            <w:r/>
            <w:r>
              <w:t>enable_turbopass / enable_overpass</w:t>
            </w:r>
          </w:p>
        </w:tc>
        <w:tc>
          <w:tcPr>
            <w:tcW w:type="dxa" w:w="2880"/>
          </w:tcPr>
          <w:p>
            <w:r/>
            <w:r>
              <w:t>OSM-based location autocomplete for Configurator</w:t>
            </w:r>
          </w:p>
        </w:tc>
      </w:tr>
    </w:tbl>
    <w:p/>
    <w:p>
      <w:pPr>
        <w:pStyle w:val="Heading1"/>
      </w:pPr>
      <w:r>
        <w:rPr>
          <w:color w:val="1F4E79"/>
        </w:rPr>
        <w:t>7. Suggested upgrade procedure</w:t>
      </w:r>
    </w:p>
    <w:p>
      <w:pPr>
        <w:pStyle w:val="ListBullet"/>
      </w:pPr>
      <w:r>
        <w:t xml:space="preserve">Back up all service databases and, once deployed, the OpenBao </w:t>
      </w:r>
      <w:r>
        <w:rPr>
          <w:rFonts w:ascii="Consolas" w:hAnsi="Consolas"/>
          <w:sz w:val="19"/>
        </w:rPr>
        <w:t>init.json</w:t>
      </w:r>
      <w:r>
        <w:t xml:space="preserve"> (§2).</w:t>
      </w:r>
    </w:p>
    <w:p>
      <w:pPr>
        <w:pStyle w:val="ListBullet"/>
      </w:pPr>
      <w:r>
        <w:t xml:space="preserve">Create/verify country-specific master data before flipping any validation-related service: </w:t>
      </w:r>
      <w:r>
        <w:rPr>
          <w:rFonts w:ascii="Consolas" w:hAnsi="Consolas"/>
          <w:sz w:val="19"/>
        </w:rPr>
        <w:t>common-masters.MobileNumberValidation</w:t>
      </w:r>
      <w:r>
        <w:t xml:space="preserve"> for your locale (§3.2), </w:t>
      </w:r>
      <w:r>
        <w:rPr>
          <w:rFonts w:ascii="Consolas" w:hAnsi="Consolas"/>
          <w:sz w:val="19"/>
        </w:rPr>
        <w:t>core_postal_configs</w:t>
      </w:r>
      <w:r>
        <w:t>/</w:t>
      </w:r>
      <w:r>
        <w:rPr>
          <w:rFonts w:ascii="Consolas" w:hAnsi="Consolas"/>
          <w:sz w:val="19"/>
        </w:rPr>
        <w:t>core_mobile_configs</w:t>
      </w:r>
      <w:r>
        <w:t xml:space="preserve"> in your tenant's </w:t>
      </w:r>
      <w:r>
        <w:rPr>
          <w:rFonts w:ascii="Consolas" w:hAnsi="Consolas"/>
          <w:sz w:val="19"/>
        </w:rPr>
        <w:t>host_vars/&lt;tenant&gt;.yml</w:t>
      </w:r>
      <w:r>
        <w:t>.</w:t>
      </w:r>
    </w:p>
    <w:p>
      <w:pPr>
        <w:pStyle w:val="ListBullet"/>
      </w:pPr>
      <w:r>
        <w:t xml:space="preserve">Migrate </w:t>
      </w:r>
      <w:r>
        <w:rPr>
          <w:rFonts w:ascii="Consolas" w:hAnsi="Consolas"/>
          <w:sz w:val="19"/>
        </w:rPr>
        <w:t>ServiceDefs</w:t>
      </w:r>
      <w:r>
        <w:t xml:space="preserve"> → </w:t>
      </w:r>
      <w:r>
        <w:rPr>
          <w:rFonts w:ascii="Consolas" w:hAnsi="Consolas"/>
          <w:sz w:val="19"/>
        </w:rPr>
        <w:t>ComplaintHierarchyDefinition</w:t>
      </w:r>
      <w:r>
        <w:t xml:space="preserve"> + </w:t>
      </w:r>
      <w:r>
        <w:rPr>
          <w:rFonts w:ascii="Consolas" w:hAnsi="Consolas"/>
          <w:sz w:val="19"/>
        </w:rPr>
        <w:t>ComplaintHierarchy</w:t>
      </w:r>
      <w:r>
        <w:t xml:space="preserve"> for your tenant's complaint types (§3.1), and confirm the </w:t>
      </w:r>
      <w:r>
        <w:rPr>
          <w:rFonts w:ascii="Consolas" w:hAnsi="Consolas"/>
          <w:sz w:val="19"/>
        </w:rPr>
        <w:t>Workflow.BusinessServiceMasterConfig</w:t>
      </w:r>
      <w:r>
        <w:t xml:space="preserve"> </w:t>
      </w:r>
      <w:r>
        <w:rPr>
          <w:rFonts w:ascii="Consolas" w:hAnsi="Consolas"/>
          <w:sz w:val="19"/>
        </w:rPr>
        <w:t>PGR</w:t>
      </w:r>
      <w:r>
        <w:t xml:space="preserve"> row exists.</w:t>
      </w:r>
    </w:p>
    <w:p>
      <w:pPr>
        <w:pStyle w:val="ListBullet"/>
      </w:pPr>
      <w:r>
        <w:t>Re-seed / manually apply the new RBAC role, role-actions, and security-policy rows (§3.5).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local-setup/otel/download-agent.sh</w:t>
      </w:r>
      <w:r>
        <w:t xml:space="preserve"> before bringing up the new compose stack (§4).</w:t>
      </w:r>
    </w:p>
    <w:p>
      <w:pPr>
        <w:pStyle w:val="ListBullet"/>
      </w:pPr>
      <w:r>
        <w:t xml:space="preserve">Deploy v2.12-beta (Ansible: populate </w:t>
      </w:r>
      <w:r>
        <w:rPr>
          <w:rFonts w:ascii="Consolas" w:hAnsi="Consolas"/>
          <w:sz w:val="19"/>
        </w:rPr>
        <w:t>host_vars/&lt;tenant&gt;.yml</w:t>
      </w:r>
      <w:r>
        <w:t xml:space="preserve"> from </w:t>
      </w:r>
      <w:r>
        <w:rPr>
          <w:rFonts w:ascii="Consolas" w:hAnsi="Consolas"/>
          <w:sz w:val="19"/>
        </w:rPr>
        <w:t>_example.yml</w:t>
      </w:r>
      <w:r>
        <w:t xml:space="preserve">, run </w:t>
      </w:r>
      <w:r>
        <w:rPr>
          <w:rFonts w:ascii="Consolas" w:hAnsi="Consolas"/>
          <w:sz w:val="19"/>
        </w:rPr>
        <w:t>deploy.sh &lt;tenant&gt;</w:t>
      </w:r>
      <w:r>
        <w:t xml:space="preserve">; Compose: use </w:t>
      </w:r>
      <w:r>
        <w:rPr>
          <w:rFonts w:ascii="Consolas" w:hAnsi="Consolas"/>
          <w:sz w:val="19"/>
        </w:rPr>
        <w:t>docker-compose.egov-digit.yaml</w:t>
      </w:r>
      <w:r>
        <w:t>).</w:t>
      </w:r>
    </w:p>
    <w:p>
      <w:pPr>
        <w:pStyle w:val="ListBullet"/>
      </w:pPr>
      <w:r>
        <w:t xml:space="preserve">Let Flyway apply the migrations in §5 (in order); verify with the app logs / </w:t>
      </w:r>
      <w:r>
        <w:rPr>
          <w:rFonts w:ascii="Consolas" w:hAnsi="Consolas"/>
          <w:sz w:val="19"/>
        </w:rPr>
        <w:t>flyway_schema_history</w:t>
      </w:r>
      <w:r>
        <w:t xml:space="preserve"> table that all listed migrations show </w:t>
      </w:r>
      <w:r>
        <w:rPr>
          <w:rFonts w:ascii="Consolas" w:hAnsi="Consolas"/>
          <w:sz w:val="19"/>
        </w:rPr>
        <w:t>success=true</w:t>
      </w:r>
      <w:r>
        <w:t>.</w:t>
      </w:r>
    </w:p>
    <w:p>
      <w:pPr>
        <w:pStyle w:val="ListBullet"/>
      </w:pPr>
      <w:r>
        <w:t xml:space="preserve">Review </w:t>
      </w:r>
      <w:r>
        <w:rPr>
          <w:rFonts w:ascii="Consolas" w:hAnsi="Consolas"/>
          <w:sz w:val="19"/>
        </w:rPr>
        <w:t>novu-bridge</w:t>
      </w:r>
      <w:r>
        <w:t xml:space="preserve"> channel defaults if you already used it (§3.3) before assuming WhatsApp still works unchanged.</w:t>
      </w:r>
    </w:p>
    <w:p>
      <w:pPr>
        <w:pStyle w:val="ListBullet"/>
      </w:pPr>
      <w:r>
        <w:t>Opt into any features from §6 as needed.</w:t>
      </w:r>
    </w:p>
    <w:p>
      <w:pPr>
        <w:pStyle w:val="ListBullet"/>
      </w:pPr>
      <w:r>
        <w:t>Run through §8's verification checklist.</w:t>
      </w:r>
    </w:p>
    <w:p>
      <w:pPr>
        <w:pStyle w:val="Heading1"/>
      </w:pPr>
      <w:r>
        <w:rPr>
          <w:color w:val="1F4E79"/>
        </w:rPr>
        <w:t>8. Post-upgrade verification checklist</w:t>
      </w:r>
    </w:p>
    <w:p>
      <w:pPr>
        <w:pStyle w:val="ListBullet"/>
      </w:pPr>
      <w:r>
        <w:t>Complaint create/assign/resolve/escalate flow works end-to-end for at least one complaint type per (migrated) hierarchy branch.</w:t>
      </w:r>
    </w:p>
    <w:p>
      <w:pPr>
        <w:pStyle w:val="ListBullet"/>
      </w:pPr>
      <w:r>
        <w:t>Employee inbox loads and paginates; if Visibility V1 is enabled, the My/All tabs return the expected scoped results.</w:t>
      </w:r>
    </w:p>
    <w:p>
      <w:pPr>
        <w:pStyle w:val="ListBullet"/>
      </w:pPr>
      <w:r>
        <w:t>Mobile-number entry accepts your tenant's real number format on both citizen and employee create-complaint forms.</w:t>
      </w:r>
    </w:p>
    <w:p>
      <w:pPr>
        <w:pStyle w:val="ListBullet"/>
      </w:pPr>
      <w:r>
        <w:t>Dashboard loads without errors and KPI tiles show non-null values (confirms the new materialized views populated correctly).</w:t>
      </w:r>
    </w:p>
    <w:p>
      <w:pPr>
        <w:pStyle w:val="ListBullet"/>
      </w:pPr>
      <w:r>
        <w:t xml:space="preserve">If notifications are enabled: </w:t>
      </w:r>
      <w:r>
        <w:rPr>
          <w:rFonts w:ascii="Consolas" w:hAnsi="Consolas"/>
          <w:sz w:val="19"/>
        </w:rPr>
        <w:t>drive-test-complaint.py</w:t>
      </w:r>
      <w:r>
        <w:t xml:space="preserve"> (local-setup/scripts) completes and a real SMS/WhatsApp message is received.</w:t>
      </w:r>
    </w:p>
    <w:p>
      <w:pPr>
        <w:pStyle w:val="ListBullet"/>
      </w:pPr>
      <w:r>
        <w:t>Grafana/Prometheus/Loki/Tempo are reachable on their new ports and receiving data from at least one Java service.</w:t>
      </w:r>
    </w:p>
    <w:p>
      <w:pPr>
        <w:pStyle w:val="ListBullet"/>
      </w:pPr>
      <w:r>
        <w:t xml:space="preserve">The backed-up OpenBao </w:t>
      </w:r>
      <w:r>
        <w:rPr>
          <w:rFonts w:ascii="Consolas" w:hAnsi="Consolas"/>
          <w:sz w:val="19"/>
        </w:rPr>
        <w:t>init.json</w:t>
      </w:r>
      <w:r>
        <w:t xml:space="preserve"> matches what is currently on disk at </w:t>
      </w:r>
      <w:r>
        <w:rPr>
          <w:rFonts w:ascii="Consolas" w:hAnsi="Consolas"/>
          <w:sz w:val="19"/>
        </w:rPr>
        <w:t>/opt/digit/.openbao/init.json</w:t>
      </w:r>
      <w:r>
        <w:t>.</w:t>
      </w:r>
    </w:p>
    <w:p>
      <w:r>
        <w:rPr>
          <w:i/>
        </w:rPr>
        <w:t>This document was compiled from a structured survey of the git history between tag v2.11 and develop @ 43635f737. A small number of items are flagged in the companion changelog as unverified in full depth (e.g. the complete Kong route diff, and full xstate-chatbot config audit) — confirm those directly before relying on this guide for a production cutover.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