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CCRS v2.12-beta — Configuration &amp; Infrastructure Changelog</w:t>
      </w:r>
    </w:p>
    <w:p>
      <w:r>
        <w:rPr>
          <w:i/>
          <w:color w:val="555555"/>
          <w:sz w:val="20"/>
        </w:rPr>
        <w:t>New master data, schemas, service-level configuration, and DevOps/infrastructure changes</w:t>
      </w:r>
    </w:p>
    <w:p>
      <w:r>
        <w:rPr>
          <w:i/>
          <w:color w:val="555555"/>
          <w:sz w:val="20"/>
        </w:rPr>
        <w:t>Scope: git tag v2.11 (47316a512, 2026-04-17) through develop @ 43635f737 (2026-07-20)</w:t>
      </w:r>
    </w:p>
    <w:p>
      <w:r>
        <w:rPr>
          <w:i/>
          <w:color w:val="555555"/>
          <w:sz w:val="20"/>
        </w:rPr>
        <w:t>Companion to docs/release-notes-v2.12.md (feature-level changelog) — this document is config/infra-focused, for release and operations audiences.</w:t>
      </w:r>
    </w:p>
    <w:p/>
    <w:p>
      <w:pPr>
        <w:pStyle w:val="Heading1"/>
      </w:pPr>
      <w:r>
        <w:rPr>
          <w:color w:val="1F4E79"/>
        </w:rPr>
        <w:t>1. New &amp; Changed Master Data (MDMS)</w:t>
      </w:r>
    </w:p>
    <w:p>
      <w:r>
        <w:t xml:space="preserve">All MDMS-v2 master data lives under </w:t>
      </w:r>
      <w:r>
        <w:rPr>
          <w:rFonts w:ascii="Consolas" w:hAnsi="Consolas"/>
          <w:sz w:val="19"/>
        </w:rPr>
        <w:t>utilities/default-data-handler</w:t>
      </w:r>
      <w:r>
        <w:t xml:space="preserve"> (auto-seeded on fresh installs) unless noted otherwise. Items marked </w:t>
      </w:r>
      <w:r>
        <w:rPr>
          <w:b/>
        </w:rPr>
        <w:t>BREAKING</w:t>
      </w:r>
      <w:r>
        <w:t xml:space="preserve"> require operator action on an existing tenant — they are not automatically backfilled by an in-place upgrade.</w:t>
      </w:r>
    </w:p>
    <w:p>
      <w:pPr>
        <w:pStyle w:val="Heading2"/>
      </w:pPr>
      <w:r>
        <w:rPr>
          <w:color w:val="2E2E2E"/>
        </w:rPr>
        <w:t>1.1 Complaint Hierarchy (RAINMAKER-PGR)</w:t>
      </w:r>
    </w:p>
    <w:p>
      <w:pPr>
        <w:ind w:left="216"/>
      </w:pPr>
      <w:r>
        <w:rPr>
          <w:b/>
          <w:color w:val="B00000"/>
        </w:rPr>
        <w:t xml:space="preserve">BREAKING —  </w:t>
      </w:r>
      <w:r>
        <w:rPr>
          <w:rFonts w:ascii="Consolas" w:hAnsi="Consolas"/>
          <w:sz w:val="19"/>
        </w:rPr>
        <w:t>RAINMAKER-PGR.ServiceDefs</w:t>
      </w:r>
      <w:r>
        <w:t xml:space="preserve"> is removed. Replaced by a two-master model:</w:t>
      </w:r>
    </w:p>
    <w:p>
      <w:pPr>
        <w:pStyle w:val="ListBullet"/>
      </w:pPr>
      <w:r>
        <w:rPr>
          <w:rFonts w:ascii="Consolas" w:hAnsi="Consolas"/>
          <w:b/>
          <w:sz w:val="19"/>
        </w:rPr>
        <w:t>RAINMAKER-PGR.ComplaintHierarchyDefinition</w:t>
      </w:r>
      <w:r>
        <w:t xml:space="preserve"> (NEW) — declares ordered, tenant-configurable classification levels (</w:t>
      </w:r>
      <w:r>
        <w:rPr>
          <w:rFonts w:ascii="Consolas" w:hAnsi="Consolas"/>
          <w:sz w:val="19"/>
        </w:rPr>
        <w:t>hierarchyType</w:t>
      </w:r>
      <w:r>
        <w:t xml:space="preserve">, </w:t>
      </w:r>
      <w:r>
        <w:rPr>
          <w:rFonts w:ascii="Consolas" w:hAnsi="Consolas"/>
          <w:sz w:val="19"/>
        </w:rPr>
        <w:t>levels[]</w:t>
      </w:r>
      <w:r>
        <w:t xml:space="preserve"> with </w:t>
      </w:r>
      <w:r>
        <w:rPr>
          <w:rFonts w:ascii="Consolas" w:hAnsi="Consolas"/>
          <w:sz w:val="19"/>
        </w:rPr>
        <w:t>levelCode/order/parentLevel/isFreeText/isLeafServiceCode/label</w:t>
      </w:r>
      <w:r>
        <w:t xml:space="preserve">). Default shipped data: a 2-level </w:t>
      </w:r>
      <w:r>
        <w:rPr>
          <w:rFonts w:ascii="Consolas" w:hAnsi="Consolas"/>
          <w:sz w:val="19"/>
        </w:rPr>
        <w:t>PGR</w:t>
      </w:r>
      <w:r>
        <w:t xml:space="preserve"> hierarchy (</w:t>
      </w:r>
      <w:r>
        <w:rPr>
          <w:rFonts w:ascii="Consolas" w:hAnsi="Consolas"/>
          <w:sz w:val="19"/>
        </w:rPr>
        <w:t>CATEGORY</w:t>
      </w:r>
      <w:r>
        <w:t xml:space="preserve"> → </w:t>
      </w:r>
      <w:r>
        <w:rPr>
          <w:rFonts w:ascii="Consolas" w:hAnsi="Consolas"/>
          <w:sz w:val="19"/>
        </w:rPr>
        <w:t>SUB_TYPE</w:t>
      </w:r>
      <w:r>
        <w:t>).</w:t>
      </w:r>
    </w:p>
    <w:p>
      <w:pPr>
        <w:pStyle w:val="ListBullet"/>
      </w:pPr>
      <w:r>
        <w:rPr>
          <w:rFonts w:ascii="Consolas" w:hAnsi="Consolas"/>
          <w:b/>
          <w:sz w:val="19"/>
        </w:rPr>
        <w:t>RAINMAKER-PGR.ComplaintHierarchy</w:t>
      </w:r>
      <w:r>
        <w:t xml:space="preserve"> (NEW) — single adjacency-list master holding both interior category nodes and leaf sub-types (</w:t>
      </w:r>
      <w:r>
        <w:rPr>
          <w:rFonts w:ascii="Consolas" w:hAnsi="Consolas"/>
          <w:sz w:val="19"/>
        </w:rPr>
        <w:t>hierarchyType, levelCode, code, parentCode, path, name, order, active</w:t>
      </w:r>
      <w:r>
        <w:t xml:space="preserve">; leaves add </w:t>
      </w:r>
      <w:r>
        <w:rPr>
          <w:rFonts w:ascii="Consolas" w:hAnsi="Consolas"/>
          <w:sz w:val="19"/>
        </w:rPr>
        <w:t>department, departments[], slaHours, keywords</w:t>
      </w:r>
      <w:r>
        <w:t xml:space="preserve">). A leaf's </w:t>
      </w:r>
      <w:r>
        <w:rPr>
          <w:rFonts w:ascii="Consolas" w:hAnsi="Consolas"/>
          <w:sz w:val="19"/>
        </w:rPr>
        <w:t>code</w:t>
      </w:r>
      <w:r>
        <w:t xml:space="preserve"> </w:t>
      </w:r>
      <w:r>
        <w:rPr>
          <w:b/>
        </w:rPr>
        <w:t>is</w:t>
      </w:r>
      <w:r>
        <w:t xml:space="preserve"> the </w:t>
      </w:r>
      <w:r>
        <w:rPr>
          <w:rFonts w:ascii="Consolas" w:hAnsi="Consolas"/>
          <w:sz w:val="19"/>
        </w:rPr>
        <w:t>serviceCode</w:t>
      </w:r>
      <w:r>
        <w:t xml:space="preserve"> stored on a complaint, so already-filed complaints stay compatible as long as the same codes are reused.</w:t>
      </w:r>
    </w:p>
    <w:p>
      <w:pPr>
        <w:pStyle w:val="ListBullet"/>
      </w:pPr>
      <w:r>
        <w:t xml:space="preserve">Migration path: any tenant's existing </w:t>
      </w:r>
      <w:r>
        <w:rPr>
          <w:rFonts w:ascii="Consolas" w:hAnsi="Consolas"/>
          <w:sz w:val="19"/>
        </w:rPr>
        <w:t>ServiceDefs</w:t>
      </w:r>
      <w:r>
        <w:t xml:space="preserve"> rows must be hand-transformed into the two new masters. No automated backfill script ships in this repo.</w:t>
      </w:r>
    </w:p>
    <w:p>
      <w:pPr>
        <w:pStyle w:val="ListBullet"/>
      </w:pPr>
      <w:r>
        <w:rPr>
          <w:rFonts w:ascii="Consolas" w:hAnsi="Consolas"/>
          <w:b/>
          <w:sz w:val="19"/>
        </w:rPr>
        <w:t>RAINMAKER-PGR.ComplaintExtendedAttributeSchema</w:t>
      </w:r>
      <w:r>
        <w:t xml:space="preserve"> (NEW) — per-</w:t>
      </w:r>
      <w:r>
        <w:rPr>
          <w:rFonts w:ascii="Consolas" w:hAnsi="Consolas"/>
          <w:sz w:val="19"/>
        </w:rPr>
        <w:t>schemaRef</w:t>
      </w:r>
      <w:r>
        <w:t xml:space="preserve"> JSON-Schema fragments for extended/confidential complaint fields (e.g. </w:t>
      </w:r>
      <w:r>
        <w:rPr>
          <w:rFonts w:ascii="Consolas" w:hAnsi="Consolas"/>
          <w:sz w:val="19"/>
        </w:rPr>
        <w:t>IgeComplaintExtendedAttributes</w:t>
      </w:r>
      <w:r>
        <w:t xml:space="preserve">), with </w:t>
      </w:r>
      <w:r>
        <w:rPr>
          <w:rFonts w:ascii="Consolas" w:hAnsi="Consolas"/>
          <w:sz w:val="19"/>
        </w:rPr>
        <w:t>x-security</w:t>
      </w:r>
      <w:r>
        <w:t xml:space="preserve"> attribute lists.</w:t>
      </w:r>
    </w:p>
    <w:p>
      <w:pPr>
        <w:pStyle w:val="ListBullet"/>
      </w:pPr>
      <w:r>
        <w:rPr>
          <w:rFonts w:ascii="Consolas" w:hAnsi="Consolas"/>
          <w:b/>
          <w:sz w:val="19"/>
        </w:rPr>
        <w:t>RAINMAKER-PGR.ComplaintRelatedToMap</w:t>
      </w:r>
      <w:r>
        <w:t xml:space="preserve"> (NEW) — lookup driving which extended-attribute schema applies to a complaint (</w:t>
      </w:r>
      <w:r>
        <w:rPr>
          <w:rFonts w:ascii="Consolas" w:hAnsi="Consolas"/>
          <w:sz w:val="19"/>
        </w:rPr>
        <w:t>IGE</w:t>
      </w:r>
      <w:r>
        <w:t xml:space="preserve">, </w:t>
      </w:r>
      <w:r>
        <w:rPr>
          <w:rFonts w:ascii="Consolas" w:hAnsi="Consolas"/>
          <w:sz w:val="19"/>
        </w:rPr>
        <w:t>IGSAE</w:t>
      </w:r>
      <w:r>
        <w:t xml:space="preserve"> codes).</w:t>
      </w:r>
    </w:p>
    <w:p>
      <w:pPr>
        <w:pStyle w:val="ListBullet"/>
      </w:pPr>
      <w:r>
        <w:rPr>
          <w:rFonts w:ascii="Consolas" w:hAnsi="Consolas"/>
          <w:b/>
          <w:sz w:val="19"/>
        </w:rPr>
        <w:t>RAINMAKER-PGR.ComplaintTemplateType</w:t>
      </w:r>
      <w:r>
        <w:t xml:space="preserve"> (NEW) — joins </w:t>
      </w:r>
      <w:r>
        <w:rPr>
          <w:rFonts w:ascii="Consolas" w:hAnsi="Consolas"/>
          <w:sz w:val="19"/>
        </w:rPr>
        <w:t>caseRelatedTo</w:t>
      </w:r>
      <w:r>
        <w:t xml:space="preserve"> → </w:t>
      </w:r>
      <w:r>
        <w:rPr>
          <w:rFonts w:ascii="Consolas" w:hAnsi="Consolas"/>
          <w:sz w:val="19"/>
        </w:rPr>
        <w:t>schemaRef</w:t>
      </w:r>
      <w:r>
        <w:t xml:space="preserve"> + allowed document types + allowed viewer roles (e.g. </w:t>
      </w:r>
      <w:r>
        <w:rPr>
          <w:rFonts w:ascii="Consolas" w:hAnsi="Consolas"/>
          <w:sz w:val="19"/>
        </w:rPr>
        <w:t>CONFIDENTIAL_COMPLAINT_VIEWER</w:t>
      </w:r>
      <w:r>
        <w:t>).</w:t>
      </w:r>
    </w:p>
    <w:p>
      <w:pPr>
        <w:pStyle w:val="ListBullet"/>
      </w:pPr>
      <w:r>
        <w:rPr>
          <w:rFonts w:ascii="Consolas" w:hAnsi="Consolas"/>
          <w:b/>
          <w:sz w:val="19"/>
        </w:rPr>
        <w:t>RAINMAKER-PGR.EscalationConfig</w:t>
      </w:r>
      <w:r>
        <w:t xml:space="preserve"> (NEW) — per-tenant auto-escalation SLA config (</w:t>
      </w:r>
      <w:r>
        <w:rPr>
          <w:rFonts w:ascii="Consolas" w:hAnsi="Consolas"/>
          <w:sz w:val="19"/>
        </w:rPr>
        <w:t>maxDepth</w:t>
      </w:r>
      <w:r>
        <w:t xml:space="preserve">, </w:t>
      </w:r>
      <w:r>
        <w:rPr>
          <w:rFonts w:ascii="Consolas" w:hAnsi="Consolas"/>
          <w:sz w:val="19"/>
        </w:rPr>
        <w:t>defaultSlaByLevel[]</w:t>
      </w:r>
      <w:r>
        <w:t xml:space="preserve">, optional per-serviceCode overrides). Without a record, pgr-services falls back to a hardcoded 5-day SLA. Shipped default: </w:t>
      </w:r>
      <w:r>
        <w:rPr>
          <w:rFonts w:ascii="Consolas" w:hAnsi="Consolas"/>
          <w:sz w:val="19"/>
        </w:rPr>
        <w:t>maxDepth:3</w:t>
      </w:r>
      <w:r>
        <w:t xml:space="preserve">, SLAs </w:t>
      </w:r>
      <w:r>
        <w:rPr>
          <w:rFonts w:ascii="Consolas" w:hAnsi="Consolas"/>
          <w:sz w:val="19"/>
        </w:rPr>
        <w:t>[1h, 4h, 24h]</w:t>
      </w:r>
      <w:r>
        <w:t>.</w:t>
      </w:r>
    </w:p>
    <w:p>
      <w:pPr>
        <w:pStyle w:val="ListBullet"/>
      </w:pPr>
      <w:r>
        <w:rPr>
          <w:rFonts w:ascii="Consolas" w:hAnsi="Consolas"/>
          <w:b/>
          <w:sz w:val="19"/>
        </w:rPr>
        <w:t>RAINMAKER-PGR.MapConfig</w:t>
      </w:r>
      <w:r>
        <w:t xml:space="preserve"> (NEW schema, no default data) — per-tenant map tiles/center/zoom/geocode-bbox config. Opt-in; UI falls back to globalConfigs/built-in defaults if no record exists.</w:t>
      </w:r>
    </w:p>
    <w:p>
      <w:pPr>
        <w:pStyle w:val="ListBullet"/>
      </w:pPr>
      <w:r>
        <w:rPr>
          <w:rFonts w:ascii="Consolas" w:hAnsi="Consolas"/>
          <w:b/>
          <w:sz w:val="19"/>
        </w:rPr>
        <w:t>RAINMAKER-PGR.InboxVisibilityConfig</w:t>
      </w:r>
      <w:r>
        <w:t xml:space="preserve"> (NEW schema, no default data) — feature flag + config for the employee inbox "My/All" tabs (Visibility V1). Missing record = legacy inbox behaviour; safe by default.</w:t>
      </w:r>
    </w:p>
    <w:p>
      <w:pPr>
        <w:pStyle w:val="Heading2"/>
      </w:pPr>
      <w:r>
        <w:rPr>
          <w:color w:val="2E2E2E"/>
        </w:rPr>
        <w:t>1.2 Notifications (RAINMAKER-PGR + novu-bridge)</w:t>
      </w:r>
    </w:p>
    <w:p>
      <w:r>
        <w:t>Two parallel, independent notification-config systems were introduced:</w:t>
      </w:r>
    </w:p>
    <w:p>
      <w:pPr>
        <w:pStyle w:val="ListBullet"/>
      </w:pPr>
      <w:r>
        <w:rPr>
          <w:rFonts w:ascii="Consolas" w:hAnsi="Consolas"/>
          <w:b/>
          <w:sz w:val="19"/>
        </w:rPr>
        <w:t>RAINMAKER-PGR.NotificationRouting</w:t>
      </w:r>
      <w:r>
        <w:rPr>
          <w:b/>
        </w:rPr>
        <w:t xml:space="preserve"> / </w:t>
      </w:r>
      <w:r>
        <w:rPr>
          <w:rFonts w:ascii="Consolas" w:hAnsi="Consolas"/>
          <w:b/>
          <w:sz w:val="19"/>
        </w:rPr>
        <w:t>.NotificationTemplate</w:t>
      </w:r>
      <w:r>
        <w:rPr>
          <w:b/>
        </w:rPr>
        <w:t xml:space="preserve"> / </w:t>
      </w:r>
      <w:r>
        <w:rPr>
          <w:rFonts w:ascii="Consolas" w:hAnsi="Consolas"/>
          <w:b/>
          <w:sz w:val="19"/>
        </w:rPr>
        <w:t>.NotificationProviderTemplate</w:t>
      </w:r>
      <w:r>
        <w:t xml:space="preserve"> (all NEW, auto-seeded via default-data-handler) — MDMS-driven replacement for the old hardcoded </w:t>
      </w:r>
      <w:r>
        <w:rPr>
          <w:rFonts w:ascii="Consolas" w:hAnsi="Consolas"/>
          <w:sz w:val="19"/>
        </w:rPr>
        <w:t>PGR_&lt;ROLE&gt;_&lt;ACTION&gt;_&lt;STATUS&gt;_SMS_MESSAGE</w:t>
      </w:r>
      <w:r>
        <w:t xml:space="preserve"> localization-key messaging. Routing declares which audience is notified on which workflow transition over which channel (SMS/WhatsApp/Email); templates carry the </w:t>
      </w:r>
      <w:r>
        <w:rPr>
          <w:rFonts w:ascii="Consolas" w:hAnsi="Consolas"/>
          <w:sz w:val="19"/>
        </w:rPr>
        <w:t>{placeholder}</w:t>
      </w:r>
      <w:r>
        <w:t xml:space="preserve"> message body; provider-templates map a rendered message to an external provider template (e.g. a Twilio Content SID). Old localization keys are left in place, so nothing breaks — but the new routing table takes precedence once </w:t>
      </w:r>
      <w:r>
        <w:rPr>
          <w:rFonts w:ascii="Consolas" w:hAnsi="Consolas"/>
          <w:sz w:val="19"/>
        </w:rPr>
        <w:t>pgr.notification.config.driven=true</w:t>
      </w:r>
      <w:r>
        <w:t xml:space="preserve"> is set (see §2.3).</w:t>
      </w:r>
    </w:p>
    <w:p>
      <w:pPr>
        <w:pStyle w:val="ListBullet"/>
      </w:pPr>
      <w:r>
        <w:rPr>
          <w:rFonts w:ascii="Consolas" w:hAnsi="Consolas"/>
          <w:b/>
          <w:sz w:val="19"/>
        </w:rPr>
        <w:t>TemplateBinding</w:t>
      </w:r>
      <w:r>
        <w:rPr>
          <w:b/>
        </w:rPr>
        <w:t xml:space="preserve"> / </w:t>
      </w:r>
      <w:r>
        <w:rPr>
          <w:rFonts w:ascii="Consolas" w:hAnsi="Consolas"/>
          <w:b/>
          <w:sz w:val="19"/>
        </w:rPr>
        <w:t>ProviderDetail</w:t>
      </w:r>
      <w:r>
        <w:t xml:space="preserve"> (NEW MDMS-v2 schemas, under </w:t>
      </w:r>
      <w:r>
        <w:rPr>
          <w:rFonts w:ascii="Consolas" w:hAnsi="Consolas"/>
          <w:sz w:val="19"/>
        </w:rPr>
        <w:t>local-setup/db/notif-mdms-seed/</w:t>
      </w:r>
      <w:r>
        <w:t xml:space="preserve">) — used by the Java </w:t>
      </w:r>
      <w:r>
        <w:rPr>
          <w:rFonts w:ascii="Consolas" w:hAnsi="Consolas"/>
          <w:sz w:val="19"/>
        </w:rPr>
        <w:t>novu-bridge</w:t>
      </w:r>
      <w:r>
        <w:t xml:space="preserve"> service. Actual data lives in </w:t>
      </w:r>
      <w:r>
        <w:rPr>
          <w:rFonts w:ascii="Consolas" w:hAnsi="Consolas"/>
          <w:sz w:val="19"/>
        </w:rPr>
        <w:t>digit-config-service</w:t>
      </w:r>
      <w:r>
        <w:t xml:space="preserve">'s own Postgres table, not MDMS-v2 data; seeded via </w:t>
      </w:r>
      <w:r>
        <w:rPr>
          <w:rFonts w:ascii="Consolas" w:hAnsi="Consolas"/>
          <w:sz w:val="19"/>
        </w:rPr>
        <w:t>local-setup/db/notif-mdms-seed/seed.sh</w:t>
      </w:r>
      <w:r>
        <w:t>.</w:t>
      </w:r>
    </w:p>
    <w:p>
      <w:pPr>
        <w:ind w:left="216"/>
      </w:pPr>
      <w:r>
        <w:rPr>
          <w:b/>
          <w:color w:val="B00000"/>
        </w:rPr>
        <w:t xml:space="preserve">MANUAL STEP —  </w:t>
      </w:r>
      <w:r>
        <w:t xml:space="preserve">existing tenants adopting WhatsApp/Twilio notifications must run </w:t>
      </w:r>
      <w:r>
        <w:rPr>
          <w:rFonts w:ascii="Consolas" w:hAnsi="Consolas"/>
          <w:sz w:val="19"/>
        </w:rPr>
        <w:t>seed.sh</w:t>
      </w:r>
      <w:r>
        <w:t xml:space="preserve"> once per tenant with </w:t>
      </w:r>
      <w:r>
        <w:rPr>
          <w:rFonts w:ascii="Consolas" w:hAnsi="Consolas"/>
          <w:sz w:val="19"/>
        </w:rPr>
        <w:t>TWILIO_ACCOUNT_SID/AUTH_TOKEN/FROM</w:t>
      </w:r>
      <w:r>
        <w:t xml:space="preserve"> supplied. It is idempotent/upsert-capable. Tenant-scoping matters: seed at the exact tenant </w:t>
      </w:r>
      <w:r>
        <w:rPr>
          <w:rFonts w:ascii="Consolas" w:hAnsi="Consolas"/>
          <w:sz w:val="19"/>
        </w:rPr>
        <w:t>pgr-services</w:t>
      </w:r>
      <w:r>
        <w:t xml:space="preserve"> puts on the Kafka event, or notifications fail silently with </w:t>
      </w:r>
      <w:r>
        <w:rPr>
          <w:rFonts w:ascii="Consolas" w:hAnsi="Consolas"/>
          <w:sz w:val="19"/>
        </w:rPr>
        <w:t>CONFIG_NOT_RESOLVED</w:t>
      </w:r>
      <w:r>
        <w:t>.</w:t>
      </w:r>
    </w:p>
    <w:p>
      <w:pPr>
        <w:pStyle w:val="ListBullet"/>
      </w:pPr>
      <w:r>
        <w:rPr>
          <w:rFonts w:ascii="Consolas" w:hAnsi="Consolas"/>
          <w:b/>
          <w:sz w:val="19"/>
        </w:rPr>
        <w:t>dss.DashboardConfig</w:t>
      </w:r>
      <w:r>
        <w:rPr>
          <w:b/>
        </w:rPr>
        <w:t xml:space="preserve"> / </w:t>
      </w:r>
      <w:r>
        <w:rPr>
          <w:rFonts w:ascii="Consolas" w:hAnsi="Consolas"/>
          <w:b/>
          <w:sz w:val="19"/>
        </w:rPr>
        <w:t>dss.DashboardPack</w:t>
      </w:r>
      <w:r>
        <w:rPr>
          <w:b/>
        </w:rPr>
        <w:t xml:space="preserve"> / </w:t>
      </w:r>
      <w:r>
        <w:rPr>
          <w:rFonts w:ascii="Consolas" w:hAnsi="Consolas"/>
          <w:b/>
          <w:sz w:val="19"/>
        </w:rPr>
        <w:t>dss.KpiDefinition</w:t>
      </w:r>
      <w:r>
        <w:t xml:space="preserve"> (NEW schemas, same </w:t>
      </w:r>
      <w:r>
        <w:rPr>
          <w:rFonts w:ascii="Consolas" w:hAnsi="Consolas"/>
          <w:sz w:val="19"/>
        </w:rPr>
        <w:t>notif-mdms-seed</w:t>
      </w:r>
      <w:r>
        <w:t xml:space="preserve"> area) — back the new dashboard/KPI-metrics feature. No default data shipped; populated via the dashboard feature's own tooling.</w:t>
      </w:r>
    </w:p>
    <w:p>
      <w:pPr>
        <w:pStyle w:val="Heading2"/>
      </w:pPr>
      <w:r>
        <w:rPr>
          <w:color w:val="2E2E2E"/>
        </w:rPr>
        <w:t>1.3 Access Control / RBAC</w:t>
      </w:r>
    </w:p>
    <w:p>
      <w:pPr>
        <w:pStyle w:val="ListBullet"/>
      </w:pPr>
      <w:r>
        <w:rPr>
          <w:b/>
        </w:rPr>
        <w:t xml:space="preserve">New role: </w:t>
      </w:r>
      <w:r>
        <w:rPr>
          <w:rFonts w:ascii="Consolas" w:hAnsi="Consolas"/>
          <w:b/>
          <w:sz w:val="19"/>
        </w:rPr>
        <w:t>CMS_SCREENING_OFFICER</w:t>
      </w:r>
      <w:r>
        <w:t xml:space="preserve"> — screens complaints and routes them to the correct department, with a corresponding block of role-actions (+259 lines).</w:t>
      </w:r>
    </w:p>
    <w:p>
      <w:pPr>
        <w:pStyle w:val="ListBullet"/>
      </w:pPr>
      <w:r>
        <w:rPr>
          <w:rFonts w:ascii="Consolas" w:hAnsi="Consolas"/>
          <w:b/>
          <w:sz w:val="19"/>
        </w:rPr>
        <w:t>DataSecurity.SecurityPolicy</w:t>
      </w:r>
      <w:r>
        <w:t xml:space="preserve"> (MODIFIED) — new PII-visibility grants (</w:t>
      </w:r>
      <w:r>
        <w:rPr>
          <w:rFonts w:ascii="Consolas" w:hAnsi="Consolas"/>
          <w:sz w:val="19"/>
        </w:rPr>
        <w:t>PLAIN</w:t>
      </w:r>
      <w:r>
        <w:t xml:space="preserve">, first+second level) for roles </w:t>
      </w:r>
      <w:r>
        <w:rPr>
          <w:rFonts w:ascii="Consolas" w:hAnsi="Consolas"/>
          <w:sz w:val="19"/>
        </w:rPr>
        <w:t>EMPLOYEE, GRO, PGR_LME, DGRO, CSR, SUPERUSER, PGR_VIEWER, MDMS_ADMIN</w:t>
      </w:r>
      <w:r>
        <w:t xml:space="preserve"> on fields including </w:t>
      </w:r>
      <w:r>
        <w:rPr>
          <w:rFonts w:ascii="Consolas" w:hAnsi="Consolas"/>
          <w:sz w:val="19"/>
        </w:rPr>
        <w:t>name, mobileNumber, emailId, pan, aadhaarNumber, correspondenceAddress, permanentAddress</w:t>
      </w:r>
      <w:r>
        <w:t>.</w:t>
      </w:r>
    </w:p>
    <w:p>
      <w:pPr>
        <w:ind w:left="216"/>
      </w:pPr>
      <w:r>
        <w:rPr>
          <w:b/>
          <w:color w:val="B00000"/>
        </w:rPr>
        <w:t xml:space="preserve">ACTION NEEDED —  </w:t>
      </w:r>
      <w:r>
        <w:t>default-data-handler loads are typically create-only; an already-live tenant will not automatically receive the new role/roleactions/security-policy rows — re-seed or apply manually.</w:t>
      </w:r>
    </w:p>
    <w:p>
      <w:pPr>
        <w:pStyle w:val="Heading2"/>
      </w:pPr>
      <w:r>
        <w:rPr>
          <w:color w:val="2E2E2E"/>
        </w:rPr>
        <w:t>1.4 Mobile &amp; Postal Validation</w:t>
      </w:r>
    </w:p>
    <w:p>
      <w:pPr>
        <w:ind w:left="216"/>
      </w:pPr>
      <w:r>
        <w:rPr>
          <w:b/>
          <w:color w:val="B00000"/>
        </w:rPr>
        <w:t xml:space="preserve">BREAKING —  </w:t>
      </w:r>
      <w:r>
        <w:rPr>
          <w:rFonts w:ascii="Consolas" w:hAnsi="Consolas"/>
          <w:sz w:val="19"/>
        </w:rPr>
        <w:t>common-masters.UserValidation</w:t>
      </w:r>
      <w:r>
        <w:t xml:space="preserve"> is removed, replaced by </w:t>
      </w:r>
      <w:r>
        <w:rPr>
          <w:rFonts w:ascii="Consolas" w:hAnsi="Consolas"/>
          <w:sz w:val="19"/>
        </w:rPr>
        <w:t>common-masters.MobileNumberValidation</w:t>
      </w:r>
      <w:r>
        <w:t xml:space="preserve"> — a different shape, not just a rename:</w:t>
      </w:r>
    </w:p>
    <w:p>
      <w:pPr>
        <w:pStyle w:val="ListBullet"/>
      </w:pPr>
      <w:r>
        <w:t xml:space="preserve">Old: </w:t>
      </w:r>
      <w:r>
        <w:rPr>
          <w:rFonts w:ascii="Consolas" w:hAnsi="Consolas"/>
          <w:sz w:val="19"/>
        </w:rPr>
        <w:t>{ fieldType, rules: {pattern, minLength, maxLength, allowedStartingCharacters, errorMessage}, attributes: {prefix} }</w:t>
      </w:r>
      <w:r>
        <w:t xml:space="preserve">, unique on </w:t>
      </w:r>
      <w:r>
        <w:rPr>
          <w:rFonts w:ascii="Consolas" w:hAnsi="Consolas"/>
          <w:sz w:val="19"/>
        </w:rPr>
        <w:t>fieldType</w:t>
      </w:r>
      <w:r>
        <w:t>.</w:t>
      </w:r>
    </w:p>
    <w:p>
      <w:pPr>
        <w:pStyle w:val="ListBullet"/>
      </w:pPr>
      <w:r>
        <w:t xml:space="preserve">New: </w:t>
      </w:r>
      <w:r>
        <w:rPr>
          <w:rFonts w:ascii="Consolas" w:hAnsi="Consolas"/>
          <w:sz w:val="19"/>
        </w:rPr>
        <w:t>{ countryCode, mobileNumberRegex, default, emailRegex?, nameRegex? }</w:t>
      </w:r>
      <w:r>
        <w:t xml:space="preserve">, unique on </w:t>
      </w:r>
      <w:r>
        <w:rPr>
          <w:rFonts w:ascii="Consolas" w:hAnsi="Consolas"/>
          <w:sz w:val="19"/>
        </w:rPr>
        <w:t>countryCode</w:t>
      </w:r>
      <w:r>
        <w:t>.</w:t>
      </w:r>
    </w:p>
    <w:p>
      <w:pPr>
        <w:pStyle w:val="ListBullet"/>
      </w:pPr>
      <w:r>
        <w:t xml:space="preserve">Tied to an </w:t>
      </w:r>
      <w:r>
        <w:rPr>
          <w:rFonts w:ascii="Consolas" w:hAnsi="Consolas"/>
          <w:sz w:val="19"/>
        </w:rPr>
        <w:t>egov-user</w:t>
      </w:r>
      <w:r>
        <w:t xml:space="preserve"> image bump (</w:t>
      </w:r>
      <w:r>
        <w:rPr>
          <w:rFonts w:ascii="Consolas" w:hAnsi="Consolas"/>
          <w:sz w:val="19"/>
        </w:rPr>
        <w:t>egovio/egov-user:master-e22c7c5</w:t>
      </w:r>
      <w:r>
        <w:t xml:space="preserve">) that now reads country-specific mobile regex from MDMS instead of a hardcoded India </w:t>
      </w:r>
      <w:r>
        <w:rPr>
          <w:rFonts w:ascii="Consolas" w:hAnsi="Consolas"/>
          <w:sz w:val="19"/>
        </w:rPr>
        <w:t>+91</w:t>
      </w:r>
      <w:r>
        <w:t xml:space="preserve">/10-digit pattern — requires </w:t>
      </w:r>
      <w:r>
        <w:rPr>
          <w:rFonts w:ascii="Consolas" w:hAnsi="Consolas"/>
          <w:sz w:val="19"/>
        </w:rPr>
        <w:t>MOBILE_NUMBER_VALIDATION_WORKAROUND_ENABLED=false</w:t>
      </w:r>
      <w:r>
        <w:t xml:space="preserve"> to activate.</w:t>
      </w:r>
    </w:p>
    <w:p>
      <w:pPr>
        <w:pStyle w:val="ListBullet"/>
      </w:pPr>
      <w:r>
        <w:t xml:space="preserve">The shipped default record is for </w:t>
      </w:r>
      <w:r>
        <w:rPr>
          <w:b/>
        </w:rPr>
        <w:t>Kenya</w:t>
      </w:r>
      <w:r>
        <w:t xml:space="preserve"> (</w:t>
      </w:r>
      <w:r>
        <w:rPr>
          <w:rFonts w:ascii="Consolas" w:hAnsi="Consolas"/>
          <w:sz w:val="19"/>
        </w:rPr>
        <w:t>+254</w:t>
      </w:r>
      <w:r>
        <w:t xml:space="preserve">, </w:t>
      </w:r>
      <w:r>
        <w:rPr>
          <w:rFonts w:ascii="Consolas" w:hAnsi="Consolas"/>
          <w:sz w:val="19"/>
        </w:rPr>
        <w:t>^0?[17][0-9]{8}$</w:t>
      </w:r>
      <w:r>
        <w:t xml:space="preserve">) — not India. Any other-locale tenant must create its own </w:t>
      </w:r>
      <w:r>
        <w:rPr>
          <w:rFonts w:ascii="Consolas" w:hAnsi="Consolas"/>
          <w:sz w:val="19"/>
        </w:rPr>
        <w:t>MobileNumberValidation</w:t>
      </w:r>
      <w:r>
        <w:t xml:space="preserve"> record post-upgrade, or mobile validation applies the wrong country's pattern.</w:t>
      </w:r>
    </w:p>
    <w:p>
      <w:pPr>
        <w:pStyle w:val="ListBullet"/>
      </w:pPr>
      <w:r>
        <w:t xml:space="preserve">Consumers: </w:t>
      </w:r>
      <w:r>
        <w:rPr>
          <w:rFonts w:ascii="Consolas" w:hAnsi="Consolas"/>
          <w:sz w:val="19"/>
        </w:rPr>
        <w:t>egov-user</w:t>
      </w:r>
      <w:r>
        <w:t xml:space="preserve"> (backend validation), </w:t>
      </w:r>
      <w:r>
        <w:rPr>
          <w:rFonts w:ascii="Consolas" w:hAnsi="Consolas"/>
          <w:sz w:val="19"/>
        </w:rPr>
        <w:t>novu-bridge</w:t>
      </w:r>
      <w:r>
        <w:t xml:space="preserve">'s </w:t>
      </w:r>
      <w:r>
        <w:rPr>
          <w:rFonts w:ascii="Consolas" w:hAnsi="Consolas"/>
          <w:sz w:val="19"/>
        </w:rPr>
        <w:t>MdmsServiceClient</w:t>
      </w:r>
      <w:r>
        <w:t xml:space="preserve"> (SMS/WhatsApp country-code prefixing — looks for the </w:t>
      </w:r>
      <w:r>
        <w:rPr>
          <w:rFonts w:ascii="Consolas" w:hAnsi="Consolas"/>
          <w:sz w:val="19"/>
        </w:rPr>
        <w:t>default:true</w:t>
      </w:r>
      <w:r>
        <w:t xml:space="preserve"> record), and the PGR frontend </w:t>
      </w:r>
      <w:r>
        <w:rPr>
          <w:rFonts w:ascii="Consolas" w:hAnsi="Consolas"/>
          <w:sz w:val="19"/>
        </w:rPr>
        <w:t>useMobileValidation</w:t>
      </w:r>
      <w:r>
        <w:t xml:space="preserve"> hook (hardcoded </w:t>
      </w:r>
      <w:r>
        <w:rPr>
          <w:rFonts w:ascii="Consolas" w:hAnsi="Consolas"/>
          <w:sz w:val="19"/>
        </w:rPr>
        <w:t>+91</w:t>
      </w:r>
      <w:r>
        <w:t xml:space="preserve"> fallback only if MDMS *and* globalConfigs are both absent).</w:t>
      </w:r>
    </w:p>
    <w:p>
      <w:pPr>
        <w:pStyle w:val="ListBullet"/>
      </w:pPr>
      <w:r>
        <w:t xml:space="preserve">Postal-code validation follows the equivalent pattern via </w:t>
      </w:r>
      <w:r>
        <w:rPr>
          <w:rFonts w:ascii="Consolas" w:hAnsi="Consolas"/>
          <w:sz w:val="19"/>
        </w:rPr>
        <w:t>core_postal_configs.postalCodePattern</w:t>
      </w:r>
      <w:r>
        <w:t xml:space="preserve"> in globalConfigs (see §3.1) — not an MDMS master.</w:t>
      </w:r>
    </w:p>
    <w:p>
      <w:pPr>
        <w:pStyle w:val="Heading2"/>
      </w:pPr>
      <w:r>
        <w:rPr>
          <w:color w:val="2E2E2E"/>
        </w:rPr>
        <w:t>1.5 Workflow</w:t>
      </w:r>
    </w:p>
    <w:p>
      <w:pPr>
        <w:pStyle w:val="ListBullet"/>
      </w:pPr>
      <w:r>
        <w:rPr>
          <w:rFonts w:ascii="Consolas" w:hAnsi="Consolas"/>
          <w:b/>
          <w:sz w:val="19"/>
        </w:rPr>
        <w:t>Workflow.BusinessServiceMasterConfig</w:t>
      </w:r>
      <w:r>
        <w:t xml:space="preserve"> — added a </w:t>
      </w:r>
      <w:r>
        <w:rPr>
          <w:rFonts w:ascii="Consolas" w:hAnsi="Consolas"/>
          <w:sz w:val="19"/>
        </w:rPr>
        <w:t>PGR</w:t>
      </w:r>
      <w:r>
        <w:t xml:space="preserve"> businessService entry (</w:t>
      </w:r>
      <w:r>
        <w:rPr>
          <w:rFonts w:ascii="Consolas" w:hAnsi="Consolas"/>
          <w:sz w:val="19"/>
        </w:rPr>
        <w:t>active:true, isStatelevel:true</w:t>
      </w:r>
      <w:r>
        <w:t xml:space="preserve">) alongside the pre-existing </w:t>
      </w:r>
      <w:r>
        <w:rPr>
          <w:rFonts w:ascii="Consolas" w:hAnsi="Consolas"/>
          <w:sz w:val="19"/>
        </w:rPr>
        <w:t>Incident</w:t>
      </w:r>
      <w:r>
        <w:t xml:space="preserve"> entry. Required for the new escalation/notification-routing features, which key off </w:t>
      </w:r>
      <w:r>
        <w:rPr>
          <w:rFonts w:ascii="Consolas" w:hAnsi="Consolas"/>
          <w:sz w:val="19"/>
        </w:rPr>
        <w:t>businessService</w:t>
      </w:r>
      <w:r>
        <w:t>.</w:t>
      </w:r>
    </w:p>
    <w:p>
      <w:pPr>
        <w:pStyle w:val="Heading2"/>
      </w:pPr>
      <w:r>
        <w:rPr>
          <w:color w:val="2E2E2E"/>
        </w:rPr>
        <w:t>1.6 Localization</w:t>
      </w:r>
    </w:p>
    <w:p>
      <w:pPr>
        <w:pStyle w:val="ListBullet"/>
      </w:pPr>
      <w:r>
        <w:t xml:space="preserve">New keys in </w:t>
      </w:r>
      <w:r>
        <w:rPr>
          <w:rFonts w:ascii="Consolas" w:hAnsi="Consolas"/>
          <w:sz w:val="19"/>
        </w:rPr>
        <w:t>rainmaker-pgr</w:t>
      </w:r>
      <w:r>
        <w:t xml:space="preserve"> (en_IN + default): </w:t>
      </w:r>
      <w:r>
        <w:rPr>
          <w:rFonts w:ascii="Consolas" w:hAnsi="Consolas"/>
          <w:sz w:val="19"/>
        </w:rPr>
        <w:t>CS_COMPLAINT_DETAILS_PIN_LOCATION</w:t>
      </w:r>
      <w:r>
        <w:t xml:space="preserve">, </w:t>
      </w:r>
      <w:r>
        <w:rPr>
          <w:rFonts w:ascii="Consolas" w:hAnsi="Consolas"/>
          <w:sz w:val="19"/>
        </w:rPr>
        <w:t>PGR_INBOX_TAB_MY</w:t>
      </w:r>
      <w:r>
        <w:t xml:space="preserve">, </w:t>
      </w:r>
      <w:r>
        <w:rPr>
          <w:rFonts w:ascii="Consolas" w:hAnsi="Consolas"/>
          <w:sz w:val="19"/>
        </w:rPr>
        <w:t>PGR_INBOX_TAB_ALL</w:t>
      </w:r>
      <w:r>
        <w:t>.</w:t>
      </w:r>
    </w:p>
    <w:p>
      <w:pPr>
        <w:pStyle w:val="ListBullet"/>
      </w:pPr>
      <w:r>
        <w:t xml:space="preserve">New keys in </w:t>
      </w:r>
      <w:r>
        <w:rPr>
          <w:rFonts w:ascii="Consolas" w:hAnsi="Consolas"/>
          <w:sz w:val="19"/>
        </w:rPr>
        <w:t>rainmaker-common</w:t>
      </w:r>
      <w:r>
        <w:t xml:space="preserve"> (en_IN + hi_IN): </w:t>
      </w:r>
      <w:r>
        <w:rPr>
          <w:rFonts w:ascii="Consolas" w:hAnsi="Consolas"/>
          <w:sz w:val="19"/>
        </w:rPr>
        <w:t>MOBILE_VALIDATION_DIGITS</w:t>
      </w:r>
      <w:r>
        <w:t xml:space="preserve">, </w:t>
      </w:r>
      <w:r>
        <w:rPr>
          <w:rFonts w:ascii="Consolas" w:hAnsi="Consolas"/>
          <w:sz w:val="19"/>
        </w:rPr>
        <w:t>MOBILE_VALIDATION_AT_LEAST</w:t>
      </w:r>
      <w:r>
        <w:t xml:space="preserve">, </w:t>
      </w:r>
      <w:r>
        <w:rPr>
          <w:rFonts w:ascii="Consolas" w:hAnsi="Consolas"/>
          <w:sz w:val="19"/>
        </w:rPr>
        <w:t>MOBILE_VALIDATION_STARTING_WITH</w:t>
      </w:r>
      <w:r>
        <w:t xml:space="preserve">, </w:t>
      </w:r>
      <w:r>
        <w:rPr>
          <w:rFonts w:ascii="Consolas" w:hAnsi="Consolas"/>
          <w:sz w:val="19"/>
        </w:rPr>
        <w:t>MOBILE_VALIDATION_OR</w:t>
      </w:r>
      <w:r>
        <w:t>.</w:t>
      </w:r>
    </w:p>
    <w:p>
      <w:pPr>
        <w:pStyle w:val="ListBullet"/>
      </w:pPr>
      <w:r>
        <w:t xml:space="preserve">No new locale packs (e.g. no </w:t>
      </w:r>
      <w:r>
        <w:rPr>
          <w:rFonts w:ascii="Consolas" w:hAnsi="Consolas"/>
          <w:sz w:val="19"/>
        </w:rPr>
        <w:t>pt_PT</w:t>
      </w:r>
      <w:r>
        <w:t>) were found in this repo's localization data as of this scope — locale-pack additions referenced elsewhere are tracked separately and not yet landed here.</w:t>
      </w:r>
    </w:p>
    <w:p>
      <w:pPr>
        <w:pStyle w:val="Heading2"/>
      </w:pPr>
      <w:r>
        <w:rPr>
          <w:color w:val="2E2E2E"/>
        </w:rPr>
        <w:t>1.7 Reference data snapshots (not live seed paths)</w:t>
      </w:r>
    </w:p>
    <w:p>
      <w:pPr>
        <w:pStyle w:val="ListBullet"/>
      </w:pPr>
      <w:r>
        <w:rPr>
          <w:rFonts w:ascii="Consolas" w:hAnsi="Consolas"/>
          <w:sz w:val="19"/>
        </w:rPr>
        <w:t>ansible/nairobi-mdms/</w:t>
      </w:r>
      <w:r>
        <w:t xml:space="preserve"> (NEW directory) — a real tenant (</w:t>
      </w:r>
      <w:r>
        <w:rPr>
          <w:rFonts w:ascii="Consolas" w:hAnsi="Consolas"/>
          <w:sz w:val="19"/>
        </w:rPr>
        <w:t>ke.nairobi</w:t>
      </w:r>
      <w:r>
        <w:t>) MDMS export used as a worked example/migration runbook (</w:t>
      </w:r>
      <w:r>
        <w:rPr>
          <w:rFonts w:ascii="Consolas" w:hAnsi="Consolas"/>
          <w:sz w:val="19"/>
        </w:rPr>
        <w:t>v2.11-user-service-upgrade.md</w:t>
      </w:r>
      <w:r>
        <w:t xml:space="preserve">), not a second live-seeding mechanism. Its </w:t>
      </w:r>
      <w:r>
        <w:rPr>
          <w:rFonts w:ascii="Consolas" w:hAnsi="Consolas"/>
          <w:sz w:val="19"/>
        </w:rPr>
        <w:t>ServiceDefs.json</w:t>
      </w:r>
      <w:r>
        <w:t xml:space="preserve"> is still in the *old* pre-hierarchy shape — following it verbatim still requires the ComplaintHierarchy migration above.</w:t>
      </w:r>
    </w:p>
    <w:p>
      <w:pPr>
        <w:pStyle w:val="ListBullet"/>
      </w:pPr>
      <w:r>
        <w:rPr>
          <w:rFonts w:ascii="Consolas" w:hAnsi="Consolas"/>
          <w:sz w:val="19"/>
        </w:rPr>
        <w:t>configurator/src/resources/mdms-schemas/</w:t>
      </w:r>
      <w:r>
        <w:t xml:space="preserve"> (NEW) — admin-console UI for browsing MDMS-v2 schemas; a tooling addition, not new master data.</w:t>
      </w:r>
    </w:p>
    <w:p>
      <w:r>
        <w:rPr>
          <w:color w:val="CCCCCC"/>
        </w:rPr>
        <w:t>________________________________________________________________________________</w:t>
      </w:r>
    </w:p>
    <w:p>
      <w:pPr>
        <w:pStyle w:val="Heading1"/>
      </w:pPr>
      <w:r>
        <w:rPr>
          <w:color w:val="1F4E79"/>
        </w:rPr>
        <w:t>2. New &amp; Changed Service-Level Configuration</w:t>
      </w:r>
    </w:p>
    <w:p>
      <w:pPr>
        <w:pStyle w:val="Heading2"/>
      </w:pPr>
      <w:r>
        <w:rPr>
          <w:color w:val="2E2E2E"/>
        </w:rPr>
        <w:t>2.1 New backend services/components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Key config / env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Gate</w:t>
            </w:r>
          </w:p>
        </w:tc>
      </w:tr>
      <w:tr>
        <w:tc>
          <w:tcPr>
            <w:tcW w:type="dxa" w:w="2160"/>
          </w:tcPr>
          <w:p>
            <w:r/>
            <w:r>
              <w:t>novu-bridge-endpoint</w:t>
            </w:r>
          </w:p>
        </w:tc>
        <w:tc>
          <w:tcPr>
            <w:tcW w:type="dxa" w:w="2160"/>
          </w:tcPr>
          <w:p>
            <w:r/>
            <w:r>
              <w:t>Novu's Code-First "Bridge" — renders SMS/email workflow templates for self-hosted Novu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NOVU_SECRET_KEY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STRICT_AUTH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PORT</w:t>
            </w:r>
          </w:p>
        </w:tc>
        <w:tc>
          <w:tcPr>
            <w:tcW w:type="dxa" w:w="2160"/>
          </w:tcPr>
          <w:p>
            <w:r/>
            <w:r>
              <w:t xml:space="preserve">Compose profile </w:t>
            </w:r>
            <w:r>
              <w:rPr>
                <w:rFonts w:ascii="Consolas" w:hAnsi="Consolas"/>
                <w:sz w:val="19"/>
              </w:rPr>
              <w:t>notifications</w:t>
            </w:r>
          </w:p>
        </w:tc>
      </w:tr>
      <w:tr>
        <w:tc>
          <w:tcPr>
            <w:tcW w:type="dxa" w:w="2160"/>
          </w:tcPr>
          <w:p>
            <w:r/>
            <w:r>
              <w:t>novu-dashboard</w:t>
            </w:r>
          </w:p>
        </w:tc>
        <w:tc>
          <w:tcPr>
            <w:tcW w:type="dxa" w:w="2160"/>
          </w:tcPr>
          <w:p>
            <w:r/>
            <w:r>
              <w:t xml:space="preserve">Rebases the upstream Novu dashboard image to serve under </w:t>
            </w:r>
            <w:r>
              <w:rPr>
                <w:rFonts w:ascii="Consolas" w:hAnsi="Consolas"/>
                <w:sz w:val="19"/>
              </w:rPr>
              <w:t>/novu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NOVU_DASHBOARD_VERSION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NOVU_BASE_PATH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VITE_API_HOSTNAME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VITE_WEBSOCKET_HOSTNAME</w:t>
            </w:r>
          </w:p>
        </w:tc>
        <w:tc>
          <w:tcPr>
            <w:tcW w:type="dxa" w:w="2160"/>
          </w:tcPr>
          <w:p>
            <w:r/>
            <w:r>
              <w:t xml:space="preserve">Compose profile </w:t>
            </w:r>
            <w:r>
              <w:rPr>
                <w:rFonts w:ascii="Consolas" w:hAnsi="Consolas"/>
                <w:sz w:val="19"/>
              </w:rPr>
              <w:t>notifications</w:t>
            </w:r>
            <w:r>
              <w:t xml:space="preserve">, ansible </w:t>
            </w:r>
            <w:r>
              <w:rPr>
                <w:rFonts w:ascii="Consolas" w:hAnsi="Consolas"/>
                <w:sz w:val="19"/>
              </w:rPr>
              <w:t>build_novu_dashboard</w:t>
            </w:r>
          </w:p>
        </w:tc>
      </w:tr>
      <w:tr>
        <w:tc>
          <w:tcPr>
            <w:tcW w:type="dxa" w:w="2160"/>
          </w:tcPr>
          <w:p>
            <w:r/>
            <w:r>
              <w:t>xstate-chatbot</w:t>
            </w:r>
          </w:p>
        </w:tc>
        <w:tc>
          <w:tcPr>
            <w:tcW w:type="dxa" w:w="2160"/>
          </w:tcPr>
          <w:p>
            <w:r/>
            <w:r>
              <w:t>Node.js WhatsApp complaint chatbot (XState-based) + a dev-only dialog-authoring app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ENABLE_SANDBOX_MODE</w:t>
            </w:r>
            <w:r>
              <w:t xml:space="preserve"> (multi-tenant sandbox), legacy Twilio/Kaleyra/ValueFirst creds</w:t>
            </w:r>
          </w:p>
        </w:tc>
        <w:tc>
          <w:tcPr>
            <w:tcW w:type="dxa" w:w="2160"/>
          </w:tcPr>
          <w:p>
            <w:r/>
            <w:r>
              <w:t>Not wired into local-setup compose/ansible — k8s Helm + CI build only</w:t>
            </w:r>
          </w:p>
        </w:tc>
      </w:tr>
      <w:tr>
        <w:tc>
          <w:tcPr>
            <w:tcW w:type="dxa" w:w="2160"/>
          </w:tcPr>
          <w:p>
            <w:r/>
            <w:r>
              <w:t>otp-publisher</w:t>
            </w:r>
          </w:p>
        </w:tc>
        <w:tc>
          <w:tcPr>
            <w:tcW w:type="dxa" w:w="2160"/>
          </w:tcPr>
          <w:p>
            <w:r/>
            <w:r>
              <w:t>Replaces the Kong mock OTP responder with a real generator → Redis → Kafka (</w:t>
            </w:r>
            <w:r>
              <w:rPr>
                <w:rFonts w:ascii="Consolas" w:hAnsi="Consolas"/>
                <w:sz w:val="19"/>
              </w:rPr>
              <w:t>OTP.SEND</w:t>
            </w:r>
            <w:r>
              <w:t>) pipeline consumed by novu-bridge → Twilio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PORT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REDIS_URL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KAFKA_BROKERS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EVENT_TOPIC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OTP_TTL_SECONDS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STATIC_OTP</w:t>
            </w:r>
            <w:r>
              <w:t xml:space="preserve"> (dev/CI escape hatch)</w:t>
            </w:r>
          </w:p>
        </w:tc>
        <w:tc>
          <w:tcPr>
            <w:tcW w:type="dxa" w:w="2160"/>
          </w:tcPr>
          <w:p>
            <w:r/>
            <w:r>
              <w:t xml:space="preserve">Compose profile </w:t>
            </w:r>
            <w:r>
              <w:rPr>
                <w:rFonts w:ascii="Consolas" w:hAnsi="Consolas"/>
                <w:sz w:val="19"/>
              </w:rPr>
              <w:t>notifications</w:t>
            </w:r>
          </w:p>
        </w:tc>
      </w:tr>
      <w:tr>
        <w:tc>
          <w:tcPr>
            <w:tcW w:type="dxa" w:w="2160"/>
          </w:tcPr>
          <w:p>
            <w:r/>
            <w:r>
              <w:t>turbopass (search-api + data)</w:t>
            </w:r>
          </w:p>
        </w:tc>
        <w:tc>
          <w:tcPr>
            <w:tcW w:type="dxa" w:w="2160"/>
          </w:tcPr>
          <w:p>
            <w:r/>
            <w:r>
              <w:t>NestJS geo/place autocomplete (Trie-based fuzzy search over OSM data) for Configurator Phase 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enable_turbopass</w:t>
            </w:r>
            <w:r>
              <w:t xml:space="preserve"> (ansible, default false), </w:t>
            </w:r>
            <w:r>
              <w:rPr>
                <w:rFonts w:ascii="Consolas" w:hAnsi="Consolas"/>
                <w:sz w:val="19"/>
              </w:rPr>
              <w:t>turbopass_port</w:t>
            </w:r>
            <w:r>
              <w:t xml:space="preserve"> (default 13301)</w:t>
            </w:r>
          </w:p>
        </w:tc>
        <w:tc>
          <w:tcPr>
            <w:tcW w:type="dxa" w:w="2160"/>
          </w:tcPr>
          <w:p>
            <w:r/>
            <w:r>
              <w:t>Ansible-only, off by default</w:t>
            </w:r>
          </w:p>
        </w:tc>
      </w:tr>
    </w:tbl>
    <w:p/>
    <w:p>
      <w:pPr>
        <w:ind w:left="216"/>
      </w:pPr>
      <w:r>
        <w:rPr>
          <w:b/>
          <w:color w:val="B00000"/>
        </w:rPr>
        <w:t xml:space="preserve">BREAKING if enabled —  </w:t>
      </w:r>
      <w:r>
        <w:t xml:space="preserve">otp-publisher replaces the previous Kong mock OTP path entirely; operators relying on the old mock behaviour for non-prod parity need </w:t>
      </w:r>
      <w:r>
        <w:rPr>
          <w:rFonts w:ascii="Consolas" w:hAnsi="Consolas"/>
          <w:sz w:val="19"/>
        </w:rPr>
        <w:t>STATIC_OTP</w:t>
      </w:r>
      <w:r>
        <w:t xml:space="preserve"> set.</w:t>
      </w:r>
    </w:p>
    <w:p>
      <w:pPr>
        <w:pStyle w:val="Heading2"/>
      </w:pPr>
      <w:r>
        <w:rPr>
          <w:color w:val="2E2E2E"/>
        </w:rPr>
        <w:t>2.2 novu-bridge — reworked (pre-existing service, 28 commits since v2.11)</w:t>
      </w:r>
    </w:p>
    <w:p>
      <w:pPr>
        <w:pStyle w:val="ListBullet"/>
      </w:pPr>
      <w:r>
        <w:rPr>
          <w:b/>
        </w:rPr>
        <w:t>Removed</w:t>
      </w:r>
      <w:r>
        <w:t xml:space="preserve">: </w:t>
      </w:r>
      <w:r>
        <w:rPr>
          <w:rFonts w:ascii="Consolas" w:hAnsi="Consolas"/>
          <w:sz w:val="19"/>
        </w:rPr>
        <w:t>novu.bridge.max.retries</w:t>
      </w:r>
      <w:r>
        <w:t xml:space="preserve">, </w:t>
      </w:r>
      <w:r>
        <w:rPr>
          <w:rFonts w:ascii="Consolas" w:hAnsi="Consolas"/>
          <w:sz w:val="19"/>
        </w:rPr>
        <w:t>novu.bridge.config.host</w:t>
      </w:r>
      <w:r>
        <w:t>/</w:t>
      </w:r>
      <w:r>
        <w:rPr>
          <w:rFonts w:ascii="Consolas" w:hAnsi="Consolas"/>
          <w:sz w:val="19"/>
        </w:rPr>
        <w:t>.resolve.path</w:t>
      </w:r>
      <w:r>
        <w:t>/</w:t>
      </w:r>
      <w:r>
        <w:rPr>
          <w:rFonts w:ascii="Consolas" w:hAnsi="Consolas"/>
          <w:sz w:val="19"/>
        </w:rPr>
        <w:t>.search.path</w:t>
      </w:r>
      <w:r>
        <w:t xml:space="preserve"> (routing moved to MDMS-driven config in pgr-services), </w:t>
      </w:r>
      <w:r>
        <w:rPr>
          <w:rFonts w:ascii="Consolas" w:hAnsi="Consolas"/>
          <w:sz w:val="19"/>
        </w:rPr>
        <w:t>UserServiceClient</w:t>
      </w:r>
      <w:r>
        <w:t xml:space="preserve">, </w:t>
      </w:r>
      <w:r>
        <w:rPr>
          <w:rFonts w:ascii="Consolas" w:hAnsi="Consolas"/>
          <w:sz w:val="19"/>
        </w:rPr>
        <w:t>ResolvedProviderResponse</w:t>
      </w:r>
      <w:r>
        <w:t xml:space="preserve">, </w:t>
      </w:r>
      <w:r>
        <w:rPr>
          <w:rFonts w:ascii="Consolas" w:hAnsi="Consolas"/>
          <w:sz w:val="19"/>
        </w:rPr>
        <w:t>ResolvedTemplateResponse</w:t>
      </w:r>
      <w:r>
        <w:t>.</w:t>
      </w:r>
    </w:p>
    <w:p>
      <w:pPr>
        <w:pStyle w:val="ListBullet"/>
      </w:pPr>
      <w:r>
        <w:rPr>
          <w:b/>
        </w:rPr>
        <w:t>Changed default (potentially BREAKING)</w:t>
      </w:r>
      <w:r>
        <w:t xml:space="preserve">: </w:t>
      </w:r>
      <w:r>
        <w:rPr>
          <w:rFonts w:ascii="Consolas" w:hAnsi="Consolas"/>
          <w:sz w:val="19"/>
        </w:rPr>
        <w:t>novu.bridge.channel</w:t>
      </w:r>
      <w:r>
        <w:t xml:space="preserve"> default flipped from </w:t>
      </w:r>
      <w:r>
        <w:rPr>
          <w:rFonts w:ascii="Consolas" w:hAnsi="Consolas"/>
          <w:sz w:val="19"/>
        </w:rPr>
        <w:t>WHATSAPP</w:t>
      </w:r>
      <w:r>
        <w:t xml:space="preserve"> to </w:t>
      </w:r>
      <w:r>
        <w:rPr>
          <w:rFonts w:ascii="Consolas" w:hAnsi="Consolas"/>
          <w:sz w:val="19"/>
        </w:rPr>
        <w:t>SMS</w:t>
      </w:r>
      <w:r>
        <w:t>.</w:t>
      </w:r>
    </w:p>
    <w:p>
      <w:pPr>
        <w:pStyle w:val="ListBullet"/>
      </w:pPr>
      <w:r>
        <w:rPr>
          <w:b/>
        </w:rPr>
        <w:t>New</w:t>
      </w:r>
      <w:r>
        <w:t xml:space="preserve">: </w:t>
      </w:r>
      <w:r>
        <w:rPr>
          <w:rFonts w:ascii="Consolas" w:hAnsi="Consolas"/>
          <w:sz w:val="19"/>
        </w:rPr>
        <w:t>novu.bridge.proxy.auth.enabled</w:t>
      </w:r>
      <w:r>
        <w:t xml:space="preserve">, </w:t>
      </w:r>
      <w:r>
        <w:rPr>
          <w:rFonts w:ascii="Consolas" w:hAnsi="Consolas"/>
          <w:sz w:val="19"/>
        </w:rPr>
        <w:t>.user.details.path</w:t>
      </w:r>
      <w:r>
        <w:t xml:space="preserve">, </w:t>
      </w:r>
      <w:r>
        <w:rPr>
          <w:rFonts w:ascii="Consolas" w:hAnsi="Consolas"/>
          <w:sz w:val="19"/>
        </w:rPr>
        <w:t>.proxy.allowed.roles</w:t>
      </w:r>
      <w:r>
        <w:t xml:space="preserve"> (Keycloak/DIGIT-token proxy-auth gate); </w:t>
      </w:r>
      <w:r>
        <w:rPr>
          <w:rFonts w:ascii="Consolas" w:hAnsi="Consolas"/>
          <w:sz w:val="19"/>
        </w:rPr>
        <w:t>novu.bridge.workflow.id.{sms,whatsapp,email}</w:t>
      </w:r>
      <w:r>
        <w:t xml:space="preserve">; </w:t>
      </w:r>
      <w:r>
        <w:rPr>
          <w:rFonts w:ascii="Consolas" w:hAnsi="Consolas"/>
          <w:sz w:val="19"/>
        </w:rPr>
        <w:t>novu.bridge.identify.cache.ttl.ms</w:t>
      </w:r>
      <w:r>
        <w:t xml:space="preserve">; </w:t>
      </w:r>
      <w:r>
        <w:rPr>
          <w:rFonts w:ascii="Consolas" w:hAnsi="Consolas"/>
          <w:sz w:val="19"/>
        </w:rPr>
        <w:t>novu.bridge.channels.enabled</w:t>
      </w:r>
      <w:r>
        <w:t xml:space="preserve"> (default </w:t>
      </w:r>
      <w:r>
        <w:rPr>
          <w:rFonts w:ascii="Consolas" w:hAnsi="Consolas"/>
          <w:sz w:val="19"/>
        </w:rPr>
        <w:t>SMS,EMAIL</w:t>
      </w:r>
      <w:r>
        <w:t xml:space="preserve"> — </w:t>
      </w:r>
      <w:r>
        <w:rPr>
          <w:b/>
        </w:rPr>
        <w:t>WhatsApp is off by default</w:t>
      </w:r>
      <w:r>
        <w:t xml:space="preserve">, WhatsApp events persist as </w:t>
      </w:r>
      <w:r>
        <w:rPr>
          <w:rFonts w:ascii="Consolas" w:hAnsi="Consolas"/>
          <w:sz w:val="19"/>
        </w:rPr>
        <w:t>SKIPPED/NB_NO_PROVIDER</w:t>
      </w:r>
      <w:r>
        <w:t xml:space="preserve"> until enabled); </w:t>
      </w:r>
      <w:r>
        <w:rPr>
          <w:rFonts w:ascii="Consolas" w:hAnsi="Consolas"/>
          <w:sz w:val="19"/>
        </w:rPr>
        <w:t>novu.bridge.http.connect.timeout.ms</w:t>
      </w:r>
      <w:r>
        <w:t>/</w:t>
      </w:r>
      <w:r>
        <w:rPr>
          <w:rFonts w:ascii="Consolas" w:hAnsi="Consolas"/>
          <w:sz w:val="19"/>
        </w:rPr>
        <w:t>.read.timeout.ms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NOVU_BRIDGE_LOG_LEVEL</w:t>
      </w:r>
      <w:r>
        <w:t xml:space="preserve"> (default INFO) replaces DEBUG-by-default logging that risked exposing PII; a new </w:t>
      </w:r>
      <w:r>
        <w:rPr>
          <w:rFonts w:ascii="Consolas" w:hAnsi="Consolas"/>
          <w:sz w:val="19"/>
        </w:rPr>
        <w:t>PiiMask</w:t>
      </w:r>
      <w:r>
        <w:t xml:space="preserve"> utility masks </w:t>
      </w:r>
      <w:r>
        <w:rPr>
          <w:rFonts w:ascii="Consolas" w:hAnsi="Consolas"/>
          <w:sz w:val="19"/>
        </w:rPr>
        <w:t>providerResponse</w:t>
      </w:r>
      <w:r>
        <w:t xml:space="preserve"> in </w:t>
      </w:r>
      <w:r>
        <w:rPr>
          <w:rFonts w:ascii="Consolas" w:hAnsi="Consolas"/>
          <w:sz w:val="19"/>
        </w:rPr>
        <w:t>/logs</w:t>
      </w:r>
      <w:r>
        <w:t>.</w:t>
      </w:r>
    </w:p>
    <w:p>
      <w:pPr>
        <w:pStyle w:val="ListBullet"/>
      </w:pPr>
      <w:r>
        <w:t xml:space="preserve">New DB migration </w:t>
      </w:r>
      <w:r>
        <w:rPr>
          <w:rFonts w:ascii="Consolas" w:hAnsi="Consolas"/>
          <w:sz w:val="19"/>
        </w:rPr>
        <w:t>V20260701000000__extend_dispatch_unique_key.sql</w:t>
      </w:r>
      <w:r>
        <w:t xml:space="preserve"> widens the dispatch-log idempotency key and adds a </w:t>
      </w:r>
      <w:r>
        <w:rPr>
          <w:rFonts w:ascii="Consolas" w:hAnsi="Consolas"/>
          <w:sz w:val="19"/>
        </w:rPr>
        <w:t>transaction_id</w:t>
      </w:r>
      <w:r>
        <w:t xml:space="preserve"> column — flagged </w:t>
      </w:r>
      <w:r>
        <w:rPr>
          <w:b/>
        </w:rPr>
        <w:t>out-of-order</w:t>
      </w:r>
      <w:r>
        <w:t xml:space="preserve">, requires </w:t>
      </w:r>
      <w:r>
        <w:rPr>
          <w:rFonts w:ascii="Consolas" w:hAnsi="Consolas"/>
          <w:sz w:val="19"/>
        </w:rPr>
        <w:t>spring.flyway.out-of-order=true</w:t>
      </w:r>
      <w:r>
        <w:t xml:space="preserve"> (already set).</w:t>
      </w:r>
    </w:p>
    <w:p>
      <w:pPr>
        <w:pStyle w:val="Heading2"/>
      </w:pPr>
      <w:r>
        <w:rPr>
          <w:color w:val="2E2E2E"/>
        </w:rPr>
        <w:t xml:space="preserve">2.3 pgr-services — new </w:t>
      </w:r>
      <w:r>
        <w:rPr>
          <w:rFonts w:ascii="Consolas" w:hAnsi="Consolas"/>
          <w:color w:val="2E2E2E"/>
          <w:sz w:val="19"/>
        </w:rPr>
        <w:t>application.properties</w:t>
      </w:r>
      <w:r>
        <w:rPr>
          <w:color w:val="2E2E2E"/>
        </w:rPr>
        <w:t xml:space="preserve"> keys</w:t>
      </w:r>
    </w:p>
    <w:p>
      <w:pPr>
        <w:pStyle w:val="ListBullet"/>
      </w:pPr>
      <w:r>
        <w:rPr>
          <w:b/>
        </w:rPr>
        <w:t>Changed default (potentially BREAKING)</w:t>
      </w:r>
      <w:r>
        <w:t xml:space="preserve">: </w:t>
      </w:r>
      <w:r>
        <w:rPr>
          <w:rFonts w:ascii="Consolas" w:hAnsi="Consolas"/>
          <w:sz w:val="19"/>
        </w:rPr>
        <w:t>egov.boundary.host</w:t>
      </w:r>
      <w:r>
        <w:t xml:space="preserve"> was </w:t>
      </w:r>
      <w:r>
        <w:rPr>
          <w:rFonts w:ascii="Consolas" w:hAnsi="Consolas"/>
          <w:sz w:val="19"/>
        </w:rPr>
        <w:t>http://localhost:8081</w:t>
      </w:r>
      <w:r>
        <w:t xml:space="preserve">, now </w:t>
      </w:r>
      <w:r>
        <w:rPr>
          <w:rFonts w:ascii="Consolas" w:hAnsi="Consolas"/>
          <w:sz w:val="19"/>
        </w:rPr>
        <w:t>http://boundary-service.egov:8080/</w:t>
      </w:r>
      <w:r>
        <w:t xml:space="preserve"> (in-cluster service name).</w:t>
      </w:r>
    </w:p>
    <w:p>
      <w:pPr>
        <w:pStyle w:val="ListBullet"/>
      </w:pPr>
      <w:r>
        <w:rPr>
          <w:b/>
        </w:rPr>
        <w:t>Notifications</w:t>
      </w:r>
      <w:r>
        <w:t xml:space="preserve"> (default OFF): </w:t>
      </w:r>
      <w:r>
        <w:rPr>
          <w:rFonts w:ascii="Consolas" w:hAnsi="Consolas"/>
          <w:sz w:val="19"/>
        </w:rPr>
        <w:t>pgr.notification.config.driven=false</w:t>
      </w:r>
      <w:r>
        <w:t xml:space="preserve">, </w:t>
      </w:r>
      <w:r>
        <w:rPr>
          <w:rFonts w:ascii="Consolas" w:hAnsi="Consolas"/>
          <w:sz w:val="19"/>
        </w:rPr>
        <w:t>.default.locale</w:t>
      </w:r>
      <w:r>
        <w:t xml:space="preserve">, </w:t>
      </w:r>
      <w:r>
        <w:rPr>
          <w:rFonts w:ascii="Consolas" w:hAnsi="Consolas"/>
          <w:sz w:val="19"/>
        </w:rPr>
        <w:t>.rolepool.page.size</w:t>
      </w:r>
      <w:r>
        <w:t xml:space="preserve">, </w:t>
      </w:r>
      <w:r>
        <w:rPr>
          <w:rFonts w:ascii="Consolas" w:hAnsi="Consolas"/>
          <w:sz w:val="19"/>
        </w:rPr>
        <w:t>.rolepool.max.pages</w:t>
      </w:r>
      <w:r>
        <w:t xml:space="preserve">, </w:t>
      </w:r>
      <w:r>
        <w:rPr>
          <w:rFonts w:ascii="Consolas" w:hAnsi="Consolas"/>
          <w:sz w:val="19"/>
        </w:rPr>
        <w:t>.mdms.cache.ttl.ms</w:t>
      </w:r>
      <w:r>
        <w:t>.</w:t>
      </w:r>
    </w:p>
    <w:p>
      <w:pPr>
        <w:pStyle w:val="ListBullet"/>
      </w:pPr>
      <w:r>
        <w:rPr>
          <w:b/>
        </w:rPr>
        <w:t>Analytics cache</w:t>
      </w:r>
      <w:r>
        <w:t xml:space="preserve">: </w:t>
      </w:r>
      <w:r>
        <w:rPr>
          <w:rFonts w:ascii="Consolas" w:hAnsi="Consolas"/>
          <w:sz w:val="19"/>
        </w:rPr>
        <w:t>pgr.analytics.config-cache-ttl-ms=300000</w:t>
      </w:r>
      <w:r>
        <w:t>.</w:t>
      </w:r>
    </w:p>
    <w:p>
      <w:pPr>
        <w:pStyle w:val="ListBullet"/>
      </w:pPr>
      <w:r>
        <w:rPr>
          <w:b/>
        </w:rPr>
        <w:t>Escalation scheduler</w:t>
      </w:r>
      <w:r>
        <w:t xml:space="preserve"> (default </w:t>
      </w:r>
      <w:r>
        <w:rPr>
          <w:b/>
        </w:rPr>
        <w:t>ON</w:t>
      </w:r>
      <w:r>
        <w:t xml:space="preserve">: </w:t>
      </w:r>
      <w:r>
        <w:rPr>
          <w:rFonts w:ascii="Consolas" w:hAnsi="Consolas"/>
          <w:sz w:val="19"/>
        </w:rPr>
        <w:t>pgr.escalation.enabled=true</w:t>
      </w:r>
      <w:r>
        <w:t xml:space="preserve">): </w:t>
      </w:r>
      <w:r>
        <w:rPr>
          <w:rFonts w:ascii="Consolas" w:hAnsi="Consolas"/>
          <w:sz w:val="19"/>
        </w:rPr>
        <w:t>.interval.ms</w:t>
      </w:r>
      <w:r>
        <w:t xml:space="preserve">, </w:t>
      </w:r>
      <w:r>
        <w:rPr>
          <w:rFonts w:ascii="Consolas" w:hAnsi="Consolas"/>
          <w:sz w:val="19"/>
        </w:rPr>
        <w:t>.batch.size</w:t>
      </w:r>
      <w:r>
        <w:t xml:space="preserve">, </w:t>
      </w:r>
      <w:r>
        <w:rPr>
          <w:rFonts w:ascii="Consolas" w:hAnsi="Consolas"/>
          <w:sz w:val="19"/>
        </w:rPr>
        <w:t>.default.sla.ms</w:t>
      </w:r>
      <w:r>
        <w:t xml:space="preserve">, </w:t>
      </w:r>
      <w:r>
        <w:rPr>
          <w:rFonts w:ascii="Consolas" w:hAnsi="Consolas"/>
          <w:sz w:val="19"/>
        </w:rPr>
        <w:t>.max.depth</w:t>
      </w:r>
      <w:r>
        <w:t xml:space="preserve">, </w:t>
      </w:r>
      <w:r>
        <w:rPr>
          <w:rFonts w:ascii="Consolas" w:hAnsi="Consolas"/>
          <w:sz w:val="19"/>
        </w:rPr>
        <w:t>.kafka.topic=pgr-escalation-events</w:t>
      </w:r>
      <w:r>
        <w:t xml:space="preserve"> — requires this Kafka topic to exist after upgrade.</w:t>
      </w:r>
    </w:p>
    <w:p>
      <w:pPr>
        <w:pStyle w:val="ListBullet"/>
      </w:pPr>
      <w:r>
        <w:rPr>
          <w:b/>
        </w:rPr>
        <w:t>Dashboard MV refresh</w:t>
      </w:r>
      <w:r>
        <w:t xml:space="preserve"> (default </w:t>
      </w:r>
      <w:r>
        <w:rPr>
          <w:b/>
        </w:rPr>
        <w:t>ON</w:t>
      </w:r>
      <w:r>
        <w:t xml:space="preserve">): </w:t>
      </w:r>
      <w:r>
        <w:rPr>
          <w:rFonts w:ascii="Consolas" w:hAnsi="Consolas"/>
          <w:sz w:val="19"/>
        </w:rPr>
        <w:t>pgr.dashboard.refresh.enabled=true</w:t>
      </w:r>
      <w:r>
        <w:t xml:space="preserve">, </w:t>
      </w:r>
      <w:r>
        <w:rPr>
          <w:rFonts w:ascii="Consolas" w:hAnsi="Consolas"/>
          <w:sz w:val="19"/>
        </w:rPr>
        <w:t>.interval.ms</w:t>
      </w:r>
      <w:r>
        <w:t xml:space="preserve"> — depends on the new materialized views (§2.4).</w:t>
      </w:r>
    </w:p>
    <w:p>
      <w:pPr>
        <w:pStyle w:val="ListBullet"/>
      </w:pPr>
      <w:r>
        <w:rPr>
          <w:b/>
        </w:rPr>
        <w:t>Encryption integration</w:t>
      </w:r>
      <w:r>
        <w:t xml:space="preserve"> (mandatory, no flag): </w:t>
      </w:r>
      <w:r>
        <w:rPr>
          <w:rFonts w:ascii="Consolas" w:hAnsi="Consolas"/>
          <w:sz w:val="19"/>
        </w:rPr>
        <w:t>egov.enc.host=http://egov-enc-service:1234</w:t>
      </w:r>
      <w:r>
        <w:t xml:space="preserve">, </w:t>
      </w:r>
      <w:r>
        <w:rPr>
          <w:rFonts w:ascii="Consolas" w:hAnsi="Consolas"/>
          <w:sz w:val="19"/>
        </w:rPr>
        <w:t>.encrypt.endpoint</w:t>
      </w:r>
      <w:r>
        <w:t xml:space="preserve">, </w:t>
      </w:r>
      <w:r>
        <w:rPr>
          <w:rFonts w:ascii="Consolas" w:hAnsi="Consolas"/>
          <w:sz w:val="19"/>
        </w:rPr>
        <w:t>.decrypt.endpoint</w:t>
      </w:r>
      <w:r>
        <w:t xml:space="preserve"> — pgr-services now calls an </w:t>
      </w:r>
      <w:r>
        <w:rPr>
          <w:rFonts w:ascii="Consolas" w:hAnsi="Consolas"/>
          <w:sz w:val="19"/>
        </w:rPr>
        <w:t>egov-enc-service</w:t>
      </w:r>
      <w:r>
        <w:t xml:space="preserve"> for PII encryption; requires that service to be deployed and reachable.</w:t>
      </w:r>
    </w:p>
    <w:p>
      <w:pPr>
        <w:pStyle w:val="ListBullet"/>
      </w:pPr>
      <w:r>
        <w:rPr>
          <w:b/>
        </w:rPr>
        <w:t>Visibility V1 / inbox scoping</w:t>
      </w:r>
      <w:r>
        <w:t xml:space="preserve"> (default OFF: </w:t>
      </w:r>
      <w:r>
        <w:rPr>
          <w:rFonts w:ascii="Consolas" w:hAnsi="Consolas"/>
          <w:sz w:val="19"/>
        </w:rPr>
        <w:t>pgr.visibility.enabled=false</w:t>
      </w:r>
      <w:r>
        <w:t xml:space="preserve">, env override </w:t>
      </w:r>
      <w:r>
        <w:rPr>
          <w:rFonts w:ascii="Consolas" w:hAnsi="Consolas"/>
          <w:sz w:val="19"/>
        </w:rPr>
        <w:t>PGR_VISIBILITY_ENABLED</w:t>
      </w:r>
      <w:r>
        <w:t xml:space="preserve">): </w:t>
      </w:r>
      <w:r>
        <w:rPr>
          <w:rFonts w:ascii="Consolas" w:hAnsi="Consolas"/>
          <w:sz w:val="19"/>
        </w:rPr>
        <w:t>.hrms.employee.save.topic</w:t>
      </w:r>
      <w:r>
        <w:t xml:space="preserve">, </w:t>
      </w:r>
      <w:r>
        <w:rPr>
          <w:rFonts w:ascii="Consolas" w:hAnsi="Consolas"/>
          <w:sz w:val="19"/>
        </w:rPr>
        <w:t>.update.topic</w:t>
      </w:r>
      <w:r>
        <w:t xml:space="preserve">, </w:t>
      </w:r>
      <w:r>
        <w:rPr>
          <w:rFonts w:ascii="Consolas" w:hAnsi="Consolas"/>
          <w:sz w:val="19"/>
        </w:rPr>
        <w:t>.reportee.depth.default</w:t>
      </w:r>
      <w:r>
        <w:t xml:space="preserve">, </w:t>
      </w:r>
      <w:r>
        <w:rPr>
          <w:rFonts w:ascii="Consolas" w:hAnsi="Consolas"/>
          <w:sz w:val="19"/>
        </w:rPr>
        <w:t>.unassigned.states</w:t>
      </w:r>
      <w:r>
        <w:t xml:space="preserve">, </w:t>
      </w:r>
      <w:r>
        <w:rPr>
          <w:rFonts w:ascii="Consolas" w:hAnsi="Consolas"/>
          <w:sz w:val="19"/>
        </w:rPr>
        <w:t>.rebuild.cron</w:t>
      </w:r>
      <w:r>
        <w:t xml:space="preserve">, </w:t>
      </w:r>
      <w:r>
        <w:rPr>
          <w:rFonts w:ascii="Consolas" w:hAnsi="Consolas"/>
          <w:sz w:val="19"/>
        </w:rPr>
        <w:t>.rebuild.batch.size</w:t>
      </w:r>
      <w:r>
        <w:t xml:space="preserve">, </w:t>
      </w:r>
      <w:r>
        <w:rPr>
          <w:rFonts w:ascii="Consolas" w:hAnsi="Consolas"/>
          <w:sz w:val="19"/>
        </w:rPr>
        <w:t>.team.fanout.max</w:t>
      </w:r>
      <w:r>
        <w:t xml:space="preserve"> — also needs the per-tenant </w:t>
      </w:r>
      <w:r>
        <w:rPr>
          <w:rFonts w:ascii="Consolas" w:hAnsi="Consolas"/>
          <w:sz w:val="19"/>
        </w:rPr>
        <w:t>RAINMAKER-PGR.InboxVisibilityConfig</w:t>
      </w:r>
      <w:r>
        <w:t xml:space="preserve"> MDMS record.</w:t>
      </w:r>
    </w:p>
    <w:p>
      <w:pPr>
        <w:pStyle w:val="Heading2"/>
      </w:pPr>
      <w:r>
        <w:rPr>
          <w:color w:val="2E2E2E"/>
        </w:rPr>
        <w:t>2.4 Flyway database migrations — new 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Migration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2880"/>
          </w:tcPr>
          <w:p>
            <w:r/>
            <w:r>
              <w:t>V20260422000000__create_dashboard_mvs.sql</w:t>
            </w:r>
          </w:p>
        </w:tc>
        <w:tc>
          <w:tcPr>
            <w:tcW w:type="dxa" w:w="2880"/>
          </w:tcPr>
          <w:p>
            <w:r/>
            <w:r>
              <w:t>pgr-services</w:t>
            </w:r>
          </w:p>
        </w:tc>
        <w:tc>
          <w:tcPr>
            <w:tcW w:type="dxa" w:w="2880"/>
          </w:tcPr>
          <w:p>
            <w:r/>
            <w:r>
              <w:t>Creates dashboard KPI materialized views</w:t>
            </w:r>
          </w:p>
        </w:tc>
      </w:tr>
      <w:tr>
        <w:tc>
          <w:tcPr>
            <w:tcW w:type="dxa" w:w="2880"/>
          </w:tcPr>
          <w:p>
            <w:r/>
            <w:r>
              <w:t>V20260608000000__create_v2_grain_mvs.sql</w:t>
            </w:r>
          </w:p>
        </w:tc>
        <w:tc>
          <w:tcPr>
            <w:tcW w:type="dxa" w:w="2880"/>
          </w:tcPr>
          <w:p>
            <w:r/>
            <w:r>
              <w:t>pgr-services</w:t>
            </w:r>
          </w:p>
        </w:tc>
        <w:tc>
          <w:tcPr>
            <w:tcW w:type="dxa" w:w="2880"/>
          </w:tcPr>
          <w:p>
            <w:r/>
            <w:r>
              <w:t xml:space="preserve">Creates </w:t>
            </w:r>
            <w:r>
              <w:rPr>
                <w:rFonts w:ascii="Consolas" w:hAnsi="Consolas"/>
                <w:sz w:val="19"/>
              </w:rPr>
              <w:t>complaint_events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complaint_facts</w:t>
            </w:r>
            <w:r>
              <w:t xml:space="preserve"> MVs and </w:t>
            </w:r>
            <w:r>
              <w:rPr>
                <w:rFonts w:ascii="Consolas" w:hAnsi="Consolas"/>
                <w:sz w:val="19"/>
              </w:rPr>
              <w:t>complaint_open_state_daily</w:t>
            </w:r>
            <w:r>
              <w:t xml:space="preserve"> table</w:t>
            </w:r>
          </w:p>
        </w:tc>
      </w:tr>
      <w:tr>
        <w:tc>
          <w:tcPr>
            <w:tcW w:type="dxa" w:w="2880"/>
          </w:tcPr>
          <w:p>
            <w:r/>
            <w:r>
              <w:t>V20260609000000__add_assignment_routing_flags_to_facts.sql</w:t>
            </w:r>
          </w:p>
        </w:tc>
        <w:tc>
          <w:tcPr>
            <w:tcW w:type="dxa" w:w="2880"/>
          </w:tcPr>
          <w:p>
            <w:r/>
            <w:r>
              <w:t>pgr-services</w:t>
            </w:r>
          </w:p>
        </w:tc>
        <w:tc>
          <w:tcPr>
            <w:tcW w:type="dxa" w:w="2880"/>
          </w:tcPr>
          <w:p>
            <w:r/>
            <w:r>
              <w:t xml:space="preserve">Recreates </w:t>
            </w:r>
            <w:r>
              <w:rPr>
                <w:rFonts w:ascii="Consolas" w:hAnsi="Consolas"/>
                <w:sz w:val="19"/>
              </w:rPr>
              <w:t>complaint_facts</w:t>
            </w:r>
            <w:r>
              <w:t xml:space="preserve"> adding </w:t>
            </w:r>
            <w:r>
              <w:rPr>
                <w:rFonts w:ascii="Consolas" w:hAnsi="Consolas"/>
                <w:sz w:val="19"/>
              </w:rPr>
              <w:t>has_been_assigned</w:t>
            </w:r>
            <w:r>
              <w:t>/</w:t>
            </w:r>
            <w:r>
              <w:rPr>
                <w:rFonts w:ascii="Consolas" w:hAnsi="Consolas"/>
                <w:sz w:val="19"/>
              </w:rPr>
              <w:t>is_reassigned</w:t>
            </w:r>
            <w:r>
              <w:t xml:space="preserve"> flags</w:t>
            </w:r>
          </w:p>
        </w:tc>
      </w:tr>
      <w:tr>
        <w:tc>
          <w:tcPr>
            <w:tcW w:type="dxa" w:w="2880"/>
          </w:tcPr>
          <w:p>
            <w:r/>
            <w:r>
              <w:t>V20260621000000__add_extended_attributes.sql</w:t>
            </w:r>
          </w:p>
        </w:tc>
        <w:tc>
          <w:tcPr>
            <w:tcW w:type="dxa" w:w="2880"/>
          </w:tcPr>
          <w:p>
            <w:r/>
            <w:r>
              <w:t>pgr-services</w:t>
            </w:r>
          </w:p>
        </w:tc>
        <w:tc>
          <w:tcPr>
            <w:tcW w:type="dxa" w:w="2880"/>
          </w:tcPr>
          <w:p>
            <w:r/>
            <w:r>
              <w:t xml:space="preserve">Adds </w:t>
            </w:r>
            <w:r>
              <w:rPr>
                <w:rFonts w:ascii="Consolas" w:hAnsi="Consolas"/>
                <w:sz w:val="19"/>
              </w:rPr>
              <w:t>extended_attributes JSONB</w:t>
            </w:r>
            <w:r>
              <w:t xml:space="preserve"> + 2 expression indexes to </w:t>
            </w:r>
            <w:r>
              <w:rPr>
                <w:rFonts w:ascii="Consolas" w:hAnsi="Consolas"/>
                <w:sz w:val="19"/>
              </w:rPr>
              <w:t>eg_pgr_service_v2</w:t>
            </w:r>
          </w:p>
        </w:tc>
      </w:tr>
      <w:tr>
        <w:tc>
          <w:tcPr>
            <w:tcW w:type="dxa" w:w="2880"/>
          </w:tcPr>
          <w:p>
            <w:r/>
            <w:r>
              <w:t>V20260623120000__open_complaint_age_buckets.sql</w:t>
            </w:r>
          </w:p>
        </w:tc>
        <w:tc>
          <w:tcPr>
            <w:tcW w:type="dxa" w:w="2880"/>
          </w:tcPr>
          <w:p>
            <w:r/>
            <w:r>
              <w:t>pgr-services</w:t>
            </w:r>
          </w:p>
        </w:tc>
        <w:tc>
          <w:tcPr>
            <w:tcW w:type="dxa" w:w="2880"/>
          </w:tcPr>
          <w:p>
            <w:r/>
            <w:r>
              <w:t xml:space="preserve">Recreates </w:t>
            </w:r>
            <w:r>
              <w:rPr>
                <w:rFonts w:ascii="Consolas" w:hAnsi="Consolas"/>
                <w:sz w:val="19"/>
              </w:rPr>
              <w:t>complaint_facts</w:t>
            </w:r>
            <w:r>
              <w:t xml:space="preserve"> with aligned aging-bucket labels</w:t>
            </w:r>
          </w:p>
        </w:tc>
      </w:tr>
      <w:tr>
        <w:tc>
          <w:tcPr>
            <w:tcW w:type="dxa" w:w="2880"/>
          </w:tcPr>
          <w:p>
            <w:r/>
            <w:r>
              <w:t>V20260629000000__grain_scope_columns.sql</w:t>
            </w:r>
          </w:p>
        </w:tc>
        <w:tc>
          <w:tcPr>
            <w:tcW w:type="dxa" w:w="2880"/>
          </w:tcPr>
          <w:p>
            <w:r/>
            <w:r>
              <w:t>pgr-services</w:t>
            </w:r>
          </w:p>
        </w:tc>
        <w:tc>
          <w:tcPr>
            <w:tcW w:type="dxa" w:w="2880"/>
          </w:tcPr>
          <w:p>
            <w:r/>
            <w:r>
              <w:t xml:space="preserve">Adds </w:t>
            </w:r>
            <w:r>
              <w:rPr>
                <w:rFonts w:ascii="Consolas" w:hAnsi="Consolas"/>
                <w:sz w:val="19"/>
              </w:rPr>
              <w:t>department_code</w:t>
            </w:r>
            <w:r>
              <w:t>/</w:t>
            </w:r>
            <w:r>
              <w:rPr>
                <w:rFonts w:ascii="Consolas" w:hAnsi="Consolas"/>
                <w:sz w:val="19"/>
              </w:rPr>
              <w:t>account_id</w:t>
            </w:r>
            <w:r>
              <w:t xml:space="preserve"> scope columns to grains (CASCADE recreate)</w:t>
            </w:r>
          </w:p>
        </w:tc>
      </w:tr>
      <w:tr>
        <w:tc>
          <w:tcPr>
            <w:tcW w:type="dxa" w:w="2880"/>
          </w:tcPr>
          <w:p>
            <w:r/>
            <w:r>
              <w:t>V20260708000000__sla_and_hierarchy_grains.sql</w:t>
            </w:r>
          </w:p>
        </w:tc>
        <w:tc>
          <w:tcPr>
            <w:tcW w:type="dxa" w:w="2880"/>
          </w:tcPr>
          <w:p>
            <w:r/>
            <w:r>
              <w:t>pgr-services</w:t>
            </w:r>
          </w:p>
        </w:tc>
        <w:tc>
          <w:tcPr>
            <w:tcW w:type="dxa" w:w="2880"/>
          </w:tcPr>
          <w:p>
            <w:r/>
            <w:r>
              <w:t xml:space="preserve">Fixes </w:t>
            </w:r>
            <w:r>
              <w:rPr>
                <w:rFonts w:ascii="Consolas" w:hAnsi="Consolas"/>
                <w:sz w:val="19"/>
              </w:rPr>
              <w:t>sla_target_ms</w:t>
            </w:r>
            <w:r>
              <w:t xml:space="preserve"> sourcing (was NULL for all city tenants) + adds arbitrary-depth hierarchy grains</w:t>
            </w:r>
          </w:p>
        </w:tc>
      </w:tr>
      <w:tr>
        <w:tc>
          <w:tcPr>
            <w:tcW w:type="dxa" w:w="2880"/>
          </w:tcPr>
          <w:p>
            <w:r/>
            <w:r>
              <w:t>V20260715000000__create_hrms_projection.sql</w:t>
            </w:r>
          </w:p>
        </w:tc>
        <w:tc>
          <w:tcPr>
            <w:tcW w:type="dxa" w:w="2880"/>
          </w:tcPr>
          <w:p>
            <w:r/>
            <w:r>
              <w:t>pgr-services</w:t>
            </w:r>
          </w:p>
        </w:tc>
        <w:tc>
          <w:tcPr>
            <w:tcW w:type="dxa" w:w="2880"/>
          </w:tcPr>
          <w:p>
            <w:r/>
            <w:r>
              <w:t xml:space="preserve">Creates </w:t>
            </w:r>
            <w:r>
              <w:rPr>
                <w:rFonts w:ascii="Consolas" w:hAnsi="Consolas"/>
                <w:sz w:val="19"/>
              </w:rPr>
              <w:t>eg_pgr_hrms_projection</w:t>
            </w:r>
            <w:r>
              <w:t xml:space="preserve"> (local HRMS reporting-hierarchy cache for the visibility resolver)</w:t>
            </w:r>
          </w:p>
        </w:tc>
      </w:tr>
      <w:tr>
        <w:tc>
          <w:tcPr>
            <w:tcW w:type="dxa" w:w="2880"/>
          </w:tcPr>
          <w:p>
            <w:r/>
            <w:r>
              <w:t>V20260716000000__hier_path_null_on_dotted_node_codes.sql</w:t>
            </w:r>
          </w:p>
        </w:tc>
        <w:tc>
          <w:tcPr>
            <w:tcW w:type="dxa" w:w="2880"/>
          </w:tcPr>
          <w:p>
            <w:r/>
            <w:r>
              <w:t>pgr-services</w:t>
            </w:r>
          </w:p>
        </w:tc>
        <w:tc>
          <w:tcPr>
            <w:tcW w:type="dxa" w:w="2880"/>
          </w:tcPr>
          <w:p>
            <w:r/>
            <w:r>
              <w:t>Data-hygiene fix for legacy flat-imported hierarchy codes polluting rollup buckets</w:t>
            </w:r>
          </w:p>
        </w:tc>
      </w:tr>
      <w:tr>
        <w:tc>
          <w:tcPr>
            <w:tcW w:type="dxa" w:w="2880"/>
          </w:tcPr>
          <w:p>
            <w:r/>
            <w:r>
              <w:t>V20260717000000__hier_path_null_on_dotted_parent_codes.sql</w:t>
            </w:r>
          </w:p>
        </w:tc>
        <w:tc>
          <w:tcPr>
            <w:tcW w:type="dxa" w:w="2880"/>
          </w:tcPr>
          <w:p>
            <w:r/>
            <w:r>
              <w:t>pgr-services</w:t>
            </w:r>
          </w:p>
        </w:tc>
        <w:tc>
          <w:tcPr>
            <w:tcW w:type="dxa" w:w="2880"/>
          </w:tcPr>
          <w:p>
            <w:r/>
            <w:r>
              <w:t>Same class of fix, parent-code side</w:t>
            </w:r>
          </w:p>
        </w:tc>
      </w:tr>
      <w:tr>
        <w:tc>
          <w:tcPr>
            <w:tcW w:type="dxa" w:w="2880"/>
          </w:tcPr>
          <w:p>
            <w:r/>
            <w:r>
              <w:t>V20260701000000__extend_dispatch_unique_key.sql</w:t>
            </w:r>
          </w:p>
        </w:tc>
        <w:tc>
          <w:tcPr>
            <w:tcW w:type="dxa" w:w="2880"/>
          </w:tcPr>
          <w:p>
            <w:r/>
            <w:r>
              <w:t>novu-bridge</w:t>
            </w:r>
          </w:p>
        </w:tc>
        <w:tc>
          <w:tcPr>
            <w:tcW w:type="dxa" w:w="2880"/>
          </w:tcPr>
          <w:p>
            <w:r/>
            <w:r>
              <w:t xml:space="preserve">Widens dispatch-log idempotency key, adds </w:t>
            </w:r>
            <w:r>
              <w:rPr>
                <w:rFonts w:ascii="Consolas" w:hAnsi="Consolas"/>
                <w:sz w:val="19"/>
              </w:rPr>
              <w:t>transaction_id</w:t>
            </w:r>
            <w:r>
              <w:t xml:space="preserve"> (out-of-order migration)</w:t>
            </w:r>
          </w:p>
        </w:tc>
      </w:tr>
      <w:tr>
        <w:tc>
          <w:tcPr>
            <w:tcW w:type="dxa" w:w="2880"/>
          </w:tcPr>
          <w:p>
            <w:r/>
            <w:r>
              <w:t>V20260505000000__chat.sql</w:t>
            </w:r>
          </w:p>
        </w:tc>
        <w:tc>
          <w:tcPr>
            <w:tcW w:type="dxa" w:w="2880"/>
          </w:tcPr>
          <w:p>
            <w:r/>
            <w:r>
              <w:t>xstate-chatbot</w:t>
            </w:r>
          </w:p>
        </w:tc>
        <w:tc>
          <w:tcPr>
            <w:tcW w:type="dxa" w:w="2880"/>
          </w:tcPr>
          <w:p>
            <w:r/>
            <w:r>
              <w:t xml:space="preserve">New service, new DB — creates </w:t>
            </w:r>
            <w:r>
              <w:rPr>
                <w:rFonts w:ascii="Consolas" w:hAnsi="Consolas"/>
                <w:sz w:val="19"/>
              </w:rPr>
              <w:t>eg_chat_state_v2</w:t>
            </w:r>
          </w:p>
        </w:tc>
      </w:tr>
    </w:tbl>
    <w:p/>
    <w:p>
      <w:r>
        <w:t xml:space="preserve">The pgr-services migrations depend on each other's shape (several </w:t>
      </w:r>
      <w:r>
        <w:rPr>
          <w:rFonts w:ascii="Consolas" w:hAnsi="Consolas"/>
          <w:sz w:val="19"/>
        </w:rPr>
        <w:t>DROP MATERIALIZED VIEW ... CASCADE</w:t>
      </w:r>
      <w:r>
        <w:t xml:space="preserve"> + recreate) and must run in order — standard Flyway behaviour, no special flag needed except for the novu-bridge one noted above.</w:t>
      </w:r>
    </w:p>
    <w:p>
      <w:pPr>
        <w:pStyle w:val="Heading2"/>
      </w:pPr>
      <w:r>
        <w:rPr>
          <w:color w:val="2E2E2E"/>
        </w:rPr>
        <w:t>2.5 New REST endpoints (pgr-services)</w:t>
      </w:r>
    </w:p>
    <w:p>
      <w:pPr>
        <w:pStyle w:val="ListBullet"/>
      </w:pPr>
      <w:r>
        <w:rPr>
          <w:rFonts w:ascii="Consolas" w:hAnsi="Consolas"/>
          <w:sz w:val="19"/>
        </w:rPr>
        <w:t>POST /request/inbox/_search</w:t>
      </w:r>
      <w:r>
        <w:t xml:space="preserve"> and </w:t>
      </w:r>
      <w:r>
        <w:rPr>
          <w:rFonts w:ascii="Consolas" w:hAnsi="Consolas"/>
          <w:sz w:val="19"/>
        </w:rPr>
        <w:t>POST /request/inbox/_count</w:t>
      </w:r>
      <w:r>
        <w:t xml:space="preserve"> — visibility-scoped inbox search, gated by </w:t>
      </w:r>
      <w:r>
        <w:rPr>
          <w:rFonts w:ascii="Consolas" w:hAnsi="Consolas"/>
          <w:sz w:val="19"/>
        </w:rPr>
        <w:t>pgr.visibility.enabled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GET /v2/dashboard</w:t>
      </w:r>
      <w:r>
        <w:t xml:space="preserve"> — restored/new dashboard endpoint backed by the new materialized views.</w:t>
      </w:r>
    </w:p>
    <w:p>
      <w:r>
        <w:rPr>
          <w:color w:val="CCCCCC"/>
        </w:rPr>
        <w:t>________________________________________________________________________________</w:t>
      </w:r>
    </w:p>
    <w:p>
      <w:pPr>
        <w:pStyle w:val="Heading1"/>
      </w:pPr>
      <w:r>
        <w:rPr>
          <w:color w:val="1F4E79"/>
        </w:rPr>
        <w:t>3. DevOps / Deployment Infrastructure</w:t>
      </w:r>
    </w:p>
    <w:p>
      <w:pPr>
        <w:ind w:left="216"/>
      </w:pPr>
      <w:r>
        <w:rPr>
          <w:b/>
          <w:color w:val="1F4E79"/>
        </w:rPr>
        <w:t xml:space="preserve">HEADLINE —  </w:t>
      </w:r>
      <w:r>
        <w:t xml:space="preserve">the entire Ansible-driven deployment system is net-new since v2.11. At v2.11, </w:t>
      </w:r>
      <w:r>
        <w:rPr>
          <w:rFonts w:ascii="Consolas" w:hAnsi="Consolas"/>
          <w:sz w:val="19"/>
        </w:rPr>
        <w:t>local-setup/ansible/</w:t>
      </w:r>
      <w:r>
        <w:t xml:space="preserve"> was 2 files and only installed Docker + pulled images. It is now a 33-file, ~3,700-line, per-tenant </w:t>
      </w:r>
      <w:r>
        <w:rPr>
          <w:rFonts w:ascii="Consolas" w:hAnsi="Consolas"/>
          <w:sz w:val="19"/>
        </w:rPr>
        <w:t>host_vars</w:t>
      </w:r>
      <w:r>
        <w:t>-driven deployment model with runbooks. This is the single largest change for a migration guide to cover.</w:t>
      </w:r>
    </w:p>
    <w:p>
      <w:pPr>
        <w:pStyle w:val="Heading2"/>
      </w:pPr>
      <w:r>
        <w:rPr>
          <w:color w:val="2E2E2E"/>
        </w:rPr>
        <w:t>3.1 Ansible host_vars &amp; globalConfigs (new files)</w:t>
      </w:r>
    </w:p>
    <w:p>
      <w:pPr>
        <w:pStyle w:val="ListBullet"/>
      </w:pPr>
      <w:r>
        <w:rPr>
          <w:b/>
        </w:rPr>
        <w:t>Tenant taxonomy</w:t>
      </w:r>
      <w:r>
        <w:t xml:space="preserve"> (was a single flat tenant before): </w:t>
      </w:r>
      <w:r>
        <w:rPr>
          <w:rFonts w:ascii="Consolas" w:hAnsi="Consolas"/>
          <w:sz w:val="19"/>
        </w:rPr>
        <w:t>state_root</w:t>
      </w:r>
      <w:r>
        <w:t xml:space="preserve">, </w:t>
      </w:r>
      <w:r>
        <w:rPr>
          <w:rFonts w:ascii="Consolas" w:hAnsi="Consolas"/>
          <w:sz w:val="19"/>
        </w:rPr>
        <w:t>state_tenant_id</w:t>
      </w:r>
      <w:r>
        <w:t xml:space="preserve">, </w:t>
      </w:r>
      <w:r>
        <w:rPr>
          <w:rFonts w:ascii="Consolas" w:hAnsi="Consolas"/>
          <w:sz w:val="19"/>
        </w:rPr>
        <w:t>boot_tenant</w:t>
      </w:r>
      <w:r>
        <w:t xml:space="preserve">, </w:t>
      </w:r>
      <w:r>
        <w:rPr>
          <w:rFonts w:ascii="Consolas" w:hAnsi="Consolas"/>
          <w:sz w:val="19"/>
        </w:rPr>
        <w:t>tenant_id</w:t>
      </w:r>
      <w:r>
        <w:t xml:space="preserve">, </w:t>
      </w:r>
      <w:r>
        <w:rPr>
          <w:rFonts w:ascii="Consolas" w:hAnsi="Consolas"/>
          <w:sz w:val="19"/>
        </w:rPr>
        <w:t>ui_state_tenant_id</w:t>
      </w:r>
      <w:r>
        <w:t>.</w:t>
      </w:r>
    </w:p>
    <w:p>
      <w:pPr>
        <w:pStyle w:val="ListBullet"/>
      </w:pPr>
      <w:r>
        <w:rPr>
          <w:b/>
        </w:rPr>
        <w:t>Country-specific validation</w:t>
      </w:r>
      <w:r>
        <w:t xml:space="preserve"> (no longer hardcoded to India): </w:t>
      </w:r>
      <w:r>
        <w:rPr>
          <w:rFonts w:ascii="Consolas" w:hAnsi="Consolas"/>
          <w:sz w:val="19"/>
        </w:rPr>
        <w:t>core_mobile_configs</w:t>
      </w:r>
      <w:r>
        <w:t xml:space="preserve"> (countryCode + regex), </w:t>
      </w:r>
      <w:r>
        <w:rPr>
          <w:rFonts w:ascii="Consolas" w:hAnsi="Consolas"/>
          <w:sz w:val="19"/>
        </w:rPr>
        <w:t>core_postal_configs</w:t>
      </w:r>
      <w:r>
        <w:t xml:space="preserve"> (postalCodePattern) — surfaced to the frontend as globalConfigs keys </w:t>
      </w:r>
      <w:r>
        <w:rPr>
          <w:rFonts w:ascii="Consolas" w:hAnsi="Consolas"/>
          <w:sz w:val="19"/>
        </w:rPr>
        <w:t>CORE_MOBILE_CONFIGS</w:t>
      </w:r>
      <w:r>
        <w:t xml:space="preserve"> / </w:t>
      </w:r>
      <w:r>
        <w:rPr>
          <w:rFonts w:ascii="Consolas" w:hAnsi="Consolas"/>
          <w:sz w:val="19"/>
        </w:rPr>
        <w:t>CORE_POSTAL_CONFIGS</w:t>
      </w:r>
      <w:r>
        <w:t>. Absent → legacy Kenya 5-digit postal default.</w:t>
      </w:r>
    </w:p>
    <w:p>
      <w:pPr>
        <w:pStyle w:val="ListBullet"/>
      </w:pPr>
      <w:r>
        <w:rPr>
          <w:rFonts w:ascii="Consolas" w:hAnsi="Consolas"/>
          <w:sz w:val="19"/>
        </w:rPr>
        <w:t>pgr_pincode_allowlist</w:t>
      </w:r>
      <w:r>
        <w:t xml:space="preserve"> — optional postal-code serviceability allowlist; unset accepts any code (must not be set to </w:t>
      </w:r>
      <w:r>
        <w:rPr>
          <w:rFonts w:ascii="Consolas" w:hAnsi="Consolas"/>
          <w:sz w:val="19"/>
        </w:rPr>
        <w:t>[]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login_tenant_allowlist</w:t>
      </w:r>
      <w:r>
        <w:t xml:space="preserve">, </w:t>
      </w:r>
      <w:r>
        <w:rPr>
          <w:rFonts w:ascii="Consolas" w:hAnsi="Consolas"/>
          <w:sz w:val="19"/>
        </w:rPr>
        <w:t>employee_module_denylist</w:t>
      </w:r>
      <w:r>
        <w:t xml:space="preserve"> — new access-control lists (globalConfigs </w:t>
      </w:r>
      <w:r>
        <w:rPr>
          <w:rFonts w:ascii="Consolas" w:hAnsi="Consolas"/>
          <w:sz w:val="19"/>
        </w:rPr>
        <w:t>LOGIN_TENANT_ALLOWLIST</w:t>
      </w:r>
      <w:r>
        <w:t xml:space="preserve"> / </w:t>
      </w:r>
      <w:r>
        <w:rPr>
          <w:rFonts w:ascii="Consolas" w:hAnsi="Consolas"/>
          <w:sz w:val="19"/>
        </w:rPr>
        <w:t>EMPLOYEE_MODULE_DENYLIST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pgr_boundary_highest_level</w:t>
      </w:r>
      <w:r>
        <w:t xml:space="preserve"> / </w:t>
      </w:r>
      <w:r>
        <w:rPr>
          <w:rFonts w:ascii="Consolas" w:hAnsi="Consolas"/>
          <w:sz w:val="19"/>
        </w:rPr>
        <w:t>pgr_boundary_lowest_level</w:t>
      </w:r>
      <w:r>
        <w:t xml:space="preserve"> / </w:t>
      </w:r>
      <w:r>
        <w:rPr>
          <w:rFonts w:ascii="Consolas" w:hAnsi="Consolas"/>
          <w:sz w:val="19"/>
        </w:rPr>
        <w:t>boundary_type</w:t>
      </w:r>
      <w:r>
        <w:t xml:space="preserve"> / </w:t>
      </w:r>
      <w:r>
        <w:rPr>
          <w:rFonts w:ascii="Consolas" w:hAnsi="Consolas"/>
          <w:sz w:val="19"/>
        </w:rPr>
        <w:t>hierarchy_type</w:t>
      </w:r>
      <w:r>
        <w:t xml:space="preserve"> — country-specific boundary taxonomy.</w:t>
      </w:r>
    </w:p>
    <w:p>
      <w:pPr>
        <w:pStyle w:val="Heading2"/>
      </w:pPr>
      <w:r>
        <w:rPr>
          <w:color w:val="2E2E2E"/>
        </w:rPr>
        <w:t>3.2 Opt-in feature flags (default off)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Flag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Enables</w:t>
            </w:r>
          </w:p>
        </w:tc>
      </w:tr>
      <w:tr>
        <w:tc>
          <w:tcPr>
            <w:tcW w:type="dxa" w:w="4320"/>
          </w:tcPr>
          <w:p>
            <w:r/>
            <w:r>
              <w:t>enable_digit_ui_v2</w:t>
            </w:r>
          </w:p>
        </w:tc>
        <w:tc>
          <w:tcPr>
            <w:tcW w:type="dxa" w:w="4320"/>
          </w:tcPr>
          <w:p>
            <w:r/>
            <w:r>
              <w:t>New Vite/React19 citizen SPA at /citizen/</w:t>
            </w:r>
          </w:p>
        </w:tc>
      </w:tr>
      <w:tr>
        <w:tc>
          <w:tcPr>
            <w:tcW w:type="dxa" w:w="4320"/>
          </w:tcPr>
          <w:p>
            <w:r/>
            <w:r>
              <w:t>enable_search_stack</w:t>
            </w:r>
          </w:p>
        </w:tc>
        <w:tc>
          <w:tcPr>
            <w:tcW w:type="dxa" w:w="4320"/>
          </w:tcPr>
          <w:p>
            <w:r/>
            <w:r>
              <w:t>Elasticsearch + egov-indexer + inbox-v2 (~3GB RAM)</w:t>
            </w:r>
          </w:p>
        </w:tc>
      </w:tr>
      <w:tr>
        <w:tc>
          <w:tcPr>
            <w:tcW w:type="dxa" w:w="4320"/>
          </w:tcPr>
          <w:p>
            <w:r/>
            <w:r>
              <w:t>enable_mcp</w:t>
            </w:r>
          </w:p>
        </w:tc>
        <w:tc>
          <w:tcPr>
            <w:tcW w:type="dxa" w:w="4320"/>
          </w:tcPr>
          <w:p>
            <w:r/>
            <w:r>
              <w:t>digit-mcp (default true in the example host_vars, but only reachable on the internal registry)</w:t>
            </w:r>
          </w:p>
        </w:tc>
      </w:tr>
      <w:tr>
        <w:tc>
          <w:tcPr>
            <w:tcW w:type="dxa" w:w="4320"/>
          </w:tcPr>
          <w:p>
            <w:r/>
            <w:r>
              <w:t>enable_turbopass / enable_overpass</w:t>
            </w:r>
          </w:p>
        </w:tc>
        <w:tc>
          <w:tcPr>
            <w:tcW w:type="dxa" w:w="4320"/>
          </w:tcPr>
          <w:p>
            <w:r/>
            <w:r>
              <w:t>OSM location autocomplete / self-hosted boundary-polygon service</w:t>
            </w:r>
          </w:p>
        </w:tc>
      </w:tr>
      <w:tr>
        <w:tc>
          <w:tcPr>
            <w:tcW w:type="dxa" w:w="4320"/>
          </w:tcPr>
          <w:p>
            <w:r/>
            <w:r>
              <w:t>enable_novu / build_novu_dashboard / build_novu_bridge / pgr_notification_config_driven</w:t>
            </w:r>
          </w:p>
        </w:tc>
        <w:tc>
          <w:tcPr>
            <w:tcW w:type="dxa" w:w="4320"/>
          </w:tcPr>
          <w:p>
            <w:r/>
            <w:r>
              <w:t>Novu + Twilio WhatsApp notification stack</w:t>
            </w:r>
          </w:p>
        </w:tc>
      </w:tr>
      <w:tr>
        <w:tc>
          <w:tcPr>
            <w:tcW w:type="dxa" w:w="4320"/>
          </w:tcPr>
          <w:p>
            <w:r/>
            <w:r>
              <w:t>enable_keycloak + auth_provider</w:t>
            </w:r>
          </w:p>
        </w:tc>
        <w:tc>
          <w:tcPr>
            <w:tcW w:type="dxa" w:w="4320"/>
          </w:tcPr>
          <w:p>
            <w:r/>
            <w:r>
              <w:t>SSO — inert until auth_provider is also flipped to keycloak</w:t>
            </w:r>
          </w:p>
        </w:tc>
      </w:tr>
      <w:tr>
        <w:tc>
          <w:tcPr>
            <w:tcW w:type="dxa" w:w="4320"/>
          </w:tcPr>
          <w:p>
            <w:r/>
            <w:r>
              <w:t>enable_otp_services</w:t>
            </w:r>
          </w:p>
        </w:tc>
        <w:tc>
          <w:tcPr>
            <w:tcW w:type="dxa" w:w="4320"/>
          </w:tcPr>
          <w:p>
            <w:r/>
            <w:r>
              <w:t>Real OTP stack; Kong mocks OTP with a fixed value otherwise</w:t>
            </w:r>
          </w:p>
        </w:tc>
      </w:tr>
      <w:tr>
        <w:tc>
          <w:tcPr>
            <w:tcW w:type="dxa" w:w="4320"/>
          </w:tcPr>
          <w:p>
            <w:r/>
            <w:r>
              <w:t>enable_integration_tests[_runner]</w:t>
            </w:r>
          </w:p>
        </w:tc>
        <w:tc>
          <w:tcPr>
            <w:tcW w:type="dxa" w:w="4320"/>
          </w:tcPr>
          <w:p>
            <w:r/>
            <w:r>
              <w:t>Test dashboards + a run-button daemon</w:t>
            </w:r>
          </w:p>
        </w:tc>
      </w:tr>
    </w:tbl>
    <w:p/>
    <w:p>
      <w:pPr>
        <w:pStyle w:val="Heading2"/>
      </w:pPr>
      <w:r>
        <w:rPr>
          <w:color w:val="2E2E2E"/>
        </w:rPr>
        <w:t>3.3 Docker Compose — new services by profile</w:t>
      </w:r>
    </w:p>
    <w:p>
      <w:pPr>
        <w:ind w:left="216"/>
      </w:pPr>
      <w:r>
        <w:rPr>
          <w:b/>
          <w:color w:val="B00000"/>
        </w:rPr>
        <w:t xml:space="preserve">ALWAYS-ON, no profile gate —  </w:t>
      </w:r>
      <w:r>
        <w:rPr>
          <w:rFonts w:ascii="Consolas" w:hAnsi="Consolas"/>
          <w:sz w:val="19"/>
        </w:rPr>
        <w:t>otel-collector</w:t>
      </w:r>
      <w:r>
        <w:t xml:space="preserve">, </w:t>
      </w:r>
      <w:r>
        <w:rPr>
          <w:rFonts w:ascii="Consolas" w:hAnsi="Consolas"/>
          <w:sz w:val="19"/>
        </w:rPr>
        <w:t>tempo</w:t>
      </w:r>
      <w:r>
        <w:t xml:space="preserve">, </w:t>
      </w:r>
      <w:r>
        <w:rPr>
          <w:rFonts w:ascii="Consolas" w:hAnsi="Consolas"/>
          <w:sz w:val="19"/>
        </w:rPr>
        <w:t>grafana</w:t>
      </w:r>
      <w:r>
        <w:t xml:space="preserve">, </w:t>
      </w:r>
      <w:r>
        <w:rPr>
          <w:rFonts w:ascii="Consolas" w:hAnsi="Consolas"/>
          <w:sz w:val="19"/>
        </w:rPr>
        <w:t>prometheus</w:t>
      </w:r>
      <w:r>
        <w:t xml:space="preserve">, </w:t>
      </w:r>
      <w:r>
        <w:rPr>
          <w:rFonts w:ascii="Consolas" w:hAnsi="Consolas"/>
          <w:sz w:val="19"/>
        </w:rPr>
        <w:t>loki</w:t>
      </w:r>
      <w:r>
        <w:t xml:space="preserve">, </w:t>
      </w:r>
      <w:r>
        <w:rPr>
          <w:rFonts w:ascii="Consolas" w:hAnsi="Consolas"/>
          <w:sz w:val="19"/>
        </w:rPr>
        <w:t>promtail</w:t>
      </w:r>
      <w:r>
        <w:t xml:space="preserve"> (full observability stack), plus </w:t>
      </w:r>
      <w:r>
        <w:rPr>
          <w:rFonts w:ascii="Consolas" w:hAnsi="Consolas"/>
          <w:sz w:val="19"/>
        </w:rPr>
        <w:t>openbao</w:t>
      </w:r>
      <w:r>
        <w:t xml:space="preserve">, </w:t>
      </w:r>
      <w:r>
        <w:rPr>
          <w:rFonts w:ascii="Consolas" w:hAnsi="Consolas"/>
          <w:sz w:val="19"/>
        </w:rPr>
        <w:t>audit-service</w:t>
      </w:r>
      <w:r>
        <w:t xml:space="preserve">, </w:t>
      </w:r>
      <w:r>
        <w:rPr>
          <w:rFonts w:ascii="Consolas" w:hAnsi="Consolas"/>
          <w:sz w:val="19"/>
        </w:rPr>
        <w:t>db-migrations</w:t>
      </w:r>
      <w:r>
        <w:t xml:space="preserve">, </w:t>
      </w:r>
      <w:r>
        <w:rPr>
          <w:rFonts w:ascii="Consolas" w:hAnsi="Consolas"/>
          <w:sz w:val="19"/>
        </w:rPr>
        <w:t>hrms-prereq-gate</w:t>
      </w:r>
      <w:r>
        <w:t xml:space="preserve">, </w:t>
      </w:r>
      <w:r>
        <w:rPr>
          <w:rFonts w:ascii="Consolas" w:hAnsi="Consolas"/>
          <w:sz w:val="19"/>
        </w:rPr>
        <w:t>user-seed</w:t>
      </w:r>
      <w:r>
        <w:t xml:space="preserve">, </w:t>
      </w:r>
      <w:r>
        <w:rPr>
          <w:rFonts w:ascii="Consolas" w:hAnsi="Consolas"/>
          <w:sz w:val="19"/>
        </w:rPr>
        <w:t>default-data-handler</w:t>
      </w:r>
      <w:r>
        <w:t>. Every deploy on the new compose base gets these unconditionally, consuming extra RAM/CPU/disk and ports (Loki 13100, Prometheus 19090, Tempo 13200, OTel-collector 14317/14318/13133, OpenBao 18200) regardless of whether any opt-in feature is used.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Profile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Services</w:t>
            </w:r>
          </w:p>
        </w:tc>
      </w:tr>
      <w:tr>
        <w:tc>
          <w:tcPr>
            <w:tcW w:type="dxa" w:w="4320"/>
          </w:tcPr>
          <w:p>
            <w:r/>
            <w:r>
              <w:t>search (enable_search_stack)</w:t>
            </w:r>
          </w:p>
        </w:tc>
        <w:tc>
          <w:tcPr>
            <w:tcW w:type="dxa" w:w="4320"/>
          </w:tcPr>
          <w:p>
            <w:r/>
            <w:r>
              <w:t>elasticsearch, egov-indexer, inbox</w:t>
            </w:r>
          </w:p>
        </w:tc>
      </w:tr>
      <w:tr>
        <w:tc>
          <w:tcPr>
            <w:tcW w:type="dxa" w:w="4320"/>
          </w:tcPr>
          <w:p>
            <w:r/>
            <w:r>
              <w:t>otp (enable_otp_services)</w:t>
            </w:r>
          </w:p>
        </w:tc>
        <w:tc>
          <w:tcPr>
            <w:tcW w:type="dxa" w:w="4320"/>
          </w:tcPr>
          <w:p>
            <w:r/>
            <w:r>
              <w:t>egov-otp, user-otp, egov-notification-sms</w:t>
            </w:r>
          </w:p>
        </w:tc>
      </w:tr>
      <w:tr>
        <w:tc>
          <w:tcPr>
            <w:tcW w:type="dxa" w:w="4320"/>
          </w:tcPr>
          <w:p>
            <w:r/>
            <w:r>
              <w:t>mcp (enable_mcp)</w:t>
            </w:r>
          </w:p>
        </w:tc>
        <w:tc>
          <w:tcPr>
            <w:tcW w:type="dxa" w:w="4320"/>
          </w:tcPr>
          <w:p>
            <w:r/>
            <w:r>
              <w:t>mcp-postgres, digit-mcp</w:t>
            </w:r>
          </w:p>
        </w:tc>
      </w:tr>
      <w:tr>
        <w:tc>
          <w:tcPr>
            <w:tcW w:type="dxa" w:w="4320"/>
          </w:tcPr>
          <w:p>
            <w:r/>
            <w:r>
              <w:t>notifications (enable_novu)</w:t>
            </w:r>
          </w:p>
        </w:tc>
        <w:tc>
          <w:tcPr>
            <w:tcW w:type="dxa" w:w="4320"/>
          </w:tcPr>
          <w:p>
            <w:r/>
            <w:r>
              <w:t>novu-mongo, novu-api, novu-worker, novu-ws, novu-dashboard, novu-bridge-endpoint, digit-config-service, digit-user-preferences-service, novu-bridge, otp-publisher</w:t>
            </w:r>
          </w:p>
        </w:tc>
      </w:tr>
      <w:tr>
        <w:tc>
          <w:tcPr>
            <w:tcW w:type="dxa" w:w="4320"/>
          </w:tcPr>
          <w:p>
            <w:r/>
            <w:r>
              <w:t>keycloak (enable_keycloak)</w:t>
            </w:r>
          </w:p>
        </w:tc>
        <w:tc>
          <w:tcPr>
            <w:tcW w:type="dxa" w:w="4320"/>
          </w:tcPr>
          <w:p>
            <w:r/>
            <w:r>
              <w:t>keycloak-postgres, keycloak, token-exchange-svc</w:t>
            </w:r>
          </w:p>
        </w:tc>
      </w:tr>
    </w:tbl>
    <w:p/>
    <w:p>
      <w:pPr>
        <w:pStyle w:val="Heading2"/>
      </w:pPr>
      <w:r>
        <w:rPr>
          <w:color w:val="2E2E2E"/>
        </w:rPr>
        <w:t>3.4 Kubernetes / Helm (devops/deploy-as-code)</w:t>
      </w:r>
    </w:p>
    <w:p>
      <w:r>
        <w:t>Pre-existing at v2.11 — not new. Only 13 files changed (91 insertions / 30 deletions): small values.yaml alignment fixes (egov-hrms, egov-user, mdms-v2, user-otp, boundary-service, configmaps, pgr-services, digit-ui, default-data-handler) plus gateway-whitelist parity fixes closing Compose/K8s dual-deploy gaps. No new charts. Low migration risk.</w:t>
      </w:r>
    </w:p>
    <w:p>
      <w:pPr>
        <w:pStyle w:val="Heading2"/>
      </w:pPr>
      <w:r>
        <w:rPr>
          <w:color w:val="2E2E2E"/>
        </w:rPr>
        <w:t>3.5 CI/CD — new workflows</w:t>
      </w:r>
    </w:p>
    <w:p>
      <w:pPr>
        <w:pStyle w:val="ListBullet"/>
      </w:pPr>
      <w:r>
        <w:rPr>
          <w:rFonts w:ascii="Consolas" w:hAnsi="Consolas"/>
          <w:sz w:val="19"/>
        </w:rPr>
        <w:t>digit-mcp-ci.yml</w:t>
      </w:r>
      <w:r>
        <w:t xml:space="preserve"> — build/test gate for digit-mcp.</w:t>
      </w:r>
    </w:p>
    <w:p>
      <w:pPr>
        <w:pStyle w:val="ListBullet"/>
      </w:pPr>
      <w:r>
        <w:rPr>
          <w:rFonts w:ascii="Consolas" w:hAnsi="Consolas"/>
          <w:sz w:val="19"/>
        </w:rPr>
        <w:t>flyway-dump-alignment.yml</w:t>
      </w:r>
      <w:r>
        <w:t xml:space="preserve"> — checks each service's </w:t>
      </w:r>
      <w:r>
        <w:rPr>
          <w:rFonts w:ascii="Consolas" w:hAnsi="Consolas"/>
          <w:sz w:val="19"/>
        </w:rPr>
        <w:t>SPRING_FLYWAY_TABLE</w:t>
      </w:r>
      <w:r>
        <w:t xml:space="preserve"> matches the history-table name baked into </w:t>
      </w:r>
      <w:r>
        <w:rPr>
          <w:rFonts w:ascii="Consolas" w:hAnsi="Consolas"/>
          <w:sz w:val="19"/>
        </w:rPr>
        <w:t>full-dump.sql</w:t>
      </w:r>
      <w:r>
        <w:t xml:space="preserve">, preventing Flyway from re-running migrations and crashing with </w:t>
      </w:r>
      <w:r>
        <w:rPr>
          <w:rFonts w:ascii="Consolas" w:hAnsi="Consolas"/>
          <w:sz w:val="19"/>
        </w:rPr>
        <w:t>42P07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frontend-lockfile-drift.yml</w:t>
      </w:r>
      <w:r>
        <w:t xml:space="preserve"> — guards </w:t>
      </w:r>
      <w:r>
        <w:rPr>
          <w:rFonts w:ascii="Consolas" w:hAnsi="Consolas"/>
          <w:sz w:val="19"/>
        </w:rPr>
        <w:t>frontend/micro-ui/web/yarn.lock</w:t>
      </w:r>
      <w:r>
        <w:t xml:space="preserve"> against drift.</w:t>
      </w:r>
    </w:p>
    <w:p>
      <w:pPr>
        <w:pStyle w:val="ListBullet"/>
      </w:pPr>
      <w:r>
        <w:rPr>
          <w:rFonts w:ascii="Consolas" w:hAnsi="Consolas"/>
          <w:sz w:val="19"/>
        </w:rPr>
        <w:t>gateway-whitelist-parity.yml</w:t>
      </w:r>
      <w:r>
        <w:t xml:space="preserve"> — enforces Kong's auth-optional whitelist matches the K8s gateway's whitelist.</w:t>
      </w:r>
    </w:p>
    <w:p>
      <w:pPr>
        <w:pStyle w:val="ListBullet"/>
      </w:pPr>
      <w:r>
        <w:rPr>
          <w:rFonts w:ascii="Consolas" w:hAnsi="Consolas"/>
          <w:sz w:val="19"/>
        </w:rPr>
        <w:t>gatus-coverage.yml</w:t>
      </w:r>
      <w:r>
        <w:t xml:space="preserve"> — enforces every Compose/k3s service has a Gatus health check and both tiers' catalogs match.</w:t>
      </w:r>
    </w:p>
    <w:p>
      <w:pPr>
        <w:pStyle w:val="ListBullet"/>
      </w:pPr>
      <w:r>
        <w:rPr>
          <w:rFonts w:ascii="Consolas" w:hAnsi="Consolas"/>
          <w:sz w:val="19"/>
        </w:rPr>
        <w:t>local-setup/ansible/.ansible-lint</w:t>
      </w:r>
      <w:r>
        <w:t xml:space="preserve">, </w:t>
      </w:r>
      <w:r>
        <w:rPr>
          <w:rFonts w:ascii="Consolas" w:hAnsi="Consolas"/>
          <w:sz w:val="19"/>
        </w:rPr>
        <w:t>.yamllint</w:t>
      </w:r>
      <w:r>
        <w:t xml:space="preserve">, </w:t>
      </w:r>
      <w:r>
        <w:rPr>
          <w:rFonts w:ascii="Consolas" w:hAnsi="Consolas"/>
          <w:sz w:val="19"/>
        </w:rPr>
        <w:t>requirements.yml</w:t>
      </w:r>
      <w:r>
        <w:t xml:space="preserve"> — new lint/collection config (ansible had none at v2.11).</w:t>
      </w:r>
    </w:p>
    <w:p>
      <w:pPr>
        <w:pStyle w:val="Heading2"/>
      </w:pPr>
      <w:r>
        <w:rPr>
          <w:color w:val="2E2E2E"/>
        </w:rPr>
        <w:t>3.6 New operational scripts (local-setup/scripts/)</w:t>
      </w:r>
    </w:p>
    <w:p>
      <w:pPr>
        <w:pStyle w:val="ListBullet"/>
      </w:pPr>
      <w:r>
        <w:rPr>
          <w:rFonts w:ascii="Consolas" w:hAnsi="Consolas"/>
          <w:sz w:val="19"/>
        </w:rPr>
        <w:t>preflight.py</w:t>
      </w:r>
      <w:r>
        <w:t xml:space="preserve"> — rules-as-code gate on </w:t>
      </w:r>
      <w:r>
        <w:rPr>
          <w:rFonts w:ascii="Consolas" w:hAnsi="Consolas"/>
          <w:sz w:val="19"/>
        </w:rPr>
        <w:t>host_vars/&lt;tenant&gt;.yml</w:t>
      </w:r>
      <w:r>
        <w:t>, each rule citing a real past incident.</w:t>
      </w:r>
    </w:p>
    <w:p>
      <w:pPr>
        <w:pStyle w:val="ListBullet"/>
      </w:pPr>
      <w:r>
        <w:rPr>
          <w:rFonts w:ascii="Consolas" w:hAnsi="Consolas"/>
          <w:sz w:val="19"/>
        </w:rPr>
        <w:t>hot-deploy.sh</w:t>
      </w:r>
      <w:r>
        <w:t xml:space="preserve"> — push local code changes into an already-deployed stack without a full redeploy.</w:t>
      </w:r>
    </w:p>
    <w:p>
      <w:pPr>
        <w:pStyle w:val="ListBullet"/>
      </w:pPr>
      <w:r>
        <w:rPr>
          <w:rFonts w:ascii="Consolas" w:hAnsi="Consolas"/>
          <w:sz w:val="19"/>
        </w:rPr>
        <w:t>enable-notifications.sh</w:t>
      </w:r>
      <w:r>
        <w:t xml:space="preserve"> — 9-step resumable installer to flip on config-driven PGR notifications on a running deployment.</w:t>
      </w:r>
    </w:p>
    <w:p>
      <w:pPr>
        <w:pStyle w:val="ListBullet"/>
      </w:pPr>
      <w:r>
        <w:rPr>
          <w:rFonts w:ascii="Consolas" w:hAnsi="Consolas"/>
          <w:sz w:val="19"/>
        </w:rPr>
        <w:t>drive-test-complaint.py</w:t>
      </w:r>
      <w:r>
        <w:t xml:space="preserve"> — end-to-end proof that the WhatsApp/Novu pipeline works.</w:t>
      </w:r>
    </w:p>
    <w:p>
      <w:pPr>
        <w:pStyle w:val="ListBullet"/>
      </w:pPr>
      <w:r>
        <w:rPr>
          <w:rFonts w:ascii="Consolas" w:hAnsi="Consolas"/>
          <w:sz w:val="19"/>
        </w:rPr>
        <w:t>seed-notifications.py</w:t>
      </w:r>
      <w:r>
        <w:t xml:space="preserve">, </w:t>
      </w:r>
      <w:r>
        <w:rPr>
          <w:rFonts w:ascii="Consolas" w:hAnsi="Consolas"/>
          <w:sz w:val="19"/>
        </w:rPr>
        <w:t>seed-provider-templates.py</w:t>
      </w:r>
      <w:r>
        <w:t xml:space="preserve">, </w:t>
      </w:r>
      <w:r>
        <w:rPr>
          <w:rFonts w:ascii="Consolas" w:hAnsi="Consolas"/>
          <w:sz w:val="19"/>
        </w:rPr>
        <w:t>persist-provider-templates.py</w:t>
      </w:r>
      <w:r>
        <w:t xml:space="preserve">, </w:t>
      </w:r>
      <w:r>
        <w:rPr>
          <w:rFonts w:ascii="Consolas" w:hAnsi="Consolas"/>
          <w:sz w:val="19"/>
        </w:rPr>
        <w:t>seed-test-account-preferences.py</w:t>
      </w:r>
      <w:r>
        <w:t xml:space="preserve"> — MDMS/config seeding helpers.</w:t>
      </w:r>
    </w:p>
    <w:p>
      <w:pPr>
        <w:pStyle w:val="ListBullet"/>
      </w:pPr>
      <w:r>
        <w:rPr>
          <w:rFonts w:ascii="Consolas" w:hAnsi="Consolas"/>
          <w:sz w:val="19"/>
        </w:rPr>
        <w:t>ci-gatus-check.sh</w:t>
      </w:r>
      <w:r>
        <w:t xml:space="preserve">, </w:t>
      </w:r>
      <w:r>
        <w:rPr>
          <w:rFonts w:ascii="Consolas" w:hAnsi="Consolas"/>
          <w:sz w:val="19"/>
        </w:rPr>
        <w:t>ci-localization-check.sh</w:t>
      </w:r>
      <w:r>
        <w:t xml:space="preserve">, </w:t>
      </w:r>
      <w:r>
        <w:rPr>
          <w:rFonts w:ascii="Consolas" w:hAnsi="Consolas"/>
          <w:sz w:val="19"/>
        </w:rPr>
        <w:t>ci-notification-routing.py</w:t>
      </w:r>
      <w:r>
        <w:t xml:space="preserve"> — CI assertion helpers.</w:t>
      </w:r>
    </w:p>
    <w:p>
      <w:pPr>
        <w:pStyle w:val="Heading2"/>
      </w:pPr>
      <w:r>
        <w:rPr>
          <w:color w:val="2E2E2E"/>
        </w:rPr>
        <w:t>3.7 Auth infrastructure — Keycloak / OpenBao / token-exchange-svc</w:t>
      </w:r>
    </w:p>
    <w:p>
      <w:pPr>
        <w:pStyle w:val="ListBullet"/>
      </w:pPr>
      <w:r>
        <w:rPr>
          <w:b/>
        </w:rPr>
        <w:t>Keycloak SSO</w:t>
      </w:r>
      <w:r>
        <w:t xml:space="preserve"> (opt-in, </w:t>
      </w:r>
      <w:r>
        <w:rPr>
          <w:rFonts w:ascii="Consolas" w:hAnsi="Consolas"/>
          <w:sz w:val="19"/>
        </w:rPr>
        <w:t>enable_keycloak: false</w:t>
      </w:r>
      <w:r>
        <w:t xml:space="preserve"> default) — adds keycloak + keycloak-postgres + token-exchange-svc, a realm template, and nginx </w:t>
      </w:r>
      <w:r>
        <w:rPr>
          <w:rFonts w:ascii="Consolas" w:hAnsi="Consolas"/>
          <w:sz w:val="19"/>
        </w:rPr>
        <w:t>/auth/</w:t>
      </w:r>
      <w:r>
        <w:t xml:space="preserve"> + </w:t>
      </w:r>
      <w:r>
        <w:rPr>
          <w:rFonts w:ascii="Consolas" w:hAnsi="Consolas"/>
          <w:sz w:val="19"/>
        </w:rPr>
        <w:t>/token-exchange/</w:t>
      </w:r>
      <w:r>
        <w:t xml:space="preserve"> blocks. Inert until </w:t>
      </w:r>
      <w:r>
        <w:rPr>
          <w:rFonts w:ascii="Consolas" w:hAnsi="Consolas"/>
          <w:sz w:val="19"/>
        </w:rPr>
        <w:t>auth_provider: keycloak</w:t>
      </w:r>
      <w:r>
        <w:t xml:space="preserve"> is also set (a deliberate separate cutover step). Optional Google IdP support.</w:t>
      </w:r>
    </w:p>
    <w:p>
      <w:pPr>
        <w:ind w:left="216"/>
      </w:pPr>
      <w:r>
        <w:rPr>
          <w:b/>
          <w:color w:val="B00000"/>
        </w:rPr>
        <w:t xml:space="preserve">ALWAYS-ON, critical —  </w:t>
      </w:r>
      <w:r>
        <w:t xml:space="preserve">OpenBao (secrets backend) is unconditional, not opt-in. Initializes with </w:t>
      </w:r>
      <w:r>
        <w:rPr>
          <w:rFonts w:ascii="Consolas" w:hAnsi="Consolas"/>
          <w:sz w:val="19"/>
        </w:rPr>
        <w:t>secret_shares:1, secret_threshold:1</w:t>
      </w:r>
      <w:r>
        <w:t xml:space="preserve"> (single Shamir key, no split-key safety) and auto-unseals every run. The root token + unseal key are persisted </w:t>
      </w:r>
      <w:r>
        <w:rPr>
          <w:b/>
        </w:rPr>
        <w:t>unencrypted</w:t>
      </w:r>
      <w:r>
        <w:t xml:space="preserve"> at </w:t>
      </w:r>
      <w:r>
        <w:rPr>
          <w:rFonts w:ascii="Consolas" w:hAnsi="Consolas"/>
          <w:sz w:val="19"/>
        </w:rPr>
        <w:t>/opt/digit/.openbao/init.json</w:t>
      </w:r>
      <w:r>
        <w:t xml:space="preserve"> (mode 0600) on the target host — losing this file means losing every secret in that tenant's OpenBao, with no recovery path.</w:t>
      </w:r>
    </w:p>
    <w:p>
      <w:r>
        <w:br w:type="page"/>
      </w:r>
    </w:p>
    <w:p>
      <w:pPr>
        <w:pStyle w:val="Heading1"/>
      </w:pPr>
      <w:r>
        <w:rPr>
          <w:color w:val="1F4E79"/>
        </w:rPr>
        <w:t>4. Summary — Opt-in vs. Always-on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Flag</w:t>
            </w:r>
          </w:p>
        </w:tc>
      </w:tr>
      <w:tr>
        <w:tc>
          <w:tcPr>
            <w:tcW w:type="dxa" w:w="2880"/>
          </w:tcPr>
          <w:p>
            <w:r/>
            <w:r>
              <w:t>Ansible host_vars deploy model</w:t>
            </w:r>
          </w:p>
        </w:tc>
        <w:tc>
          <w:tcPr>
            <w:tcW w:type="dxa" w:w="2880"/>
          </w:tcPr>
          <w:p>
            <w:r/>
            <w:r>
              <w:t>New, replaces v2.11 flow</w:t>
            </w:r>
          </w:p>
        </w:tc>
        <w:tc>
          <w:tcPr>
            <w:tcW w:type="dxa" w:w="2880"/>
          </w:tcPr>
          <w:p>
            <w:r/>
            <w:r>
              <w:t>n/a — structural</w:t>
            </w:r>
          </w:p>
        </w:tc>
      </w:tr>
      <w:tr>
        <w:tc>
          <w:tcPr>
            <w:tcW w:type="dxa" w:w="2880"/>
          </w:tcPr>
          <w:p>
            <w:r/>
            <w:r>
              <w:t>Observability stack (OTel/Tempo/Loki/Prometheus/Grafana/Promtail)</w:t>
            </w:r>
          </w:p>
        </w:tc>
        <w:tc>
          <w:tcPr>
            <w:tcW w:type="dxa" w:w="2880"/>
          </w:tcPr>
          <w:p>
            <w:r/>
            <w:r>
              <w:t>Always-on</w:t>
            </w:r>
          </w:p>
        </w:tc>
        <w:tc>
          <w:tcPr>
            <w:tcW w:type="dxa" w:w="2880"/>
          </w:tcPr>
          <w:p>
            <w:r/>
            <w:r>
              <w:t>none</w:t>
            </w:r>
          </w:p>
        </w:tc>
      </w:tr>
      <w:tr>
        <w:tc>
          <w:tcPr>
            <w:tcW w:type="dxa" w:w="2880"/>
          </w:tcPr>
          <w:p>
            <w:r/>
            <w:r>
              <w:t>OpenBao secrets backend</w:t>
            </w:r>
          </w:p>
        </w:tc>
        <w:tc>
          <w:tcPr>
            <w:tcW w:type="dxa" w:w="2880"/>
          </w:tcPr>
          <w:p>
            <w:r/>
            <w:r>
              <w:t>Always-on</w:t>
            </w:r>
          </w:p>
        </w:tc>
        <w:tc>
          <w:tcPr>
            <w:tcW w:type="dxa" w:w="2880"/>
          </w:tcPr>
          <w:p>
            <w:r/>
            <w:r>
              <w:t>none</w:t>
            </w:r>
          </w:p>
        </w:tc>
      </w:tr>
      <w:tr>
        <w:tc>
          <w:tcPr>
            <w:tcW w:type="dxa" w:w="2880"/>
          </w:tcPr>
          <w:p>
            <w:r/>
            <w:r>
              <w:t>audit-service, db-migrations, hrms-prereq-gate, user-seed</w:t>
            </w:r>
          </w:p>
        </w:tc>
        <w:tc>
          <w:tcPr>
            <w:tcW w:type="dxa" w:w="2880"/>
          </w:tcPr>
          <w:p>
            <w:r/>
            <w:r>
              <w:t>Always-on</w:t>
            </w:r>
          </w:p>
        </w:tc>
        <w:tc>
          <w:tcPr>
            <w:tcW w:type="dxa" w:w="2880"/>
          </w:tcPr>
          <w:p>
            <w:r/>
            <w:r>
              <w:t>none</w:t>
            </w:r>
          </w:p>
        </w:tc>
      </w:tr>
      <w:tr>
        <w:tc>
          <w:tcPr>
            <w:tcW w:type="dxa" w:w="2880"/>
          </w:tcPr>
          <w:p>
            <w:r/>
            <w:r>
              <w:t>PGR escalation scheduler</w:t>
            </w:r>
          </w:p>
        </w:tc>
        <w:tc>
          <w:tcPr>
            <w:tcW w:type="dxa" w:w="2880"/>
          </w:tcPr>
          <w:p>
            <w:r/>
            <w:r>
              <w:t>Always-on</w:t>
            </w:r>
          </w:p>
        </w:tc>
        <w:tc>
          <w:tcPr>
            <w:tcW w:type="dxa" w:w="2880"/>
          </w:tcPr>
          <w:p>
            <w:r/>
            <w:r>
              <w:t>pgr.escalation.enabled (default true)</w:t>
            </w:r>
          </w:p>
        </w:tc>
      </w:tr>
      <w:tr>
        <w:tc>
          <w:tcPr>
            <w:tcW w:type="dxa" w:w="2880"/>
          </w:tcPr>
          <w:p>
            <w:r/>
            <w:r>
              <w:t>PGR dashboard MV refresh</w:t>
            </w:r>
          </w:p>
        </w:tc>
        <w:tc>
          <w:tcPr>
            <w:tcW w:type="dxa" w:w="2880"/>
          </w:tcPr>
          <w:p>
            <w:r/>
            <w:r>
              <w:t>Always-on</w:t>
            </w:r>
          </w:p>
        </w:tc>
        <w:tc>
          <w:tcPr>
            <w:tcW w:type="dxa" w:w="2880"/>
          </w:tcPr>
          <w:p>
            <w:r/>
            <w:r>
              <w:t>pgr.dashboard.refresh.enabled (default true)</w:t>
            </w:r>
          </w:p>
        </w:tc>
      </w:tr>
      <w:tr>
        <w:tc>
          <w:tcPr>
            <w:tcW w:type="dxa" w:w="2880"/>
          </w:tcPr>
          <w:p>
            <w:r/>
            <w:r>
              <w:t>egov-enc-service dependency</w:t>
            </w:r>
          </w:p>
        </w:tc>
        <w:tc>
          <w:tcPr>
            <w:tcW w:type="dxa" w:w="2880"/>
          </w:tcPr>
          <w:p>
            <w:r/>
            <w:r>
              <w:t>Always-on, mandatory</w:t>
            </w:r>
          </w:p>
        </w:tc>
        <w:tc>
          <w:tcPr>
            <w:tcW w:type="dxa" w:w="2880"/>
          </w:tcPr>
          <w:p>
            <w:r/>
            <w:r>
              <w:t>none — hard dependency</w:t>
            </w:r>
          </w:p>
        </w:tc>
      </w:tr>
      <w:tr>
        <w:tc>
          <w:tcPr>
            <w:tcW w:type="dxa" w:w="2880"/>
          </w:tcPr>
          <w:p>
            <w:r/>
            <w:r>
              <w:t>Elasticsearch / indexer / inbox-v2</w:t>
            </w:r>
          </w:p>
        </w:tc>
        <w:tc>
          <w:tcPr>
            <w:tcW w:type="dxa" w:w="2880"/>
          </w:tcPr>
          <w:p>
            <w:r/>
            <w:r>
              <w:t>Opt-in</w:t>
            </w:r>
          </w:p>
        </w:tc>
        <w:tc>
          <w:tcPr>
            <w:tcW w:type="dxa" w:w="2880"/>
          </w:tcPr>
          <w:p>
            <w:r/>
            <w:r>
              <w:t>enable_search_stack</w:t>
            </w:r>
          </w:p>
        </w:tc>
      </w:tr>
      <w:tr>
        <w:tc>
          <w:tcPr>
            <w:tcW w:type="dxa" w:w="2880"/>
          </w:tcPr>
          <w:p>
            <w:r/>
            <w:r>
              <w:t>Real OTP stack</w:t>
            </w:r>
          </w:p>
        </w:tc>
        <w:tc>
          <w:tcPr>
            <w:tcW w:type="dxa" w:w="2880"/>
          </w:tcPr>
          <w:p>
            <w:r/>
            <w:r>
              <w:t>Opt-in</w:t>
            </w:r>
          </w:p>
        </w:tc>
        <w:tc>
          <w:tcPr>
            <w:tcW w:type="dxa" w:w="2880"/>
          </w:tcPr>
          <w:p>
            <w:r/>
            <w:r>
              <w:t>enable_otp_services</w:t>
            </w:r>
          </w:p>
        </w:tc>
      </w:tr>
      <w:tr>
        <w:tc>
          <w:tcPr>
            <w:tcW w:type="dxa" w:w="2880"/>
          </w:tcPr>
          <w:p>
            <w:r/>
            <w:r>
              <w:t>digit-mcp</w:t>
            </w:r>
          </w:p>
        </w:tc>
        <w:tc>
          <w:tcPr>
            <w:tcW w:type="dxa" w:w="2880"/>
          </w:tcPr>
          <w:p>
            <w:r/>
            <w:r>
              <w:t>Opt-in (default true in example)</w:t>
            </w:r>
          </w:p>
        </w:tc>
        <w:tc>
          <w:tcPr>
            <w:tcW w:type="dxa" w:w="2880"/>
          </w:tcPr>
          <w:p>
            <w:r/>
            <w:r>
              <w:t>enable_mcp</w:t>
            </w:r>
          </w:p>
        </w:tc>
      </w:tr>
      <w:tr>
        <w:tc>
          <w:tcPr>
            <w:tcW w:type="dxa" w:w="2880"/>
          </w:tcPr>
          <w:p>
            <w:r/>
            <w:r>
              <w:t>Novu / Twilio WhatsApp notifications</w:t>
            </w:r>
          </w:p>
        </w:tc>
        <w:tc>
          <w:tcPr>
            <w:tcW w:type="dxa" w:w="2880"/>
          </w:tcPr>
          <w:p>
            <w:r/>
            <w:r>
              <w:t>Opt-in</w:t>
            </w:r>
          </w:p>
        </w:tc>
        <w:tc>
          <w:tcPr>
            <w:tcW w:type="dxa" w:w="2880"/>
          </w:tcPr>
          <w:p>
            <w:r/>
            <w:r>
              <w:t>enable_novu</w:t>
            </w:r>
          </w:p>
        </w:tc>
      </w:tr>
      <w:tr>
        <w:tc>
          <w:tcPr>
            <w:tcW w:type="dxa" w:w="2880"/>
          </w:tcPr>
          <w:p>
            <w:r/>
            <w:r>
              <w:t>PGR config-driven notifications</w:t>
            </w:r>
          </w:p>
        </w:tc>
        <w:tc>
          <w:tcPr>
            <w:tcW w:type="dxa" w:w="2880"/>
          </w:tcPr>
          <w:p>
            <w:r/>
            <w:r>
              <w:t>Opt-in</w:t>
            </w:r>
          </w:p>
        </w:tc>
        <w:tc>
          <w:tcPr>
            <w:tcW w:type="dxa" w:w="2880"/>
          </w:tcPr>
          <w:p>
            <w:r/>
            <w:r>
              <w:t>pgr.notification.config.driven (default false)</w:t>
            </w:r>
          </w:p>
        </w:tc>
      </w:tr>
      <w:tr>
        <w:tc>
          <w:tcPr>
            <w:tcW w:type="dxa" w:w="2880"/>
          </w:tcPr>
          <w:p>
            <w:r/>
            <w:r>
              <w:t>Keycloak SSO</w:t>
            </w:r>
          </w:p>
        </w:tc>
        <w:tc>
          <w:tcPr>
            <w:tcW w:type="dxa" w:w="2880"/>
          </w:tcPr>
          <w:p>
            <w:r/>
            <w:r>
              <w:t>Opt-in</w:t>
            </w:r>
          </w:p>
        </w:tc>
        <w:tc>
          <w:tcPr>
            <w:tcW w:type="dxa" w:w="2880"/>
          </w:tcPr>
          <w:p>
            <w:r/>
            <w:r>
              <w:t>enable_keycloak + auth_provider</w:t>
            </w:r>
          </w:p>
        </w:tc>
      </w:tr>
      <w:tr>
        <w:tc>
          <w:tcPr>
            <w:tcW w:type="dxa" w:w="2880"/>
          </w:tcPr>
          <w:p>
            <w:r/>
            <w:r>
              <w:t>digit-ui-v2 citizen SPA</w:t>
            </w:r>
          </w:p>
        </w:tc>
        <w:tc>
          <w:tcPr>
            <w:tcW w:type="dxa" w:w="2880"/>
          </w:tcPr>
          <w:p>
            <w:r/>
            <w:r>
              <w:t>Opt-in</w:t>
            </w:r>
          </w:p>
        </w:tc>
        <w:tc>
          <w:tcPr>
            <w:tcW w:type="dxa" w:w="2880"/>
          </w:tcPr>
          <w:p>
            <w:r/>
            <w:r>
              <w:t>enable_digit_ui_v2</w:t>
            </w:r>
          </w:p>
        </w:tc>
      </w:tr>
      <w:tr>
        <w:tc>
          <w:tcPr>
            <w:tcW w:type="dxa" w:w="2880"/>
          </w:tcPr>
          <w:p>
            <w:r/>
            <w:r>
              <w:t>Turbopass / self-hosted Overpass</w:t>
            </w:r>
          </w:p>
        </w:tc>
        <w:tc>
          <w:tcPr>
            <w:tcW w:type="dxa" w:w="2880"/>
          </w:tcPr>
          <w:p>
            <w:r/>
            <w:r>
              <w:t>Opt-in</w:t>
            </w:r>
          </w:p>
        </w:tc>
        <w:tc>
          <w:tcPr>
            <w:tcW w:type="dxa" w:w="2880"/>
          </w:tcPr>
          <w:p>
            <w:r/>
            <w:r>
              <w:t>enable_turbopass / enable_overpass</w:t>
            </w:r>
          </w:p>
        </w:tc>
      </w:tr>
      <w:tr>
        <w:tc>
          <w:tcPr>
            <w:tcW w:type="dxa" w:w="2880"/>
          </w:tcPr>
          <w:p>
            <w:r/>
            <w:r>
              <w:t>PGR Visibility V1 (inbox scoping)</w:t>
            </w:r>
          </w:p>
        </w:tc>
        <w:tc>
          <w:tcPr>
            <w:tcW w:type="dxa" w:w="2880"/>
          </w:tcPr>
          <w:p>
            <w:r/>
            <w:r>
              <w:t>Opt-in</w:t>
            </w:r>
          </w:p>
        </w:tc>
        <w:tc>
          <w:tcPr>
            <w:tcW w:type="dxa" w:w="2880"/>
          </w:tcPr>
          <w:p>
            <w:r/>
            <w:r>
              <w:t>pgr.visibility.enabled (default false)</w:t>
            </w:r>
          </w:p>
        </w:tc>
      </w:tr>
    </w:tbl>
    <w:p/>
    <w:p>
      <w:r>
        <w:rPr>
          <w:i/>
        </w:rPr>
        <w:t>See docs/migration-guide-v2.11-to-v2.12-beta.docx for the operator-facing upgrade procedure derived from this changelog.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