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lc-quote-to-pipeline-as-built"/>
      <w:r>
        <w:t xml:space="preserve">TLC Quote-to-Pipeline — As-Built</w:t>
      </w:r>
      <w:bookmarkEnd w:id="20"/>
    </w:p>
    <w:p>
      <w:pPr>
        <w:pStyle w:val="Heading2"/>
      </w:pPr>
      <w:bookmarkStart w:id="21" w:name="section-3-products-items-flow"/>
      <w:r>
        <w:t xml:space="preserve">Section 3: Products / Items Flow</w:t>
      </w:r>
      <w:bookmarkEnd w:id="21"/>
    </w:p>
    <w:p>
      <w:pPr>
        <w:pStyle w:val="FirstParagraph"/>
      </w:pPr>
      <w:r>
        <w:rPr>
          <w:b/>
        </w:rPr>
        <w:t xml:space="preserve">Owner:</w:t>
      </w:r>
      <w:r>
        <w:t xml:space="preserve"> </w:t>
      </w:r>
      <w:r>
        <w:t xml:space="preserve">Eric Grosshans (TLC Creative)</w:t>
      </w:r>
      <w:r>
        <w:t xml:space="preserve"> </w:t>
      </w:r>
      <w:r>
        <w:rPr>
          <w:b/>
        </w:rPr>
        <w:t xml:space="preserve">Scope:</w:t>
      </w:r>
      <w:r>
        <w:t xml:space="preserve"> </w:t>
      </w:r>
      <w:r>
        <w:t xml:space="preserve">Item/product creation and its synchronization across Quoter, QuickBooks Online (QBO), and Pipedrive (PD).</w:t>
      </w:r>
      <w:r>
        <w:t xml:space="preserve"> </w:t>
      </w:r>
      <w:r>
        <w:rPr>
          <w:b/>
        </w:rPr>
        <w:t xml:space="preserve">Status of this document:</w:t>
      </w:r>
      <w:r>
        <w:t xml:space="preserve"> </w:t>
      </w:r>
      <w:r>
        <w:t xml:space="preserve">Draft for review.</w:t>
      </w:r>
      <w:r>
        <w:t xml:space="preserve"> </w:t>
      </w:r>
      <w:r>
        <w:rPr>
          <w:b/>
        </w:rPr>
        <w:t xml:space="preserve">Stack:</w:t>
      </w:r>
      <w:r>
        <w:t xml:space="preserve"> </w:t>
      </w:r>
      <w:r>
        <w:t xml:space="preserve">Pipedrive, QuickBooks Online, Quoter/ScalePad, SyncQ, Render.</w:t>
      </w:r>
    </w:p>
    <w:p>
      <w:pPr>
        <w:pStyle w:val="BlockText"/>
      </w:pPr>
      <w:r>
        <w:rPr>
          <w:b/>
        </w:rPr>
        <w:t xml:space="preserve">How to read the confidence tags in this section.</w:t>
      </w:r>
      <w:r>
        <w:t xml:space="preserve"> </w:t>
      </w:r>
      <w:r>
        <w:t xml:space="preserve">Every material claim is tagged:</w:t>
      </w:r>
      <w:r>
        <w:t xml:space="preserve"> </w:t>
      </w:r>
      <w:r>
        <w:t xml:space="preserve">-</w:t>
      </w:r>
      <w:r>
        <w:t xml:space="preserve"> </w:t>
      </w:r>
      <w:r>
        <w:rPr>
          <w:b/>
        </w:rPr>
        <w:t xml:space="preserve">[code]</w:t>
      </w:r>
      <w:r>
        <w:t xml:space="preserve"> </w:t>
      </w:r>
      <w:r>
        <w:t xml:space="preserve">— verified directly in the current repository source (</w:t>
      </w:r>
      <w:r>
        <w:rPr>
          <w:rStyle w:val="VerbatimChar"/>
        </w:rPr>
        <w:t xml:space="preserve">/quoter_sync</w:t>
      </w:r>
      <w:r>
        <w:t xml:space="preserve"> </w:t>
      </w:r>
      <w:r>
        <w:t xml:space="preserve">root-level files).</w:t>
      </w:r>
      <w:r>
        <w:t xml:space="preserve"> </w:t>
      </w:r>
      <w:r>
        <w:t xml:space="preserve">-</w:t>
      </w:r>
      <w:r>
        <w:t xml:space="preserve"> </w:t>
      </w:r>
      <w:r>
        <w:rPr>
          <w:b/>
        </w:rPr>
        <w:t xml:space="preserve">[doc]</w:t>
      </w:r>
      <w:r>
        <w:t xml:space="preserve"> </w:t>
      </w:r>
      <w:r>
        <w:t xml:space="preserve">— stated in the project’s own docs or the official ScalePad/Quoter documentation.</w:t>
      </w:r>
      <w:r>
        <w:t xml:space="preserve"> </w:t>
      </w:r>
      <w:r>
        <w:t xml:space="preserve">-</w:t>
      </w:r>
      <w:r>
        <w:t xml:space="preserve"> </w:t>
      </w:r>
      <w:r>
        <w:rPr>
          <w:b/>
        </w:rPr>
        <w:t xml:space="preserve">[ops]</w:t>
      </w:r>
      <w:r>
        <w:t xml:space="preserve"> </w:t>
      </w:r>
      <w:r>
        <w:t xml:space="preserve">— operational knowledge from the team;</w:t>
      </w:r>
      <w:r>
        <w:t xml:space="preserve"> </w:t>
      </w:r>
      <w:r>
        <w:rPr>
          <w:b/>
        </w:rPr>
        <w:t xml:space="preserve">not</w:t>
      </w:r>
      <w:r>
        <w:t xml:space="preserve"> </w:t>
      </w:r>
      <w:r>
        <w:t xml:space="preserve">currently evidenced in code or docs and flagged for confirmation.</w:t>
      </w:r>
      <w:r>
        <w:t xml:space="preserve"> </w:t>
      </w:r>
      <w:r>
        <w:t xml:space="preserve">-</w:t>
      </w:r>
      <w:r>
        <w:t xml:space="preserve"> </w:t>
      </w:r>
      <w:r>
        <w:rPr>
          <w:b/>
        </w:rPr>
        <w:t xml:space="preserve">[confirm: SyncQ]</w:t>
      </w:r>
      <w:r>
        <w:t xml:space="preserve"> </w:t>
      </w:r>
      <w:r>
        <w:t xml:space="preserve">— depends on SyncQ dashboard configuration, which lives outside the repo and could not be inspected.</w:t>
      </w:r>
    </w:p>
    <w:p>
      <w:r>
        <w:pict>
          <v:rect style="width:0;height:1.5pt" o:hralign="center" o:hrstd="t" o:hr="t"/>
        </w:pict>
      </w:r>
    </w:p>
    <w:p>
      <w:pPr>
        <w:pStyle w:val="Heading3"/>
      </w:pPr>
      <w:bookmarkStart w:id="22" w:name="source-of-truth-principle"/>
      <w:r>
        <w:t xml:space="preserve">3.1 Source-of-truth principle</w:t>
      </w:r>
      <w:bookmarkEnd w:id="22"/>
    </w:p>
    <w:p>
      <w:pPr>
        <w:pStyle w:val="FirstParagraph"/>
      </w:pPr>
      <w:r>
        <w:rPr>
          <w:b/>
        </w:rPr>
        <w:t xml:space="preserve">Quoter is the source of truth for items.</w:t>
      </w:r>
      <w:r>
        <w:t xml:space="preserve"> </w:t>
      </w:r>
      <w:r>
        <w:t xml:space="preserve">Item content (name, code/SKU, category, unit price, description, cost) is authored in Quoter. QBO items and Pipedrive products are downstream representations of that Quoter item.</w:t>
      </w:r>
      <w:r>
        <w:t xml:space="preserve"> </w:t>
      </w:r>
      <w:r>
        <w:rPr>
          <w:b/>
        </w:rPr>
        <w:t xml:space="preserve">[doc]</w:t>
      </w:r>
      <w:r>
        <w:t xml:space="preserve"> </w:t>
      </w:r>
      <w:r>
        <w:t xml:space="preserve">(</w:t>
      </w:r>
      <w:r>
        <w:rPr>
          <w:rStyle w:val="VerbatimChar"/>
        </w:rPr>
        <w:t xml:space="preserve">README.md</w:t>
      </w:r>
      <w:r>
        <w:t xml:space="preserve">,</w:t>
      </w:r>
      <w:r>
        <w:t xml:space="preserve"> </w:t>
      </w:r>
      <w:r>
        <w:t xml:space="preserve">“</w:t>
      </w:r>
      <w:r>
        <w:t xml:space="preserve">Quoter should be the source of truth</w:t>
      </w:r>
      <w:r>
        <w:t xml:space="preserve">”</w:t>
      </w:r>
      <w:r>
        <w:t xml:space="preserve">;</w:t>
      </w:r>
      <w:r>
        <w:t xml:space="preserve"> </w:t>
      </w:r>
      <w:r>
        <w:rPr>
          <w:rStyle w:val="VerbatimChar"/>
        </w:rPr>
        <w:t xml:space="preserve">products_quoter_pipedrive_analysis.md</w:t>
      </w:r>
      <w:r>
        <w:t xml:space="preserve">.)</w:t>
      </w:r>
    </w:p>
    <w:p>
      <w:pPr>
        <w:pStyle w:val="BodyText"/>
      </w:pPr>
      <w:r>
        <w:t xml:space="preserve">The reason PD cannot be the master is structural: a CRM has no place to hold the income/expense account references QBO requires on every item. Those accounts only exist in QBO.</w:t>
      </w:r>
      <w:r>
        <w:t xml:space="preserve"> </w:t>
      </w:r>
      <w:r>
        <w:rPr>
          <w:b/>
        </w:rPr>
        <w:t xml:space="preserve">[doc/ops]</w:t>
      </w:r>
    </w:p>
    <w:p>
      <w:pPr>
        <w:pStyle w:val="Heading4"/>
      </w:pPr>
      <w:bookmarkStart w:id="23" w:name="X107ced9942398b485b55d981b3c5919628a0350"/>
      <w:r>
        <w:t xml:space="preserve">3.1.1 Catalog origin — Goodshuffle migration (one-time)</w:t>
      </w:r>
      <w:r>
        <w:t xml:space="preserve"> </w:t>
      </w:r>
      <w:r>
        <w:rPr>
          <w:b/>
        </w:rPr>
        <w:t xml:space="preserve">[ops]</w:t>
      </w:r>
      <w:bookmarkEnd w:id="23"/>
    </w:p>
    <w:p>
      <w:pPr>
        <w:pStyle w:val="FirstParagraph"/>
      </w:pPr>
      <w:r>
        <w:t xml:space="preserve">Goodshuffle is the</w:t>
      </w:r>
      <w:r>
        <w:t xml:space="preserve"> </w:t>
      </w:r>
      <w:r>
        <w:rPr>
          <w:b/>
        </w:rPr>
        <w:t xml:space="preserve">legacy quoting system being replaced by Quoter</w:t>
      </w:r>
      <w:r>
        <w:t xml:space="preserve">. The Quoter item catalog was seeded by a one-time migration: all Goodshuffle quotes were exported, their line items extracted and sorted, then de-duplicated and consolidated into a complete inventory of</w:t>
      </w:r>
      <w:r>
        <w:t xml:space="preserve"> </w:t>
      </w:r>
      <w:r>
        <w:rPr>
          <w:b/>
        </w:rPr>
        <w:t xml:space="preserve">equipment, services, and fees</w:t>
      </w:r>
      <w:r>
        <w:t xml:space="preserve">, which was loaded into Quoter as items.</w:t>
      </w:r>
      <w:r>
        <w:t xml:space="preserve"> </w:t>
      </w:r>
      <w:r>
        <w:rPr>
          <w:rStyle w:val="VerbatimChar"/>
        </w:rPr>
        <w:t xml:space="preserve">csv_files/csv_analysis.py</w:t>
      </w:r>
      <w:r>
        <w:t xml:space="preserve"> </w:t>
      </w:r>
      <w:r>
        <w:t xml:space="preserve">is a support utility from this migration — it QA’s the cleaned export (</w:t>
      </w:r>
      <w:r>
        <w:rPr>
          <w:rStyle w:val="VerbatimChar"/>
        </w:rPr>
        <w:t xml:space="preserve">Cleaned_Goodshuffle_Line_Items - Sheet1.csv</w:t>
      </w:r>
      <w:r>
        <w:t xml:space="preserve">) by checking the three Quoter-import required fields (</w:t>
      </w:r>
      <w:r>
        <w:rPr>
          <w:rStyle w:val="VerbatimChar"/>
        </w:rPr>
        <w:t xml:space="preserve">*Item Name</w:t>
      </w:r>
      <w:r>
        <w:t xml:space="preserve">,</w:t>
      </w:r>
      <w:r>
        <w:t xml:space="preserve"> </w:t>
      </w:r>
      <w:r>
        <w:rPr>
          <w:rStyle w:val="VerbatimChar"/>
        </w:rPr>
        <w:t xml:space="preserve">*Category</w:t>
      </w:r>
      <w:r>
        <w:t xml:space="preserve">,</w:t>
      </w:r>
      <w:r>
        <w:t xml:space="preserve"> </w:t>
      </w:r>
      <w:r>
        <w:rPr>
          <w:rStyle w:val="VerbatimChar"/>
        </w:rPr>
        <w:t xml:space="preserve">*USD Price</w:t>
      </w:r>
      <w:r>
        <w:t xml:space="preserve">) for completeness and flagging duplicate item names before import.</w:t>
      </w:r>
      <w:r>
        <w:t xml:space="preserve"> </w:t>
      </w:r>
      <w:r>
        <w:rPr>
          <w:b/>
        </w:rPr>
        <w:t xml:space="preserve">[code + ops]</w:t>
      </w:r>
    </w:p>
    <w:p>
      <w:pPr>
        <w:pStyle w:val="BodyText"/>
      </w:pPr>
      <w:r>
        <w:t xml:space="preserve">This is</w:t>
      </w:r>
      <w:r>
        <w:t xml:space="preserve"> </w:t>
      </w:r>
      <w:r>
        <w:rPr>
          <w:b/>
        </w:rPr>
        <w:t xml:space="preserve">historical, one-time seeding</w:t>
      </w:r>
      <w:r>
        <w:t xml:space="preserve">, not an ongoing intake path — new items are now authored directly in Quoter. Goodshuffle is being retired. It also relates to the CSV-era workflow that</w:t>
      </w:r>
      <w:r>
        <w:t xml:space="preserve"> </w:t>
      </w:r>
      <w:r>
        <w:rPr>
          <w:rStyle w:val="VerbatimChar"/>
        </w:rPr>
        <w:t xml:space="preserve">docs/QBO_INTEGRATION_SETUP.md</w:t>
      </w:r>
      <w:r>
        <w:t xml:space="preserve"> </w:t>
      </w:r>
      <w:r>
        <w:t xml:space="preserve">describes as</w:t>
      </w:r>
      <w:r>
        <w:t xml:space="preserve"> </w:t>
      </w:r>
      <w:r>
        <w:t xml:space="preserve">“</w:t>
      </w:r>
      <w:r>
        <w:t xml:space="preserve">problematic</w:t>
      </w:r>
      <w:r>
        <w:t xml:space="preserve">”</w:t>
      </w:r>
      <w:r>
        <w:t xml:space="preserve"> </w:t>
      </w:r>
      <w:r>
        <w:t xml:space="preserve">(CSV export → manual import); that manual path has since been superseded by the sync mechanisms in §3.3.</w:t>
      </w:r>
      <w:r>
        <w:t xml:space="preserve"> </w:t>
      </w:r>
      <w:r>
        <w:rPr>
          <w:b/>
        </w:rPr>
        <w:t xml:space="preserve">[doc]</w:t>
      </w:r>
    </w:p>
    <w:p>
      <w:r>
        <w:pict>
          <v:rect style="width:0;height:1.5pt" o:hralign="center" o:hrstd="t" o:hr="t"/>
        </w:pict>
      </w:r>
    </w:p>
    <w:p>
      <w:pPr>
        <w:pStyle w:val="Heading3"/>
      </w:pPr>
      <w:bookmarkStart w:id="24" w:name="architecture-a-triangle-not-a-chain"/>
      <w:r>
        <w:t xml:space="preserve">3.2 Architecture: a triangle, not a chain</w:t>
      </w:r>
      <w:bookmarkEnd w:id="24"/>
    </w:p>
    <w:p>
      <w:pPr>
        <w:pStyle w:val="FirstParagraph"/>
      </w:pPr>
      <w:r>
        <w:t xml:space="preserve">The earlier framing of a single one-way chain (Quoter → QBO → PD) is</w:t>
      </w:r>
      <w:r>
        <w:t xml:space="preserve"> </w:t>
      </w:r>
      <w:r>
        <w:rPr>
          <w:b/>
        </w:rPr>
        <w:t xml:space="preserve">not</w:t>
      </w:r>
      <w:r>
        <w:t xml:space="preserve"> </w:t>
      </w:r>
      <w:r>
        <w:t xml:space="preserve">the as-built. The real topology is a</w:t>
      </w:r>
      <w:r>
        <w:t xml:space="preserve"> </w:t>
      </w:r>
      <w:r>
        <w:rPr>
          <w:b/>
        </w:rPr>
        <w:t xml:space="preserve">fan-out from Quoter followed by SyncQ reconciliation</w:t>
      </w:r>
      <w:r>
        <w:t xml:space="preserve"> </w:t>
      </w:r>
      <w:r>
        <w:t xml:space="preserve">— a triangle:</w:t>
      </w:r>
    </w:p>
    <w:p>
      <w:pPr>
        <w:pStyle w:val="SourceCode"/>
      </w:pPr>
      <w:r>
        <w:rPr>
          <w:rStyle w:val="VerbatimChar"/>
        </w:rPr>
        <w:t xml:space="preserve">                         Quoter  (source of truth)</w:t>
      </w:r>
      <w:r>
        <w:br/>
      </w:r>
      <w:r>
        <w:rPr>
          <w:rStyle w:val="VerbatimChar"/>
        </w:rPr>
        <w:t xml:space="preserve">                        /        \</w:t>
      </w:r>
      <w:r>
        <w:br/>
      </w:r>
      <w:r>
        <w:rPr>
          <w:rStyle w:val="VerbatimChar"/>
        </w:rPr>
        <w:t xml:space="preserve">        (seeds QBO)    /          \   (seeds PD: 4 custom fields + Sync=Yes)</w:t>
      </w:r>
      <w:r>
        <w:br/>
      </w:r>
      <w:r>
        <w:rPr>
          <w:rStyle w:val="VerbatimChar"/>
        </w:rPr>
        <w:t xml:space="preserve">                      v            v</w:t>
      </w:r>
      <w:r>
        <w:br/>
      </w:r>
      <w:r>
        <w:rPr>
          <w:rStyle w:val="VerbatimChar"/>
        </w:rPr>
        <w:t xml:space="preserve">              QuickBooks  &lt;------&gt;  Pipedrive</w:t>
      </w:r>
      <w:r>
        <w:br/>
      </w:r>
      <w:r>
        <w:rPr>
          <w:rStyle w:val="VerbatimChar"/>
        </w:rPr>
        <w:t xml:space="preserve">                          SyncQ</w:t>
      </w:r>
      <w:r>
        <w:br/>
      </w:r>
      <w:r>
        <w:rPr>
          <w:rStyle w:val="VerbatimChar"/>
        </w:rPr>
        <w:t xml:space="preserve">                     (bidirectional reconcile)</w:t>
      </w:r>
    </w:p>
    <w:p>
      <w:pPr>
        <w:pStyle w:val="FirstParagraph"/>
      </w:pPr>
      <w:r>
        <w:t xml:space="preserve">Neither Quoter-out leg produces a</w:t>
      </w:r>
      <w:r>
        <w:t xml:space="preserve"> </w:t>
      </w:r>
      <w:r>
        <w:rPr>
          <w:i/>
        </w:rPr>
        <w:t xml:space="preserve">complete</w:t>
      </w:r>
      <w:r>
        <w:t xml:space="preserve"> </w:t>
      </w:r>
      <w:r>
        <w:t xml:space="preserve">record on its own. Quoter seeds QBO with a certain subset of fields and seeds PD with a different subset;</w:t>
      </w:r>
      <w:r>
        <w:t xml:space="preserve"> </w:t>
      </w:r>
      <w:r>
        <w:rPr>
          <w:b/>
        </w:rPr>
        <w:t xml:space="preserve">SyncQ, running bidirectionally, brings both sides into full synchronization</w:t>
      </w:r>
      <w:r>
        <w:t xml:space="preserve"> </w:t>
      </w:r>
      <w:r>
        <w:t xml:space="preserve">— completing both the PD product and the QBO item.</w:t>
      </w:r>
      <w:r>
        <w:t xml:space="preserve"> </w:t>
      </w:r>
      <w:r>
        <w:rPr>
          <w:b/>
        </w:rPr>
        <w:t xml:space="preserve">[code + doc + ops]</w:t>
      </w:r>
    </w:p>
    <w:p>
      <w:pPr>
        <w:pStyle w:val="BodyText"/>
      </w:pPr>
      <w:r>
        <w:t xml:space="preserve">Why the fan-out is necessary today:</w:t>
      </w:r>
      <w:r>
        <w:t xml:space="preserve"> </w:t>
      </w:r>
      <w:r>
        <w:rPr>
          <w:b/>
        </w:rPr>
        <w:t xml:space="preserve">SyncQ transfers only partial data across the QBO↔PD boundary in each direction.</w:t>
      </w:r>
      <w:r>
        <w:t xml:space="preserve"> </w:t>
      </w:r>
      <w:r>
        <w:t xml:space="preserve">Quoter therefore has to seed PD directly with the fields SyncQ will not reliably carry from QBO (and seed QBO with what it needs), and SyncQ then reconciles the rest. If SyncQ’s QBO→PD direction ever became complete, the direct Quoter→PD sync could be retired.</w:t>
      </w:r>
      <w:r>
        <w:t xml:space="preserve"> </w:t>
      </w:r>
      <w:r>
        <w:rPr>
          <w:b/>
        </w:rPr>
        <w:t xml:space="preserve">[ops]</w:t>
      </w:r>
      <w:r>
        <w:t xml:space="preserve"> </w:t>
      </w:r>
      <w:r>
        <w:t xml:space="preserve">(Consistent with</w:t>
      </w:r>
      <w:r>
        <w:t xml:space="preserve"> </w:t>
      </w:r>
      <w:r>
        <w:rPr>
          <w:rStyle w:val="VerbatimChar"/>
        </w:rPr>
        <w:t xml:space="preserve">DECISIONS.md</w:t>
      </w:r>
      <w:r>
        <w:t xml:space="preserve"> </w:t>
      </w:r>
      <w:r>
        <w:t xml:space="preserve">D-005, incremental migration.)</w:t>
      </w:r>
    </w:p>
    <w:p>
      <w:r>
        <w:pict>
          <v:rect style="width:0;height:1.5pt" o:hralign="center" o:hrstd="t" o:hr="t"/>
        </w:pict>
      </w:r>
    </w:p>
    <w:p>
      <w:pPr>
        <w:pStyle w:val="Heading3"/>
      </w:pPr>
      <w:bookmarkStart w:id="25" w:name="X1d5c5268ec123ab3aa4c264a8f61bbd2eb27aa5"/>
      <w:r>
        <w:t xml:space="preserve">3.3 The four mechanisms that create/populate items</w:t>
      </w:r>
      <w:bookmarkEnd w:id="25"/>
    </w:p>
    <w:p>
      <w:pPr>
        <w:pStyle w:val="FirstParagraph"/>
      </w:pPr>
      <w:r>
        <w:t xml:space="preserve">There are</w:t>
      </w:r>
      <w:r>
        <w:t xml:space="preserve"> </w:t>
      </w:r>
      <w:r>
        <w:rPr>
          <w:b/>
        </w:rPr>
        <w:t xml:space="preserve">four</w:t>
      </w:r>
      <w:r>
        <w:t xml:space="preserve"> </w:t>
      </w:r>
      <w:r>
        <w:t xml:space="preserve">distinct mechanisms. Understanding</w:t>
      </w:r>
      <w:r>
        <w:t xml:space="preserve"> </w:t>
      </w:r>
      <w:r>
        <w:rPr>
          <w:i/>
        </w:rPr>
        <w:t xml:space="preserve">which fires when</w:t>
      </w:r>
      <w:r>
        <w:t xml:space="preserve"> </w:t>
      </w:r>
      <w:r>
        <w:t xml:space="preserve">is the core of this section.</w:t>
      </w:r>
    </w:p>
    <w:p>
      <w:pPr>
        <w:pStyle w:val="Heading4"/>
      </w:pPr>
      <w:bookmarkStart w:id="26" w:name="Xae126ce4b27fd14e0be0d7e28bc437f0d9392ba"/>
      <w:r>
        <w:t xml:space="preserve">(A) Native Quoter↔QBO integration — quote-triggered, incidental</w:t>
      </w:r>
      <w:bookmarkEnd w:id="26"/>
    </w:p>
    <w:p>
      <w:pPr>
        <w:pStyle w:val="FirstParagraph"/>
      </w:pPr>
      <w:r>
        <w:t xml:space="preserve">The official ScalePad/Quoter QBO integration is a</w:t>
      </w:r>
      <w:r>
        <w:t xml:space="preserve"> </w:t>
      </w:r>
      <w:r>
        <w:rPr>
          <w:b/>
        </w:rPr>
        <w:t xml:space="preserve">quote-to-estimate</w:t>
      </w:r>
      <w:r>
        <w:t xml:space="preserve"> </w:t>
      </w:r>
      <w:r>
        <w:t xml:space="preserve">integration, not a catalog integration. When a Quoter Quote is created, it automatically creates a QuickBooks</w:t>
      </w:r>
      <w:r>
        <w:t xml:space="preserve"> </w:t>
      </w:r>
      <w:r>
        <w:rPr>
          <w:b/>
        </w:rPr>
        <w:t xml:space="preserve">Estimate including its line items</w:t>
      </w:r>
      <w:r>
        <w:t xml:space="preserve">; if a referenced item does not already exist in QBO, it is created at that point. It also matches customers and can pull existing QBO products into quotes via Product Search.</w:t>
      </w:r>
      <w:r>
        <w:t xml:space="preserve"> </w:t>
      </w:r>
      <w:r>
        <w:rPr>
          <w:b/>
        </w:rPr>
        <w:t xml:space="preserve">[doc]</w:t>
      </w:r>
      <w:r>
        <w:t xml:space="preserve"> </w:t>
      </w:r>
      <w:r>
        <w:t xml:space="preserve">(Official ScalePad article</w:t>
      </w:r>
      <w:r>
        <w:t xml:space="preserve"> </w:t>
      </w:r>
      <w:r>
        <w:t xml:space="preserve">“</w:t>
      </w:r>
      <w:r>
        <w:t xml:space="preserve">Integrating with QuickBooks Online.</w:t>
      </w:r>
      <w:r>
        <w:t xml:space="preserve">”</w:t>
      </w:r>
      <w:r>
        <w:t xml:space="preserve">)</w:t>
      </w:r>
    </w:p>
    <w:p>
      <w:pPr>
        <w:pStyle w:val="BodyText"/>
      </w:pPr>
      <w:r>
        <w:rPr>
          <w:b/>
        </w:rPr>
        <w:t xml:space="preserve">Shortcoming that drove the custom code:</w:t>
      </w:r>
      <w:r>
        <w:t xml:space="preserve"> </w:t>
      </w:r>
      <w:r>
        <w:t xml:space="preserve">an item reaches QBO through this path</w:t>
      </w:r>
      <w:r>
        <w:t xml:space="preserve"> </w:t>
      </w:r>
      <w:r>
        <w:rPr>
          <w:b/>
        </w:rPr>
        <w:t xml:space="preserve">only if it lands on a quote</w:t>
      </w:r>
      <w:r>
        <w:t xml:space="preserve">, and only to the extent the estimate requires. Items authored in Quoter but never quoted never appear in QBO by this route. The internal note in</w:t>
      </w:r>
      <w:r>
        <w:t xml:space="preserve"> </w:t>
      </w:r>
      <w:r>
        <w:rPr>
          <w:rStyle w:val="VerbatimChar"/>
        </w:rPr>
        <w:t xml:space="preserve">docs/QBO_INTEGRATION_SETUP.md</w:t>
      </w:r>
      <w:r>
        <w:t xml:space="preserve"> </w:t>
      </w:r>
      <w:r>
        <w:t xml:space="preserve">claiming</w:t>
      </w:r>
      <w:r>
        <w:t xml:space="preserve"> </w:t>
      </w:r>
      <w:r>
        <w:t xml:space="preserve">“</w:t>
      </w:r>
      <w:r>
        <w:t xml:space="preserve">Automatic item sync from Quoter to QBO</w:t>
      </w:r>
      <w:r>
        <w:t xml:space="preserve">”</w:t>
      </w:r>
      <w:r>
        <w:t xml:space="preserve"> </w:t>
      </w:r>
      <w:r>
        <w:rPr>
          <w:b/>
        </w:rPr>
        <w:t xml:space="preserve">overstates</w:t>
      </w:r>
      <w:r>
        <w:t xml:space="preserve"> </w:t>
      </w:r>
      <w:r>
        <w:t xml:space="preserve">what the native integration actually does — it is estimate-level, not catalog-level.</w:t>
      </w:r>
      <w:r>
        <w:t xml:space="preserve"> </w:t>
      </w:r>
      <w:r>
        <w:rPr>
          <w:b/>
        </w:rPr>
        <w:t xml:space="preserve">[doc]</w:t>
      </w:r>
    </w:p>
    <w:p>
      <w:pPr>
        <w:pStyle w:val="BlockText"/>
      </w:pPr>
      <w:r>
        <w:t xml:space="preserve">Because this mechanism is quote-driven, its</w:t>
      </w:r>
      <w:r>
        <w:t xml:space="preserve"> </w:t>
      </w:r>
      <w:r>
        <w:rPr>
          <w:i/>
        </w:rPr>
        <w:t xml:space="preserve">primary</w:t>
      </w:r>
      <w:r>
        <w:t xml:space="preserve"> </w:t>
      </w:r>
      <w:r>
        <w:t xml:space="preserve">documentation home is Section 4 (Quote Building). It is included here only to explain the gap the item-sync code fills.</w:t>
      </w:r>
    </w:p>
    <w:p>
      <w:pPr>
        <w:pStyle w:val="Heading4"/>
      </w:pPr>
      <w:bookmarkStart w:id="27" w:name="Xabda041b1d6791fa427a15d46cf8a9d51664728"/>
      <w:r>
        <w:t xml:space="preserve">(B)</w:t>
      </w:r>
      <w:r>
        <w:t xml:space="preserve"> </w:t>
      </w:r>
      <w:r>
        <w:rPr>
          <w:rStyle w:val="VerbatimChar"/>
        </w:rPr>
        <w:t xml:space="preserve">quoter_to_qbo_sync.py</w:t>
      </w:r>
      <w:r>
        <w:t xml:space="preserve"> </w:t>
      </w:r>
      <w:r>
        <w:t xml:space="preserve">— catalog completion, create-only</w:t>
      </w:r>
      <w:bookmarkEnd w:id="27"/>
    </w:p>
    <w:p>
      <w:pPr>
        <w:pStyle w:val="FirstParagraph"/>
      </w:pPr>
      <w:r>
        <w:t xml:space="preserve">Purpose: guarantee that</w:t>
      </w:r>
      <w:r>
        <w:t xml:space="preserve"> </w:t>
      </w:r>
      <w:r>
        <w:rPr>
          <w:b/>
        </w:rPr>
        <w:t xml:space="preserve">every</w:t>
      </w:r>
      <w:r>
        <w:t xml:space="preserve"> </w:t>
      </w:r>
      <w:r>
        <w:t xml:space="preserve">Quoter item has a matching QBO item, whether or not it has ever been quoted. This is the answer to</w:t>
      </w:r>
      <w:r>
        <w:t xml:space="preserve"> </w:t>
      </w:r>
      <w:r>
        <w:t xml:space="preserve">“</w:t>
      </w:r>
      <w:r>
        <w:t xml:space="preserve">we added a new item in Quoter without writing a quote</w:t>
      </w:r>
      <w:r>
        <w:t xml:space="preserve">”</w:t>
      </w:r>
      <w:r>
        <w:t xml:space="preserve"> </w:t>
      </w:r>
      <w:r>
        <w:t xml:space="preserve">— the native link never fires in that case, so this script is the only path that gets the item into QBO (and, via SyncQ, into PD).</w:t>
      </w:r>
      <w:r>
        <w:t xml:space="preserve"> </w:t>
      </w:r>
      <w:r>
        <w:rPr>
          <w:b/>
        </w:rPr>
        <w:t xml:space="preserve">[code + ops]</w:t>
      </w:r>
    </w:p>
    <w:p>
      <w:pPr>
        <w:pStyle w:val="BodyText"/>
      </w:pPr>
      <w:r>
        <w:t xml:space="preserve">Verified behavior</w:t>
      </w:r>
      <w:r>
        <w:t xml:space="preserve"> </w:t>
      </w:r>
      <w:r>
        <w:rPr>
          <w:b/>
        </w:rPr>
        <w:t xml:space="preserve">[code]</w:t>
      </w:r>
      <w:r>
        <w:t xml:space="preserve"> </w:t>
      </w:r>
      <w:r>
        <w:t xml:space="preserve">(</w:t>
      </w:r>
      <w:r>
        <w:rPr>
          <w:rStyle w:val="VerbatimChar"/>
        </w:rPr>
        <w:t xml:space="preserve">quoter_to_qbo_sync.py</w:t>
      </w:r>
      <w:r>
        <w:t xml:space="preserve">):</w:t>
      </w:r>
      <w:r>
        <w:t xml:space="preserve"> </w:t>
      </w:r>
      <w:r>
        <w:t xml:space="preserve">- Runs as the daily batch’s Step 2 (see 3.6).</w:t>
      </w:r>
      <w:r>
        <w:t xml:space="preserve"> </w:t>
      </w:r>
      <w:r>
        <w:t xml:space="preserve">- Fetches Quoter items (with category hierarchy) and existing QBO items.</w:t>
      </w:r>
      <w:r>
        <w:t xml:space="preserve"> </w:t>
      </w:r>
      <w:r>
        <w:t xml:space="preserve">- Matches Quoter→QBO</w:t>
      </w:r>
      <w:r>
        <w:t xml:space="preserve"> </w:t>
      </w:r>
      <w:r>
        <w:rPr>
          <w:b/>
        </w:rPr>
        <w:t xml:space="preserve">by item name similarity</w:t>
      </w:r>
      <w:r>
        <w:t xml:space="preserve"> </w:t>
      </w:r>
      <w:r>
        <w:t xml:space="preserve">(not by SKU), using a scored matcher.</w:t>
      </w:r>
      <w:r>
        <w:t xml:space="preserve"> </w:t>
      </w:r>
      <w:r>
        <w:t xml:space="preserve">-</w:t>
      </w:r>
      <w:r>
        <w:t xml:space="preserve"> </w:t>
      </w:r>
      <w:r>
        <w:rPr>
          <w:b/>
        </w:rPr>
        <w:t xml:space="preserve">Creates only the unmatched items.</w:t>
      </w:r>
      <w:r>
        <w:t xml:space="preserve"> </w:t>
      </w:r>
      <w:r>
        <w:t xml:space="preserve">Matched (already-existing) items are skipped — no update is pushed.</w:t>
      </w:r>
      <w:r>
        <w:t xml:space="preserve"> </w:t>
      </w:r>
      <w:r>
        <w:t xml:space="preserve">- This</w:t>
      </w:r>
      <w:r>
        <w:t xml:space="preserve"> </w:t>
      </w:r>
      <w:r>
        <w:t xml:space="preserve">“</w:t>
      </w:r>
      <w:r>
        <w:t xml:space="preserve">create-only</w:t>
      </w:r>
      <w:r>
        <w:t xml:space="preserve">”</w:t>
      </w:r>
      <w:r>
        <w:t xml:space="preserve"> </w:t>
      </w:r>
      <w:r>
        <w:t xml:space="preserve">behavior is</w:t>
      </w:r>
      <w:r>
        <w:t xml:space="preserve"> </w:t>
      </w:r>
      <w:r>
        <w:rPr>
          <w:b/>
        </w:rPr>
        <w:t xml:space="preserve">by design</w:t>
      </w:r>
      <w:r>
        <w:t xml:space="preserve">: updates to already-quoted/synced items flow through the native link and SyncQ, so this script deliberately only fills the net-new gap.</w:t>
      </w:r>
    </w:p>
    <w:p>
      <w:pPr>
        <w:pStyle w:val="Heading4"/>
      </w:pPr>
      <w:bookmarkStart w:id="28" w:name="Xf55617c35d705d18af5318b3814d72a2fd33772"/>
      <w:r>
        <w:t xml:space="preserve">(C)</w:t>
      </w:r>
      <w:r>
        <w:t xml:space="preserve"> </w:t>
      </w:r>
      <w:r>
        <w:rPr>
          <w:rStyle w:val="VerbatimChar"/>
        </w:rPr>
        <w:t xml:space="preserve">sync_with_date_filter.py</w:t>
      </w:r>
      <w:r>
        <w:t xml:space="preserve"> </w:t>
      </w:r>
      <w:r>
        <w:t xml:space="preserve">→</w:t>
      </w:r>
      <w:r>
        <w:t xml:space="preserve"> </w:t>
      </w:r>
      <w:r>
        <w:rPr>
          <w:rStyle w:val="VerbatimChar"/>
        </w:rPr>
        <w:t xml:space="preserve">pipedrive.py</w:t>
      </w:r>
      <w:r>
        <w:t xml:space="preserve"> </w:t>
      </w:r>
      <w:r>
        <w:t xml:space="preserve">— Quoter → Pipedrive</w:t>
      </w:r>
      <w:bookmarkEnd w:id="28"/>
    </w:p>
    <w:p>
      <w:pPr>
        <w:pStyle w:val="FirstParagraph"/>
      </w:pPr>
      <w:r>
        <w:t xml:space="preserve">Purpose: seed the PD product directly with the descriptive/commercial fields plus the four control fields, because SyncQ’s QBO→PD direction only carries partial data.</w:t>
      </w:r>
      <w:r>
        <w:t xml:space="preserve"> </w:t>
      </w:r>
      <w:r>
        <w:rPr>
          <w:b/>
        </w:rPr>
        <w:t xml:space="preserve">[code + ops]</w:t>
      </w:r>
    </w:p>
    <w:p>
      <w:pPr>
        <w:pStyle w:val="BodyText"/>
      </w:pPr>
      <w:r>
        <w:t xml:space="preserve">Verified behavior</w:t>
      </w:r>
      <w:r>
        <w:t xml:space="preserve"> </w:t>
      </w:r>
      <w:r>
        <w:rPr>
          <w:b/>
        </w:rPr>
        <w:t xml:space="preserve">[code]</w:t>
      </w:r>
      <w:r>
        <w:t xml:space="preserve"> </w:t>
      </w:r>
      <w:r>
        <w:t xml:space="preserve">(</w:t>
      </w:r>
      <w:r>
        <w:rPr>
          <w:rStyle w:val="VerbatimChar"/>
        </w:rPr>
        <w:t xml:space="preserve">sync_with_date_filter.py</w:t>
      </w:r>
      <w:r>
        <w:t xml:space="preserve">,</w:t>
      </w:r>
      <w:r>
        <w:t xml:space="preserve"> </w:t>
      </w:r>
      <w:r>
        <w:rPr>
          <w:rStyle w:val="VerbatimChar"/>
        </w:rPr>
        <w:t xml:space="preserve">pipedrive.py</w:t>
      </w:r>
      <w:r>
        <w:t xml:space="preserve">,</w:t>
      </w:r>
      <w:r>
        <w:t xml:space="preserve"> </w:t>
      </w:r>
      <w:r>
        <w:rPr>
          <w:rStyle w:val="VerbatimChar"/>
        </w:rPr>
        <w:t xml:space="preserve">category_manager.py</w:t>
      </w:r>
      <w:r>
        <w:t xml:space="preserve">):</w:t>
      </w:r>
      <w:r>
        <w:t xml:space="preserve"> </w:t>
      </w:r>
      <w:r>
        <w:t xml:space="preserve">- Date-filtered: syncs Quoter items created/modified since</w:t>
      </w:r>
      <w:r>
        <w:t xml:space="preserve"> </w:t>
      </w:r>
      <w:r>
        <w:rPr>
          <w:rStyle w:val="VerbatimChar"/>
        </w:rPr>
        <w:t xml:space="preserve">last_sync_date.txt</w:t>
      </w:r>
      <w:r>
        <w:t xml:space="preserve"> </w:t>
      </w:r>
      <w:r>
        <w:t xml:space="preserve">(defaults to 7 days back if absent).</w:t>
      </w:r>
      <w:r>
        <w:t xml:space="preserve"> </w:t>
      </w:r>
      <w:r>
        <w:t xml:space="preserve">- Uses</w:t>
      </w:r>
      <w:r>
        <w:t xml:space="preserve"> </w:t>
      </w:r>
      <w:r>
        <w:rPr>
          <w:b/>
        </w:rPr>
        <w:t xml:space="preserve">A/B/C logic</w:t>
      </w:r>
      <w:r>
        <w:t xml:space="preserve"> </w:t>
      </w:r>
      <w:r>
        <w:t xml:space="preserve">to decide create vs. update (see 3.5).</w:t>
      </w:r>
      <w:r>
        <w:t xml:space="preserve"> </w:t>
      </w:r>
      <w:r>
        <w:t xml:space="preserve">- Writes the four PD custom fields and sets</w:t>
      </w:r>
      <w:r>
        <w:t xml:space="preserve"> </w:t>
      </w:r>
      <w:r>
        <w:rPr>
          <w:b/>
        </w:rPr>
        <w:t xml:space="preserve">Sync-to-QuickBooks = Yes</w:t>
      </w:r>
      <w:r>
        <w:t xml:space="preserve"> </w:t>
      </w:r>
      <w:r>
        <w:t xml:space="preserve">(the SyncQ trigger).</w:t>
      </w:r>
      <w:r>
        <w:t xml:space="preserve"> </w:t>
      </w:r>
      <w:r>
        <w:t xml:space="preserve">- Writes the resulting</w:t>
      </w:r>
      <w:r>
        <w:t xml:space="preserve"> </w:t>
      </w:r>
      <w:r>
        <w:rPr>
          <w:b/>
        </w:rPr>
        <w:t xml:space="preserve">PD product ID back into the Quoter item’s</w:t>
      </w:r>
      <w:r>
        <w:rPr>
          <w:b/>
        </w:rPr>
        <w:t xml:space="preserve"> </w:t>
      </w:r>
      <w:r>
        <w:rPr>
          <w:rStyle w:val="VerbatimChar"/>
          <w:b/>
        </w:rPr>
        <w:t xml:space="preserve">sku</w:t>
      </w:r>
      <w:r>
        <w:rPr>
          <w:b/>
        </w:rPr>
        <w:t xml:space="preserve"> </w:t>
      </w:r>
      <w:r>
        <w:rPr>
          <w:b/>
        </w:rPr>
        <w:t xml:space="preserve">field</w:t>
      </w:r>
      <w:r>
        <w:t xml:space="preserve"> </w:t>
      </w:r>
      <w:r>
        <w:t xml:space="preserve">— this becomes the durable linkage between the Quoter item and the PD product on subsequent runs.</w:t>
      </w:r>
    </w:p>
    <w:p>
      <w:pPr>
        <w:pStyle w:val="Heading4"/>
      </w:pPr>
      <w:bookmarkStart w:id="29" w:name="Xf393ded844bc1e465da9a1bd3bcc88b84f375fd"/>
      <w:r>
        <w:t xml:space="preserve">(D) SyncQ — bidirectional PD↔QBO reconciliation</w:t>
      </w:r>
      <w:bookmarkEnd w:id="29"/>
    </w:p>
    <w:p>
      <w:pPr>
        <w:pStyle w:val="FirstParagraph"/>
      </w:pPr>
      <w:r>
        <w:t xml:space="preserve">Purpose: the external SaaS that reconciles Pipedrive products and QBO items in</w:t>
      </w:r>
      <w:r>
        <w:t xml:space="preserve"> </w:t>
      </w:r>
      <w:r>
        <w:rPr>
          <w:b/>
        </w:rPr>
        <w:t xml:space="preserve">both</w:t>
      </w:r>
      <w:r>
        <w:t xml:space="preserve"> </w:t>
      </w:r>
      <w:r>
        <w:t xml:space="preserve">directions, completing whatever each Quoter-out leg left partial.</w:t>
      </w:r>
      <w:r>
        <w:t xml:space="preserve"> </w:t>
      </w:r>
      <w:r>
        <w:rPr>
          <w:b/>
        </w:rPr>
        <w:t xml:space="preserve">[doc + confirm: SyncQ]</w:t>
      </w:r>
      <w:r>
        <w:t xml:space="preserve"> </w:t>
      </w:r>
      <w:r>
        <w:t xml:space="preserve">- PD → QBO: SyncQ pushes Pipedrive products into QBO items.</w:t>
      </w:r>
      <w:r>
        <w:t xml:space="preserve"> </w:t>
      </w:r>
      <w:r>
        <w:rPr>
          <w:b/>
        </w:rPr>
        <w:t xml:space="preserve">[doc]</w:t>
      </w:r>
      <w:r>
        <w:t xml:space="preserve"> </w:t>
      </w:r>
      <w:r>
        <w:t xml:space="preserve">(</w:t>
      </w:r>
      <w:r>
        <w:rPr>
          <w:rStyle w:val="VerbatimChar"/>
        </w:rPr>
        <w:t xml:space="preserve">docs/QBO_SYNC_ERROR_FIX.md</w:t>
      </w:r>
      <w:r>
        <w:t xml:space="preserve">:</w:t>
      </w:r>
      <w:r>
        <w:t xml:space="preserve"> </w:t>
      </w:r>
      <w:r>
        <w:t xml:space="preserve">“</w:t>
      </w:r>
      <w:r>
        <w:t xml:space="preserve">the error occurs when SyncQ tries to sync Pipedrive products to QuickBooks Online.</w:t>
      </w:r>
      <w:r>
        <w:t xml:space="preserve">”</w:t>
      </w:r>
      <w:r>
        <w:t xml:space="preserve">)</w:t>
      </w:r>
      <w:r>
        <w:t xml:space="preserve"> </w:t>
      </w:r>
      <w:r>
        <w:t xml:space="preserve">- QBO → PD: SyncQ writes back into PD — most importantly the</w:t>
      </w:r>
      <w:r>
        <w:t xml:space="preserve"> </w:t>
      </w:r>
      <w:r>
        <w:rPr>
          <w:b/>
        </w:rPr>
        <w:t xml:space="preserve">QuickBooks ID</w:t>
      </w:r>
      <w:r>
        <w:t xml:space="preserve"> </w:t>
      </w:r>
      <w:r>
        <w:t xml:space="preserve">custom field on the PD product (blank at creation, filled by SyncQ once QBO mints the item).</w:t>
      </w:r>
      <w:r>
        <w:t xml:space="preserve"> </w:t>
      </w:r>
      <w:r>
        <w:rPr>
          <w:b/>
        </w:rPr>
        <w:t xml:space="preserve">[doc/confirm: SyncQ]</w:t>
      </w:r>
      <w:r>
        <w:t xml:space="preserve"> </w:t>
      </w:r>
      <w:r>
        <w:t xml:space="preserve">(</w:t>
      </w:r>
      <w:r>
        <w:rPr>
          <w:rStyle w:val="VerbatimChar"/>
        </w:rPr>
        <w:t xml:space="preserve">docs/QBO_INTEGRATION_SETUP.md</w:t>
      </w:r>
      <w:r>
        <w:t xml:space="preserve"> </w:t>
      </w:r>
      <w:r>
        <w:t xml:space="preserve">“</w:t>
      </w:r>
      <w:r>
        <w:t xml:space="preserve">New Workflow</w:t>
      </w:r>
      <w:r>
        <w:t xml:space="preserve">”</w:t>
      </w:r>
      <w:r>
        <w:t xml:space="preserve">:</w:t>
      </w:r>
      <w:r>
        <w:t xml:space="preserve"> </w:t>
      </w:r>
      <w:r>
        <w:t xml:space="preserve">“</w:t>
      </w:r>
      <w:r>
        <w:t xml:space="preserve">SyncQ detects QBO items → Syncs all items to Pipedrive.</w:t>
      </w:r>
      <w:r>
        <w:t xml:space="preserve">”</w:t>
      </w:r>
      <w:r>
        <w:t xml:space="preserve">)</w:t>
      </w:r>
      <w:r>
        <w:t xml:space="preserve"> </w:t>
      </w:r>
      <w:r>
        <w:t xml:space="preserve">- Trigger: SyncQ acts on a PD product once its</w:t>
      </w:r>
      <w:r>
        <w:t xml:space="preserve"> </w:t>
      </w:r>
      <w:r>
        <w:rPr>
          <w:b/>
        </w:rPr>
        <w:t xml:space="preserve">Sync-to-QuickBooks</w:t>
      </w:r>
      <w:r>
        <w:t xml:space="preserve"> </w:t>
      </w:r>
      <w:r>
        <w:t xml:space="preserve">field is set to</w:t>
      </w:r>
      <w:r>
        <w:t xml:space="preserve"> </w:t>
      </w:r>
      <w:r>
        <w:rPr>
          <w:b/>
        </w:rPr>
        <w:t xml:space="preserve">Yes</w:t>
      </w:r>
      <w:r>
        <w:t xml:space="preserve"> </w:t>
      </w:r>
      <w:r>
        <w:t xml:space="preserve">(option 83).</w:t>
      </w:r>
    </w:p>
    <w:p>
      <w:r>
        <w:pict>
          <v:rect style="width:0;height:1.5pt" o:hralign="center" o:hrstd="t" o:hr="t"/>
        </w:pict>
      </w:r>
    </w:p>
    <w:p>
      <w:pPr>
        <w:pStyle w:val="Heading3"/>
      </w:pPr>
      <w:bookmarkStart w:id="30" w:name="field-mappings"/>
      <w:r>
        <w:t xml:space="preserve">3.4 Field mappings</w:t>
      </w:r>
      <w:bookmarkEnd w:id="30"/>
    </w:p>
    <w:p>
      <w:pPr>
        <w:pStyle w:val="Heading4"/>
      </w:pPr>
      <w:bookmarkStart w:id="31" w:name="Xcb836c0ea6aa01486b0617d916eb7dbd591ccaf"/>
      <w:r>
        <w:t xml:space="preserve">3.4.1 Quoter item → QBO item (via</w:t>
      </w:r>
      <w:r>
        <w:t xml:space="preserve"> </w:t>
      </w:r>
      <w:r>
        <w:rPr>
          <w:rStyle w:val="VerbatimChar"/>
        </w:rPr>
        <w:t xml:space="preserve">quoter_to_qbo_sync.py</w:t>
      </w:r>
      <w:r>
        <w:t xml:space="preserve">)</w:t>
      </w:r>
      <w:r>
        <w:t xml:space="preserve"> </w:t>
      </w:r>
      <w:r>
        <w:rPr>
          <w:b/>
        </w:rPr>
        <w:t xml:space="preserve">[code]</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Quoter field</w:t>
            </w:r>
          </w:p>
        </w:tc>
        <w:tc>
          <w:tcPr>
            <w:tcBorders>
              <w:bottom w:val="single"/>
            </w:tcBorders>
            <w:vAlign w:val="bottom"/>
          </w:tcPr>
          <w:p>
            <w:pPr>
              <w:pStyle w:val="Compact"/>
              <w:jc w:val="left"/>
            </w:pPr>
            <w:r>
              <w:t xml:space="preserve">QBO field</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name</w:t>
            </w:r>
          </w:p>
        </w:tc>
        <w:tc>
          <w:p>
            <w:pPr>
              <w:pStyle w:val="Compact"/>
              <w:jc w:val="left"/>
            </w:pPr>
            <w:r>
              <w:rPr>
                <w:rStyle w:val="VerbatimChar"/>
              </w:rPr>
              <w:t xml:space="preserve">Name</w:t>
            </w:r>
          </w:p>
        </w:tc>
        <w:tc>
          <w:p>
            <w:pPr>
              <w:pStyle w:val="Compact"/>
              <w:jc w:val="left"/>
            </w:pPr>
            <w:r>
              <w:t xml:space="preserve">Also the matching key (name similarity)</w:t>
            </w:r>
          </w:p>
        </w:tc>
      </w:tr>
      <w:tr>
        <w:tc>
          <w:p>
            <w:pPr>
              <w:pStyle w:val="Compact"/>
              <w:jc w:val="left"/>
            </w:pPr>
            <w:r>
              <w:rPr>
                <w:rStyle w:val="VerbatimChar"/>
              </w:rPr>
              <w:t xml:space="preserve">code</w:t>
            </w:r>
          </w:p>
        </w:tc>
        <w:tc>
          <w:p>
            <w:pPr>
              <w:pStyle w:val="Compact"/>
              <w:jc w:val="left"/>
            </w:pPr>
            <w:r>
              <w:rPr>
                <w:rStyle w:val="VerbatimChar"/>
              </w:rPr>
              <w:t xml:space="preserve">Sku</w:t>
            </w:r>
          </w:p>
        </w:tc>
        <w:tc>
          <w:p/>
        </w:tc>
      </w:tr>
      <w:tr>
        <w:tc>
          <w:p>
            <w:pPr>
              <w:pStyle w:val="Compact"/>
              <w:jc w:val="left"/>
            </w:pPr>
            <w:r>
              <w:rPr>
                <w:rStyle w:val="VerbatimChar"/>
              </w:rPr>
              <w:t xml:space="preserve">price_decimal</w:t>
            </w:r>
          </w:p>
        </w:tc>
        <w:tc>
          <w:p>
            <w:pPr>
              <w:pStyle w:val="Compact"/>
              <w:jc w:val="left"/>
            </w:pPr>
            <w:r>
              <w:rPr>
                <w:rStyle w:val="VerbatimChar"/>
              </w:rPr>
              <w:t xml:space="preserve">UnitPrice</w:t>
            </w:r>
          </w:p>
        </w:tc>
        <w:tc>
          <w:p>
            <w:pPr>
              <w:pStyle w:val="Compact"/>
              <w:jc w:val="left"/>
            </w:pPr>
            <w:r>
              <w:t xml:space="preserve">cast to float</w:t>
            </w:r>
          </w:p>
        </w:tc>
      </w:tr>
      <w:tr>
        <w:tc>
          <w:p>
            <w:pPr>
              <w:pStyle w:val="Compact"/>
              <w:jc w:val="left"/>
            </w:pPr>
            <w:r>
              <w:rPr>
                <w:rStyle w:val="VerbatimChar"/>
              </w:rPr>
              <w:t xml:space="preserve">description</w:t>
            </w:r>
          </w:p>
        </w:tc>
        <w:tc>
          <w:p>
            <w:pPr>
              <w:pStyle w:val="Compact"/>
              <w:jc w:val="left"/>
            </w:pPr>
            <w:r>
              <w:rPr>
                <w:rStyle w:val="VerbatimChar"/>
              </w:rPr>
              <w:t xml:space="preserve">Description</w:t>
            </w:r>
          </w:p>
        </w:tc>
        <w:tc>
          <w:p>
            <w:pPr>
              <w:pStyle w:val="Compact"/>
              <w:jc w:val="left"/>
            </w:pPr>
            <w:r>
              <w:t xml:space="preserve">HTML-stripped; fallback</w:t>
            </w:r>
            <w:r>
              <w:t xml:space="preserve"> </w:t>
            </w:r>
            <w:r>
              <w:t xml:space="preserve">“</w:t>
            </w:r>
            <w:r>
              <w:t xml:space="preserve">Imported from Quoter: {name}</w:t>
            </w:r>
            <w:r>
              <w:t xml:space="preserve">”</w:t>
            </w:r>
          </w:p>
        </w:tc>
      </w:tr>
      <w:tr>
        <w:tc>
          <w:p>
            <w:pPr>
              <w:pStyle w:val="Compact"/>
              <w:jc w:val="left"/>
            </w:pPr>
            <w:r>
              <w:t xml:space="preserve">—</w:t>
            </w:r>
          </w:p>
        </w:tc>
        <w:tc>
          <w:p>
            <w:pPr>
              <w:pStyle w:val="Compact"/>
              <w:jc w:val="left"/>
            </w:pPr>
            <w:r>
              <w:rPr>
                <w:rStyle w:val="VerbatimChar"/>
              </w:rPr>
              <w:t xml:space="preserve">IncomeAccountRef.value = "389"</w:t>
            </w:r>
          </w:p>
        </w:tc>
        <w:tc>
          <w:p>
            <w:pPr>
              <w:pStyle w:val="Compact"/>
              <w:jc w:val="left"/>
            </w:pPr>
            <w:r>
              <w:rPr>
                <w:b/>
              </w:rPr>
              <w:t xml:space="preserve">Hardcoded</w:t>
            </w:r>
            <w:r>
              <w:t xml:space="preserve"> </w:t>
            </w:r>
            <w:r>
              <w:t xml:space="preserve">(Rental Income) — see risks</w:t>
            </w:r>
          </w:p>
        </w:tc>
      </w:tr>
      <w:tr>
        <w:tc>
          <w:p>
            <w:pPr>
              <w:pStyle w:val="Compact"/>
              <w:jc w:val="left"/>
            </w:pPr>
            <w:r>
              <w:t xml:space="preserve">—</w:t>
            </w:r>
          </w:p>
        </w:tc>
        <w:tc>
          <w:p>
            <w:pPr>
              <w:pStyle w:val="Compact"/>
              <w:jc w:val="left"/>
            </w:pPr>
            <w:r>
              <w:rPr>
                <w:rStyle w:val="VerbatimChar"/>
              </w:rPr>
              <w:t xml:space="preserve">Type = "Service"</w:t>
            </w:r>
          </w:p>
        </w:tc>
        <w:tc>
          <w:p>
            <w:pPr>
              <w:pStyle w:val="Compact"/>
              <w:jc w:val="left"/>
            </w:pPr>
            <w:r>
              <w:rPr>
                <w:b/>
              </w:rPr>
              <w:t xml:space="preserve">Hardcoded for all items</w:t>
            </w:r>
            <w:r>
              <w:t xml:space="preserve"> </w:t>
            </w:r>
            <w:r>
              <w:t xml:space="preserve">— see risks</w:t>
            </w:r>
          </w:p>
        </w:tc>
      </w:tr>
      <w:tr>
        <w:tc>
          <w:p>
            <w:pPr>
              <w:pStyle w:val="Compact"/>
              <w:jc w:val="left"/>
            </w:pPr>
            <w:r>
              <w:t xml:space="preserve">—</w:t>
            </w:r>
          </w:p>
        </w:tc>
        <w:tc>
          <w:p>
            <w:pPr>
              <w:pStyle w:val="Compact"/>
              <w:jc w:val="left"/>
            </w:pPr>
            <w:r>
              <w:rPr>
                <w:rStyle w:val="VerbatimChar"/>
              </w:rPr>
              <w:t xml:space="preserve">Active = true</w:t>
            </w:r>
            <w:r>
              <w:t xml:space="preserve">,</w:t>
            </w:r>
            <w:r>
              <w:t xml:space="preserve"> </w:t>
            </w:r>
            <w:r>
              <w:rPr>
                <w:rStyle w:val="VerbatimChar"/>
              </w:rPr>
              <w:t xml:space="preserve">TrackQtyOnHand = false</w:t>
            </w:r>
            <w:r>
              <w:t xml:space="preserve">,</w:t>
            </w:r>
            <w:r>
              <w:t xml:space="preserve"> </w:t>
            </w:r>
            <w:r>
              <w:rPr>
                <w:rStyle w:val="VerbatimChar"/>
              </w:rPr>
              <w:t xml:space="preserve">PurchaseCost = 0</w:t>
            </w:r>
          </w:p>
        </w:tc>
        <w:tc>
          <w:p/>
        </w:tc>
      </w:tr>
    </w:tbl>
    <w:p>
      <w:pPr>
        <w:pStyle w:val="BodyText"/>
      </w:pPr>
      <w:r>
        <w:t xml:space="preserve">Category hierarchy (</w:t>
      </w:r>
      <w:r>
        <w:rPr>
          <w:rStyle w:val="VerbatimChar"/>
        </w:rPr>
        <w:t xml:space="preserve">Parent:Child</w:t>
      </w:r>
      <w:r>
        <w:t xml:space="preserve">) is computed for matching/display but</w:t>
      </w:r>
      <w:r>
        <w:t xml:space="preserve"> </w:t>
      </w:r>
      <w:r>
        <w:rPr>
          <w:b/>
        </w:rPr>
        <w:t xml:space="preserve">not</w:t>
      </w:r>
      <w:r>
        <w:t xml:space="preserve"> </w:t>
      </w:r>
      <w:r>
        <w:t xml:space="preserve">written to QBO — items are created flat.</w:t>
      </w:r>
      <w:r>
        <w:t xml:space="preserve"> </w:t>
      </w:r>
      <w:r>
        <w:rPr>
          <w:b/>
        </w:rPr>
        <w:t xml:space="preserve">[code]</w:t>
      </w:r>
    </w:p>
    <w:p>
      <w:pPr>
        <w:pStyle w:val="Heading4"/>
      </w:pPr>
      <w:bookmarkStart w:id="32" w:name="X2a8348ca24b4c52ed1da115d358aacf8591cfcf"/>
      <w:r>
        <w:t xml:space="preserve">3.4.2 Quoter item → Pipedrive product (via</w:t>
      </w:r>
      <w:r>
        <w:t xml:space="preserve"> </w:t>
      </w:r>
      <w:r>
        <w:rPr>
          <w:rStyle w:val="VerbatimChar"/>
        </w:rPr>
        <w:t xml:space="preserve">pipedrive.py</w:t>
      </w:r>
      <w:r>
        <w:t xml:space="preserve">)</w:t>
      </w:r>
      <w:r>
        <w:t xml:space="preserve"> </w:t>
      </w:r>
      <w:r>
        <w:rPr>
          <w:b/>
        </w:rPr>
        <w:t xml:space="preserve">[code]</w:t>
      </w:r>
      <w:bookmarkEnd w:id="32"/>
    </w:p>
    <w:p>
      <w:pPr>
        <w:pStyle w:val="FirstParagraph"/>
      </w:pPr>
      <w:r>
        <w:t xml:space="preserve">Standard fields:</w:t>
      </w:r>
      <w:r>
        <w:t xml:space="preserve"> </w:t>
      </w:r>
      <w:r>
        <w:rPr>
          <w:rStyle w:val="VerbatimChar"/>
        </w:rPr>
        <w:t xml:space="preserve">name</w:t>
      </w:r>
      <w:r>
        <w:t xml:space="preserve">,</w:t>
      </w:r>
      <w:r>
        <w:t xml:space="preserve"> </w:t>
      </w:r>
      <w:r>
        <w:rPr>
          <w:rStyle w:val="VerbatimChar"/>
        </w:rPr>
        <w:t xml:space="preserve">code</w:t>
      </w:r>
      <w:r>
        <w:t xml:space="preserve">,</w:t>
      </w:r>
      <w:r>
        <w:t xml:space="preserve"> </w:t>
      </w:r>
      <w:r>
        <w:rPr>
          <w:rStyle w:val="VerbatimChar"/>
        </w:rPr>
        <w:t xml:space="preserve">description</w:t>
      </w:r>
      <w:r>
        <w:t xml:space="preserve">,</w:t>
      </w:r>
      <w:r>
        <w:t xml:space="preserve"> </w:t>
      </w:r>
      <w:r>
        <w:rPr>
          <w:rStyle w:val="VerbatimChar"/>
        </w:rPr>
        <w:t xml:space="preserve">price</w:t>
      </w:r>
      <w:r>
        <w:t xml:space="preserve"> </w:t>
      </w:r>
      <w:r>
        <w:t xml:space="preserve">(nested under</w:t>
      </w:r>
      <w:r>
        <w:t xml:space="preserve"> </w:t>
      </w:r>
      <w:r>
        <w:rPr>
          <w:rStyle w:val="VerbatimChar"/>
        </w:rPr>
        <w:t xml:space="preserve">prices</w:t>
      </w:r>
      <w:r>
        <w:t xml:space="preserve">),</w:t>
      </w:r>
      <w:r>
        <w:t xml:space="preserve"> </w:t>
      </w:r>
      <w:r>
        <w:rPr>
          <w:rStyle w:val="VerbatimChar"/>
        </w:rPr>
        <w:t xml:space="preserve">cost</w:t>
      </w:r>
      <w:r>
        <w:t xml:space="preserve">, plus category and subcategory (below).</w:t>
      </w:r>
    </w:p>
    <w:p>
      <w:pPr>
        <w:pStyle w:val="BodyText"/>
      </w:pPr>
      <w:r>
        <w:t xml:space="preserve">Custom fields written: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PD custom field key</w:t>
            </w:r>
          </w:p>
        </w:tc>
        <w:tc>
          <w:tcPr>
            <w:tcBorders>
              <w:bottom w:val="single"/>
            </w:tcBorders>
            <w:vAlign w:val="bottom"/>
          </w:tcPr>
          <w:p>
            <w:pPr>
              <w:pStyle w:val="Compact"/>
              <w:jc w:val="left"/>
            </w:pPr>
            <w:r>
              <w:t xml:space="preserve">Value logic</w:t>
            </w:r>
          </w:p>
        </w:tc>
      </w:tr>
      <w:tr>
        <w:tc>
          <w:p>
            <w:pPr>
              <w:pStyle w:val="Compact"/>
              <w:jc w:val="left"/>
            </w:pPr>
            <w:r>
              <w:t xml:space="preserve">CatSub (QBO Category:Subcategory)</w:t>
            </w:r>
          </w:p>
        </w:tc>
        <w:tc>
          <w:p>
            <w:pPr>
              <w:pStyle w:val="Compact"/>
              <w:jc w:val="left"/>
            </w:pPr>
            <w:r>
              <w:rPr>
                <w:rStyle w:val="VerbatimChar"/>
              </w:rPr>
              <w:t xml:space="preserve">9c636133839b978b686bbc952fbd5dc41d5cd087</w:t>
            </w:r>
          </w:p>
        </w:tc>
        <w:tc>
          <w:p>
            <w:pPr>
              <w:pStyle w:val="Compact"/>
              <w:jc w:val="left"/>
            </w:pPr>
            <w:r>
              <w:rPr>
                <w:rStyle w:val="VerbatimChar"/>
              </w:rPr>
              <w:t xml:space="preserve">"Category:Subcategory"</w:t>
            </w:r>
          </w:p>
        </w:tc>
      </w:tr>
      <w:tr>
        <w:tc>
          <w:p>
            <w:pPr>
              <w:pStyle w:val="Compact"/>
              <w:jc w:val="left"/>
            </w:pPr>
            <w:r>
              <w:t xml:space="preserve">QBO Item Type</w:t>
            </w:r>
          </w:p>
        </w:tc>
        <w:tc>
          <w:p>
            <w:pPr>
              <w:pStyle w:val="Compact"/>
              <w:jc w:val="left"/>
            </w:pPr>
            <w:r>
              <w:rPr>
                <w:rStyle w:val="VerbatimChar"/>
              </w:rPr>
              <w:t xml:space="preserve">b65439db55a0f1d772dc1570c8818f3b8a188b25</w:t>
            </w:r>
          </w:p>
        </w:tc>
        <w:tc>
          <w:p>
            <w:pPr>
              <w:pStyle w:val="Compact"/>
              <w:jc w:val="left"/>
            </w:pPr>
            <w:r>
              <w:t xml:space="preserve">Service</w:t>
            </w:r>
            <w:r>
              <w:t xml:space="preserve"> </w:t>
            </w:r>
            <w:r>
              <w:rPr>
                <w:b/>
              </w:rPr>
              <w:t xml:space="preserve">74</w:t>
            </w:r>
            <w:r>
              <w:t xml:space="preserve"> </w:t>
            </w:r>
            <w:r>
              <w:t xml:space="preserve">if code starts</w:t>
            </w:r>
            <w:r>
              <w:t xml:space="preserve"> </w:t>
            </w:r>
            <w:r>
              <w:rPr>
                <w:rStyle w:val="VerbatimChar"/>
              </w:rPr>
              <w:t xml:space="preserve">SVC</w:t>
            </w:r>
            <w:r>
              <w:t xml:space="preserve">, else NonInventory</w:t>
            </w:r>
            <w:r>
              <w:t xml:space="preserve"> </w:t>
            </w:r>
            <w:r>
              <w:rPr>
                <w:b/>
              </w:rPr>
              <w:t xml:space="preserve">71</w:t>
            </w:r>
          </w:p>
        </w:tc>
      </w:tr>
      <w:tr>
        <w:tc>
          <w:p>
            <w:pPr>
              <w:pStyle w:val="Compact"/>
              <w:jc w:val="left"/>
            </w:pPr>
            <w:r>
              <w:t xml:space="preserve">Product / Service</w:t>
            </w:r>
          </w:p>
        </w:tc>
        <w:tc>
          <w:p>
            <w:pPr>
              <w:pStyle w:val="Compact"/>
              <w:jc w:val="left"/>
            </w:pPr>
            <w:r>
              <w:rPr>
                <w:rStyle w:val="VerbatimChar"/>
              </w:rPr>
              <w:t xml:space="preserve">b82ad04a30171b69c4649e6f66f956ade0a51886</w:t>
            </w:r>
          </w:p>
        </w:tc>
        <w:tc>
          <w:p>
            <w:pPr>
              <w:pStyle w:val="Compact"/>
              <w:jc w:val="left"/>
            </w:pPr>
            <w:r>
              <w:t xml:space="preserve">Service</w:t>
            </w:r>
            <w:r>
              <w:t xml:space="preserve"> </w:t>
            </w:r>
            <w:r>
              <w:rPr>
                <w:b/>
              </w:rPr>
              <w:t xml:space="preserve">248</w:t>
            </w:r>
            <w:r>
              <w:t xml:space="preserve"> </w:t>
            </w:r>
            <w:r>
              <w:t xml:space="preserve">/ NonInventory</w:t>
            </w:r>
            <w:r>
              <w:t xml:space="preserve"> </w:t>
            </w:r>
            <w:r>
              <w:rPr>
                <w:b/>
              </w:rPr>
              <w:t xml:space="preserve">435</w:t>
            </w:r>
            <w:r>
              <w:t xml:space="preserve"> </w:t>
            </w:r>
            <w:r>
              <w:t xml:space="preserve">(same rule)</w:t>
            </w:r>
          </w:p>
        </w:tc>
      </w:tr>
      <w:tr>
        <w:tc>
          <w:p>
            <w:pPr>
              <w:pStyle w:val="Compact"/>
              <w:jc w:val="left"/>
            </w:pPr>
            <w:r>
              <w:t xml:space="preserve">Sync to QuickBooks</w:t>
            </w:r>
          </w:p>
        </w:tc>
        <w:tc>
          <w:p>
            <w:pPr>
              <w:pStyle w:val="Compact"/>
              <w:jc w:val="left"/>
            </w:pPr>
            <w:r>
              <w:rPr>
                <w:rStyle w:val="VerbatimChar"/>
              </w:rPr>
              <w:t xml:space="preserve">98ec4970ff4f9f9cc17926d27675eee823a4eb86</w:t>
            </w:r>
          </w:p>
        </w:tc>
        <w:tc>
          <w:p>
            <w:pPr>
              <w:pStyle w:val="Compact"/>
              <w:jc w:val="left"/>
            </w:pPr>
            <w:r>
              <w:t xml:space="preserve">Yes =</w:t>
            </w:r>
            <w:r>
              <w:t xml:space="preserve"> </w:t>
            </w:r>
            <w:r>
              <w:rPr>
                <w:b/>
              </w:rPr>
              <w:t xml:space="preserve">83</w:t>
            </w:r>
            <w:r>
              <w:t xml:space="preserve"> </w:t>
            </w:r>
            <w:r>
              <w:t xml:space="preserve">(the SyncQ trigger)</w:t>
            </w:r>
          </w:p>
        </w:tc>
      </w:tr>
      <w:tr>
        <w:tc>
          <w:p>
            <w:pPr>
              <w:pStyle w:val="Compact"/>
              <w:jc w:val="left"/>
            </w:pPr>
            <w:r>
              <w:t xml:space="preserve">Subcategory (text)</w:t>
            </w:r>
          </w:p>
        </w:tc>
        <w:tc>
          <w:p>
            <w:pPr>
              <w:pStyle w:val="Compact"/>
              <w:jc w:val="left"/>
            </w:pPr>
            <w:r>
              <w:rPr>
                <w:rStyle w:val="VerbatimChar"/>
              </w:rPr>
              <w:t xml:space="preserve">ae55145d60840de457ff9e785eba68f0b39ab777</w:t>
            </w:r>
          </w:p>
        </w:tc>
        <w:tc>
          <w:p>
            <w:pPr>
              <w:pStyle w:val="Compact"/>
              <w:jc w:val="left"/>
            </w:pPr>
            <w:r>
              <w:t xml:space="preserve">subcategory name</w:t>
            </w:r>
          </w:p>
        </w:tc>
      </w:tr>
      <w:tr>
        <w:tc>
          <w:p>
            <w:pPr>
              <w:pStyle w:val="Compact"/>
              <w:jc w:val="left"/>
            </w:pPr>
            <w:r>
              <w:t xml:space="preserve">QuickBooks ID : SyncQ</w:t>
            </w:r>
          </w:p>
        </w:tc>
        <w:tc>
          <w:p>
            <w:pPr>
              <w:pStyle w:val="Compact"/>
              <w:jc w:val="left"/>
            </w:pPr>
            <w:r>
              <w:rPr>
                <w:rStyle w:val="VerbatimChar"/>
              </w:rPr>
              <w:t xml:space="preserve">1213a9ae4c45178ff7c81bde38c3cdfbdc71bbd4</w:t>
            </w:r>
          </w:p>
        </w:tc>
        <w:tc>
          <w:p>
            <w:pPr>
              <w:pStyle w:val="Compact"/>
              <w:jc w:val="left"/>
            </w:pPr>
            <w:r>
              <w:rPr>
                <w:b/>
              </w:rPr>
              <w:t xml:space="preserve">Read, not written</w:t>
            </w:r>
            <w:r>
              <w:t xml:space="preserve"> </w:t>
            </w:r>
            <w:r>
              <w:t xml:space="preserve">— populated later by SyncQ</w:t>
            </w:r>
          </w:p>
        </w:tc>
      </w:tr>
    </w:tbl>
    <w:p>
      <w:pPr>
        <w:pStyle w:val="BodyText"/>
      </w:pPr>
      <w:r>
        <w:t xml:space="preserve">Category mapping is done with</w:t>
      </w:r>
      <w:r>
        <w:t xml:space="preserve"> </w:t>
      </w:r>
      <w:r>
        <w:rPr>
          <w:b/>
        </w:rPr>
        <w:t xml:space="preserve">live API lookups</w:t>
      </w:r>
      <w:r>
        <w:t xml:space="preserve"> </w:t>
      </w:r>
      <w:r>
        <w:t xml:space="preserve">(no hardcoded map): Quoter</w:t>
      </w:r>
      <w:r>
        <w:t xml:space="preserve"> </w:t>
      </w:r>
      <w:r>
        <w:rPr>
          <w:rStyle w:val="VerbatimChar"/>
        </w:rPr>
        <w:t xml:space="preserve">category_id</w:t>
      </w:r>
      <w:r>
        <w:t xml:space="preserve"> </w:t>
      </w:r>
      <w:r>
        <w:t xml:space="preserve">→ Quoter</w:t>
      </w:r>
      <w:r>
        <w:t xml:space="preserve"> </w:t>
      </w:r>
      <w:r>
        <w:rPr>
          <w:rStyle w:val="VerbatimChar"/>
        </w:rPr>
        <w:t xml:space="preserve">/v1/categories/{id}</w:t>
      </w:r>
      <w:r>
        <w:t xml:space="preserve"> </w:t>
      </w:r>
      <w:r>
        <w:t xml:space="preserve">→</w:t>
      </w:r>
      <w:r>
        <w:t xml:space="preserve"> </w:t>
      </w:r>
      <w:r>
        <w:rPr>
          <w:rStyle w:val="VerbatimChar"/>
        </w:rPr>
        <w:t xml:space="preserve">parent_category</w:t>
      </w:r>
      <w:r>
        <w:t xml:space="preserve"> </w:t>
      </w:r>
      <w:r>
        <w:t xml:space="preserve">→</w:t>
      </w:r>
      <w:r>
        <w:t xml:space="preserve"> </w:t>
      </w:r>
      <w:r>
        <w:rPr>
          <w:rStyle w:val="VerbatimChar"/>
        </w:rPr>
        <w:t xml:space="preserve">"Parent / Child"</w:t>
      </w:r>
      <w:r>
        <w:t xml:space="preserve">, then split and mapped to the PD Category option ID and Subcategory field.</w:t>
      </w:r>
      <w:r>
        <w:t xml:space="preserve"> </w:t>
      </w:r>
      <w:r>
        <w:rPr>
          <w:b/>
        </w:rPr>
        <w:t xml:space="preserve">[code]</w:t>
      </w:r>
      <w:r>
        <w:t xml:space="preserve"> </w:t>
      </w:r>
      <w:r>
        <w:t xml:space="preserve">(</w:t>
      </w:r>
      <w:r>
        <w:rPr>
          <w:rStyle w:val="VerbatimChar"/>
        </w:rPr>
        <w:t xml:space="preserve">category_manager.py</w:t>
      </w:r>
      <w:r>
        <w:t xml:space="preserve">.)</w:t>
      </w:r>
    </w:p>
    <w:p>
      <w:pPr>
        <w:pStyle w:val="Heading4"/>
      </w:pPr>
      <w:bookmarkStart w:id="33" w:name="X23cceba18fc0e833f24e8b750fb5ad37f5f25be"/>
      <w:r>
        <w:t xml:space="preserve">3.4.3 Pipedrive product → QBO item (via SyncQ)</w:t>
      </w:r>
      <w:r>
        <w:t xml:space="preserve"> </w:t>
      </w:r>
      <w:r>
        <w:rPr>
          <w:b/>
        </w:rPr>
        <w:t xml:space="preserve">[SyncQ dashboard — verified]</w:t>
      </w:r>
      <w:bookmarkEnd w:id="33"/>
    </w:p>
    <w:p>
      <w:pPr>
        <w:pStyle w:val="FirstParagraph"/>
      </w:pPr>
      <w:r>
        <w:t xml:space="preserve">Confirmed from the SyncQ dashboard (SyncQ – Pipedrive QuickBooks Automation, account</w:t>
      </w:r>
      <w:r>
        <w:t xml:space="preserve"> </w:t>
      </w:r>
      <w:r>
        <w:rPr>
          <w:b/>
        </w:rPr>
        <w:t xml:space="preserve">TLC Creative Special Effects</w:t>
      </w:r>
      <w:r>
        <w:t xml:space="preserve">). SyncQ’s object mapping</w:t>
      </w:r>
      <w:r>
        <w:t xml:space="preserve"> </w:t>
      </w:r>
      <w:r>
        <w:rPr>
          <w:b/>
        </w:rPr>
        <w:t xml:space="preserve">LQ-7604</w:t>
      </w:r>
      <w:r>
        <w:t xml:space="preserve"> </w:t>
      </w:r>
      <w:r>
        <w:t xml:space="preserve">maps Pipedrive</w:t>
      </w:r>
      <w:r>
        <w:t xml:space="preserve"> </w:t>
      </w:r>
      <w:r>
        <w:rPr>
          <w:b/>
        </w:rPr>
        <w:t xml:space="preserve">Products → QuickBooks Item</w:t>
      </w:r>
      <w:r>
        <w:t xml:space="preserve"> </w:t>
      </w:r>
      <w:r>
        <w:t xml:space="preserve">with the following field mappings: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Map ID</w:t>
            </w:r>
          </w:p>
        </w:tc>
        <w:tc>
          <w:tcPr>
            <w:tcBorders>
              <w:bottom w:val="single"/>
            </w:tcBorders>
            <w:vAlign w:val="bottom"/>
          </w:tcPr>
          <w:p>
            <w:pPr>
              <w:pStyle w:val="Compact"/>
              <w:jc w:val="left"/>
            </w:pPr>
            <w:r>
              <w:t xml:space="preserve">Pipedrive Product field (type)</w:t>
            </w:r>
          </w:p>
        </w:tc>
        <w:tc>
          <w:tcPr>
            <w:tcBorders>
              <w:bottom w:val="single"/>
            </w:tcBorders>
            <w:vAlign w:val="bottom"/>
          </w:tcPr>
          <w:p>
            <w:pPr>
              <w:pStyle w:val="Compact"/>
              <w:jc w:val="left"/>
            </w:pPr>
            <w:r>
              <w:t xml:space="preserve">QuickBooks Item field (type)</w:t>
            </w:r>
          </w:p>
        </w:tc>
      </w:tr>
      <w:tr>
        <w:tc>
          <w:p>
            <w:pPr>
              <w:pStyle w:val="Compact"/>
              <w:jc w:val="left"/>
            </w:pPr>
            <w:r>
              <w:t xml:space="preserve">LQB-41342</w:t>
            </w:r>
          </w:p>
        </w:tc>
        <w:tc>
          <w:p>
            <w:pPr>
              <w:pStyle w:val="Compact"/>
              <w:jc w:val="left"/>
            </w:pPr>
            <w:r>
              <w:t xml:space="preserve">Name (VARCHAR)</w:t>
            </w:r>
          </w:p>
        </w:tc>
        <w:tc>
          <w:p>
            <w:pPr>
              <w:pStyle w:val="Compact"/>
              <w:jc w:val="left"/>
            </w:pPr>
            <w:r>
              <w:t xml:space="preserve">Name (STRING)</w:t>
            </w:r>
          </w:p>
        </w:tc>
      </w:tr>
      <w:tr>
        <w:tc>
          <w:p>
            <w:pPr>
              <w:pStyle w:val="Compact"/>
              <w:jc w:val="left"/>
            </w:pPr>
            <w:r>
              <w:t xml:space="preserve">LQB-41343</w:t>
            </w:r>
          </w:p>
        </w:tc>
        <w:tc>
          <w:p>
            <w:pPr>
              <w:pStyle w:val="Compact"/>
              <w:jc w:val="left"/>
            </w:pPr>
            <w:r>
              <w:t xml:space="preserve">Price (DOUBLE)</w:t>
            </w:r>
          </w:p>
        </w:tc>
        <w:tc>
          <w:p>
            <w:pPr>
              <w:pStyle w:val="Compact"/>
              <w:jc w:val="left"/>
            </w:pPr>
            <w:r>
              <w:t xml:space="preserve">UnitPrice (DECIMAL)</w:t>
            </w:r>
          </w:p>
        </w:tc>
      </w:tr>
      <w:tr>
        <w:tc>
          <w:p>
            <w:pPr>
              <w:pStyle w:val="Compact"/>
              <w:jc w:val="left"/>
            </w:pPr>
            <w:r>
              <w:t xml:space="preserve">LQB-42387</w:t>
            </w:r>
          </w:p>
        </w:tc>
        <w:tc>
          <w:p>
            <w:pPr>
              <w:pStyle w:val="Compact"/>
              <w:jc w:val="left"/>
            </w:pPr>
            <w:r>
              <w:t xml:space="preserve">Description (TEXT)</w:t>
            </w:r>
          </w:p>
        </w:tc>
        <w:tc>
          <w:p>
            <w:pPr>
              <w:pStyle w:val="Compact"/>
              <w:jc w:val="left"/>
            </w:pPr>
            <w:r>
              <w:t xml:space="preserve">Description (STRING)</w:t>
            </w:r>
          </w:p>
        </w:tc>
      </w:tr>
      <w:tr>
        <w:tc>
          <w:p>
            <w:pPr>
              <w:pStyle w:val="Compact"/>
              <w:jc w:val="left"/>
            </w:pPr>
            <w:r>
              <w:t xml:space="preserve">LQB-42405</w:t>
            </w:r>
          </w:p>
        </w:tc>
        <w:tc>
          <w:p>
            <w:pPr>
              <w:pStyle w:val="Compact"/>
              <w:jc w:val="left"/>
            </w:pPr>
            <w:r>
              <w:t xml:space="preserve">QuickBooks Item Type (ENUM)</w:t>
            </w:r>
          </w:p>
        </w:tc>
        <w:tc>
          <w:p>
            <w:pPr>
              <w:pStyle w:val="Compact"/>
              <w:jc w:val="left"/>
            </w:pPr>
            <w:r>
              <w:t xml:space="preserve">Type (ITEMTYPEENUM —</w:t>
            </w:r>
            <w:r>
              <w:t xml:space="preserve"> </w:t>
            </w:r>
            <w:r>
              <w:rPr>
                <w:b/>
              </w:rPr>
              <w:t xml:space="preserve">required</w:t>
            </w:r>
            <w:r>
              <w:t xml:space="preserve">)</w:t>
            </w:r>
          </w:p>
        </w:tc>
      </w:tr>
      <w:tr>
        <w:tc>
          <w:p>
            <w:pPr>
              <w:pStyle w:val="Compact"/>
              <w:jc w:val="left"/>
            </w:pPr>
            <w:r>
              <w:t xml:space="preserve">LQB-42406</w:t>
            </w:r>
          </w:p>
        </w:tc>
        <w:tc>
          <w:p>
            <w:pPr>
              <w:pStyle w:val="Compact"/>
              <w:jc w:val="left"/>
            </w:pPr>
            <w:r>
              <w:t xml:space="preserve">Product code (VARCHAR)</w:t>
            </w:r>
          </w:p>
        </w:tc>
        <w:tc>
          <w:p>
            <w:pPr>
              <w:pStyle w:val="Compact"/>
              <w:jc w:val="left"/>
            </w:pPr>
            <w:r>
              <w:t xml:space="preserve">Sku (STRING)</w:t>
            </w:r>
          </w:p>
        </w:tc>
      </w:tr>
      <w:tr>
        <w:tc>
          <w:p>
            <w:pPr>
              <w:pStyle w:val="Compact"/>
              <w:jc w:val="left"/>
            </w:pPr>
            <w:r>
              <w:t xml:space="preserve">LQB-42410</w:t>
            </w:r>
          </w:p>
        </w:tc>
        <w:tc>
          <w:p>
            <w:pPr>
              <w:pStyle w:val="Compact"/>
              <w:jc w:val="left"/>
            </w:pPr>
            <w:r>
              <w:t xml:space="preserve">Tech-Specs (TEXT)</w:t>
            </w:r>
          </w:p>
        </w:tc>
        <w:tc>
          <w:p>
            <w:pPr>
              <w:pStyle w:val="Compact"/>
              <w:jc w:val="left"/>
            </w:pPr>
            <w:r>
              <w:t xml:space="preserve">PurchaseDesc (STRING)</w:t>
            </w:r>
          </w:p>
        </w:tc>
      </w:tr>
      <w:tr>
        <w:tc>
          <w:p>
            <w:pPr>
              <w:pStyle w:val="Compact"/>
              <w:jc w:val="left"/>
            </w:pPr>
            <w:r>
              <w:t xml:space="preserve">LQB-44918</w:t>
            </w:r>
          </w:p>
        </w:tc>
        <w:tc>
          <w:p>
            <w:pPr>
              <w:pStyle w:val="Compact"/>
              <w:jc w:val="left"/>
            </w:pPr>
            <w:r>
              <w:t xml:space="preserve">Category (ENUM)</w:t>
            </w:r>
          </w:p>
        </w:tc>
        <w:tc>
          <w:p>
            <w:pPr>
              <w:pStyle w:val="Compact"/>
              <w:jc w:val="left"/>
            </w:pPr>
            <w:r>
              <w:t xml:space="preserve">ItemCategoryType (STRING)</w:t>
            </w:r>
          </w:p>
        </w:tc>
      </w:tr>
    </w:tbl>
    <w:p>
      <w:pPr>
        <w:pStyle w:val="BodyText"/>
      </w:pPr>
      <w:r>
        <w:rPr>
          <w:b/>
        </w:rPr>
        <w:t xml:space="preserve">Key finding — accounts are NOT mapped by SyncQ.</w:t>
      </w:r>
      <w:r>
        <w:t xml:space="preserve"> </w:t>
      </w:r>
      <w:r>
        <w:t xml:space="preserve">There is no</w:t>
      </w:r>
      <w:r>
        <w:t xml:space="preserve"> </w:t>
      </w:r>
      <w:r>
        <w:rPr>
          <w:rStyle w:val="VerbatimChar"/>
        </w:rPr>
        <w:t xml:space="preserve">IncomeAccountRef</w:t>
      </w:r>
      <w:r>
        <w:t xml:space="preserve"> </w:t>
      </w:r>
      <w:r>
        <w:t xml:space="preserve">or</w:t>
      </w:r>
      <w:r>
        <w:t xml:space="preserve"> </w:t>
      </w:r>
      <w:r>
        <w:rPr>
          <w:rStyle w:val="VerbatimChar"/>
        </w:rPr>
        <w:t xml:space="preserve">ExpenseAccountRef</w:t>
      </w:r>
      <w:r>
        <w:t xml:space="preserve"> </w:t>
      </w:r>
      <w:r>
        <w:t xml:space="preserve">in this mapping. This matches</w:t>
      </w:r>
      <w:r>
        <w:t xml:space="preserve"> </w:t>
      </w:r>
      <w:r>
        <w:rPr>
          <w:rStyle w:val="VerbatimChar"/>
        </w:rPr>
        <w:t xml:space="preserve">README.md</w:t>
      </w:r>
      <w:r>
        <w:t xml:space="preserve">’s guidance to</w:t>
      </w:r>
      <w:r>
        <w:t xml:space="preserve"> </w:t>
      </w:r>
      <w:r>
        <w:t xml:space="preserve">“</w:t>
      </w:r>
      <w:r>
        <w:t xml:space="preserve">avoid SyncQ for account reference fields due to format limitations.</w:t>
      </w:r>
      <w:r>
        <w:t xml:space="preserve">”</w:t>
      </w:r>
      <w:r>
        <w:t xml:space="preserve"> </w:t>
      </w:r>
      <w:r>
        <w:t xml:space="preserve">Consequence: SyncQ can create/update the descriptive shell of a QBO item but</w:t>
      </w:r>
      <w:r>
        <w:t xml:space="preserve"> </w:t>
      </w:r>
      <w:r>
        <w:rPr>
          <w:b/>
        </w:rPr>
        <w:t xml:space="preserve">cannot set the income/expense accounts</w:t>
      </w:r>
      <w:r>
        <w:t xml:space="preserve"> </w:t>
      </w:r>
      <w:r>
        <w:t xml:space="preserve">QBO requires. That gap is exactly why the accounts must be set by the native link or by</w:t>
      </w:r>
      <w:r>
        <w:t xml:space="preserve"> </w:t>
      </w:r>
      <w:r>
        <w:rPr>
          <w:rStyle w:val="VerbatimChar"/>
        </w:rPr>
        <w:t xml:space="preserve">quoter_to_qbo_sync.py</w:t>
      </w:r>
      <w:r>
        <w:t xml:space="preserve"> </w:t>
      </w:r>
      <w:r>
        <w:t xml:space="preserve">(which hardcodes income account 389). This is the concrete</w:t>
      </w:r>
      <w:r>
        <w:t xml:space="preserve"> </w:t>
      </w:r>
      <w:r>
        <w:t xml:space="preserve">“</w:t>
      </w:r>
      <w:r>
        <w:t xml:space="preserve">partial data</w:t>
      </w:r>
      <w:r>
        <w:t xml:space="preserve">”</w:t>
      </w:r>
      <w:r>
        <w:t xml:space="preserve"> </w:t>
      </w:r>
      <w:r>
        <w:t xml:space="preserve">limitation that justifies the whole fan-out topology in §3.2.</w:t>
      </w:r>
      <w:r>
        <w:t xml:space="preserve"> </w:t>
      </w:r>
      <w:r>
        <w:rPr>
          <w:b/>
        </w:rPr>
        <w:t xml:space="preserve">[SyncQ dashboard + doc]</w:t>
      </w:r>
    </w:p>
    <w:p>
      <w:pPr>
        <w:pStyle w:val="BodyText"/>
      </w:pPr>
      <w:r>
        <w:rPr>
          <w:b/>
        </w:rPr>
        <w:t xml:space="preserve">The Type loop closes here.</w:t>
      </w:r>
      <w:r>
        <w:t xml:space="preserve"> </w:t>
      </w:r>
      <w:r>
        <w:t xml:space="preserve">The</w:t>
      </w:r>
      <w:r>
        <w:t xml:space="preserve"> </w:t>
      </w:r>
      <w:r>
        <w:rPr>
          <w:rStyle w:val="VerbatimChar"/>
        </w:rPr>
        <w:t xml:space="preserve">QuickBooks Item Type</w:t>
      </w:r>
      <w:r>
        <w:t xml:space="preserve"> </w:t>
      </w:r>
      <w:r>
        <w:t xml:space="preserve">PD custom field written by</w:t>
      </w:r>
      <w:r>
        <w:t xml:space="preserve"> </w:t>
      </w:r>
      <w:r>
        <w:rPr>
          <w:rStyle w:val="VerbatimChar"/>
        </w:rPr>
        <w:t xml:space="preserve">pipedrive.py</w:t>
      </w:r>
      <w:r>
        <w:t xml:space="preserve"> </w:t>
      </w:r>
      <w:r>
        <w:t xml:space="preserve">(</w:t>
      </w:r>
      <w:r>
        <w:rPr>
          <w:rStyle w:val="VerbatimChar"/>
        </w:rPr>
        <w:t xml:space="preserve">b65439db…</w:t>
      </w:r>
      <w:r>
        <w:t xml:space="preserve">, Service 74 / NonInventory 71) is exactly the field SyncQ reads (LQB-42405) to populate QBO’s required</w:t>
      </w:r>
      <w:r>
        <w:t xml:space="preserve"> </w:t>
      </w:r>
      <w:r>
        <w:rPr>
          <w:rStyle w:val="VerbatimChar"/>
        </w:rPr>
        <w:t xml:space="preserve">Type</w:t>
      </w:r>
      <w:r>
        <w:t xml:space="preserve">. So the Quoter→PD write and the PD→QBO reconcile connect through that custom field.</w:t>
      </w:r>
      <w:r>
        <w:t xml:space="preserve"> </w:t>
      </w:r>
      <w:r>
        <w:rPr>
          <w:b/>
        </w:rPr>
        <w:t xml:space="preserve">[code + SyncQ dashboard]</w:t>
      </w:r>
    </w:p>
    <w:p>
      <w:pPr>
        <w:pStyle w:val="BodyText"/>
      </w:pPr>
      <w:r>
        <w:t xml:space="preserve">Corrections to the earlier reconstruction: the</w:t>
      </w:r>
      <w:r>
        <w:t xml:space="preserve"> </w:t>
      </w:r>
      <w:r>
        <w:rPr>
          <w:rStyle w:val="VerbatimChar"/>
        </w:rPr>
        <w:t xml:space="preserve">QBO_SYNC_ERROR_FIX.md</w:t>
      </w:r>
      <w:r>
        <w:t xml:space="preserve"> </w:t>
      </w:r>
      <w:r>
        <w:t xml:space="preserve">guess of</w:t>
      </w:r>
      <w:r>
        <w:t xml:space="preserve"> </w:t>
      </w:r>
      <w:r>
        <w:rPr>
          <w:rStyle w:val="VerbatimChar"/>
        </w:rPr>
        <w:t xml:space="preserve">PurchaseCost ← cost</w:t>
      </w:r>
      <w:r>
        <w:t xml:space="preserve"> </w:t>
      </w:r>
      <w:r>
        <w:t xml:space="preserve">is</w:t>
      </w:r>
      <w:r>
        <w:t xml:space="preserve"> </w:t>
      </w:r>
      <w:r>
        <w:rPr>
          <w:b/>
        </w:rPr>
        <w:t xml:space="preserve">not</w:t>
      </w:r>
      <w:r>
        <w:t xml:space="preserve"> </w:t>
      </w:r>
      <w:r>
        <w:t xml:space="preserve">in the live mapping (no cost mapping exists); instead</w:t>
      </w:r>
      <w:r>
        <w:t xml:space="preserve"> </w:t>
      </w:r>
      <w:r>
        <w:rPr>
          <w:rStyle w:val="VerbatimChar"/>
        </w:rPr>
        <w:t xml:space="preserve">Tech-Specs → PurchaseDesc</w:t>
      </w:r>
      <w:r>
        <w:t xml:space="preserve"> </w:t>
      </w:r>
      <w:r>
        <w:t xml:space="preserve">and</w:t>
      </w:r>
      <w:r>
        <w:t xml:space="preserve"> </w:t>
      </w:r>
      <w:r>
        <w:rPr>
          <w:rStyle w:val="VerbatimChar"/>
        </w:rPr>
        <w:t xml:space="preserve">Category → ItemCategoryType</w:t>
      </w:r>
      <w:r>
        <w:t xml:space="preserve"> </w:t>
      </w:r>
      <w:r>
        <w:t xml:space="preserve">are present.</w:t>
      </w:r>
    </w:p>
    <w:p>
      <w:pPr>
        <w:pStyle w:val="BodyText"/>
      </w:pPr>
      <w:r>
        <w:t xml:space="preserve">Payload constraints (from</w:t>
      </w:r>
      <w:r>
        <w:t xml:space="preserve"> </w:t>
      </w:r>
      <w:r>
        <w:rPr>
          <w:rStyle w:val="VerbatimChar"/>
        </w:rPr>
        <w:t xml:space="preserve">docs/QBO_SYNC_ERROR_FIX.md</w:t>
      </w:r>
      <w:r>
        <w:t xml:space="preserve">, still valid): PD</w:t>
      </w:r>
      <w:r>
        <w:t xml:space="preserve"> </w:t>
      </w:r>
      <w:r>
        <w:rPr>
          <w:rStyle w:val="VerbatimChar"/>
        </w:rPr>
        <w:t xml:space="preserve">unit</w:t>
      </w:r>
      <w:r>
        <w:t xml:space="preserve"> </w:t>
      </w:r>
      <w:r>
        <w:t xml:space="preserve">must be a QBO-standard value (e.g. </w:t>
      </w:r>
      <w:r>
        <w:t xml:space="preserve">“</w:t>
      </w:r>
      <w:r>
        <w:t xml:space="preserve">each</w:t>
      </w:r>
      <w:r>
        <w:t xml:space="preserve">”</w:t>
      </w:r>
      <w:r>
        <w:t xml:space="preserve">), and Pipedrive-only fields (</w:t>
      </w:r>
      <w:r>
        <w:rPr>
          <w:rStyle w:val="VerbatimChar"/>
        </w:rPr>
        <w:t xml:space="preserve">tax</w:t>
      </w:r>
      <w:r>
        <w:t xml:space="preserve">,</w:t>
      </w:r>
      <w:r>
        <w:t xml:space="preserve"> </w:t>
      </w:r>
      <w:r>
        <w:rPr>
          <w:rStyle w:val="VerbatimChar"/>
        </w:rPr>
        <w:t xml:space="preserve">visible_to</w:t>
      </w:r>
      <w:r>
        <w:t xml:space="preserve">) must be stripped or QBO rejects the payload with</w:t>
      </w:r>
      <w:r>
        <w:t xml:space="preserve"> </w:t>
      </w:r>
      <w:r>
        <w:t xml:space="preserve">“</w:t>
      </w:r>
      <w:r>
        <w:t xml:space="preserve">failed to parse json object.</w:t>
      </w:r>
      <w:r>
        <w:t xml:space="preserve">”</w:t>
      </w:r>
      <w:r>
        <w:t xml:space="preserve"> </w:t>
      </w:r>
      <w:r>
        <w:rPr>
          <w:b/>
        </w:rPr>
        <w:t xml:space="preserve">[doc]</w:t>
      </w:r>
    </w:p>
    <w:p>
      <w:pPr>
        <w:pStyle w:val="BodyText"/>
      </w:pPr>
      <w:r>
        <w:t xml:space="preserve">Sibling object mappings in the same SyncQ config:</w:t>
      </w:r>
      <w:r>
        <w:t xml:space="preserve"> </w:t>
      </w:r>
      <w:r>
        <w:rPr>
          <w:b/>
        </w:rPr>
        <w:t xml:space="preserve">LQ-7780</w:t>
      </w:r>
      <w:r>
        <w:t xml:space="preserve"> </w:t>
      </w:r>
      <w:r>
        <w:t xml:space="preserve">Organization ↔ Customer (Section 1) and</w:t>
      </w:r>
      <w:r>
        <w:t xml:space="preserve"> </w:t>
      </w:r>
      <w:r>
        <w:rPr>
          <w:b/>
        </w:rPr>
        <w:t xml:space="preserve">LQ-7781</w:t>
      </w:r>
      <w:r>
        <w:t xml:space="preserve"> </w:t>
      </w:r>
      <w:r>
        <w:t xml:space="preserve">Deals ↔ Invoice (Section 4).</w:t>
      </w:r>
      <w:r>
        <w:t xml:space="preserve"> </w:t>
      </w:r>
      <w:r>
        <w:rPr>
          <w:b/>
        </w:rPr>
        <w:t xml:space="preserve">[SyncQ dashboard]</w:t>
      </w:r>
    </w:p>
    <w:p>
      <w:r>
        <w:pict>
          <v:rect style="width:0;height:1.5pt" o:hralign="center" o:hrstd="t" o:hr="t"/>
        </w:pict>
      </w:r>
    </w:p>
    <w:p>
      <w:pPr>
        <w:pStyle w:val="Heading3"/>
      </w:pPr>
      <w:bookmarkStart w:id="34" w:name="Xe230b1d5ecfb8299aaa34f6ae35cbc6fa319c2a"/>
      <w:r>
        <w:t xml:space="preserve">3.5 Create-vs-update logic (A/B/C) and the Sync ordering</w:t>
      </w:r>
      <w:r>
        <w:t xml:space="preserve"> </w:t>
      </w:r>
      <w:r>
        <w:rPr>
          <w:b/>
        </w:rPr>
        <w:t xml:space="preserve">[code]</w:t>
      </w:r>
      <w:bookmarkEnd w:id="34"/>
    </w:p>
    <w:p>
      <w:pPr>
        <w:pStyle w:val="FirstParagraph"/>
      </w:pPr>
      <w:r>
        <w:rPr>
          <w:rStyle w:val="VerbatimChar"/>
        </w:rPr>
        <w:t xml:space="preserve">pipedrive.py</w:t>
      </w:r>
      <w:r>
        <w:t xml:space="preserve"> </w:t>
      </w:r>
      <w:r>
        <w:t xml:space="preserve">decides what to do with each Quoter item based on its</w:t>
      </w:r>
      <w:r>
        <w:t xml:space="preserve"> </w:t>
      </w:r>
      <w:r>
        <w:rPr>
          <w:rStyle w:val="VerbatimChar"/>
        </w:rPr>
        <w:t xml:space="preserve">sku</w:t>
      </w:r>
      <w:r>
        <w:t xml:space="preserve"> </w:t>
      </w:r>
      <w:r>
        <w:t xml:space="preserve">field:</w:t>
      </w:r>
    </w:p>
    <w:p>
      <w:pPr>
        <w:numPr>
          <w:ilvl w:val="0"/>
          <w:numId w:val="1001"/>
        </w:numPr>
        <w:pStyle w:val="Compact"/>
      </w:pPr>
      <w:r>
        <w:rPr>
          <w:b/>
        </w:rPr>
        <w:t xml:space="preserve">A — Quoter</w:t>
      </w:r>
      <w:r>
        <w:rPr>
          <w:b/>
        </w:rPr>
        <w:t xml:space="preserve"> </w:t>
      </w:r>
      <w:r>
        <w:rPr>
          <w:rStyle w:val="VerbatimChar"/>
          <w:b/>
        </w:rPr>
        <w:t xml:space="preserve">sku</w:t>
      </w:r>
      <w:r>
        <w:rPr>
          <w:b/>
        </w:rPr>
        <w:t xml:space="preserve"> </w:t>
      </w:r>
      <w:r>
        <w:rPr>
          <w:b/>
        </w:rPr>
        <w:t xml:space="preserve">present:</w:t>
      </w:r>
      <w:r>
        <w:t xml:space="preserve"> </w:t>
      </w:r>
      <w:r>
        <w:t xml:space="preserve">treat</w:t>
      </w:r>
      <w:r>
        <w:t xml:space="preserve"> </w:t>
      </w:r>
      <w:r>
        <w:rPr>
          <w:rStyle w:val="VerbatimChar"/>
        </w:rPr>
        <w:t xml:space="preserve">sku</w:t>
      </w:r>
      <w:r>
        <w:t xml:space="preserve"> </w:t>
      </w:r>
      <w:r>
        <w:t xml:space="preserve">as the PD product ID, look it up directly, and</w:t>
      </w:r>
      <w:r>
        <w:t xml:space="preserve"> </w:t>
      </w:r>
      <w:r>
        <w:rPr>
          <w:b/>
        </w:rPr>
        <w:t xml:space="preserve">update</w:t>
      </w:r>
      <w:r>
        <w:t xml:space="preserve"> </w:t>
      </w:r>
      <w:r>
        <w:t xml:space="preserve">it.</w:t>
      </w:r>
    </w:p>
    <w:p>
      <w:pPr>
        <w:numPr>
          <w:ilvl w:val="0"/>
          <w:numId w:val="1001"/>
        </w:numPr>
        <w:pStyle w:val="Compact"/>
      </w:pPr>
      <w:r>
        <w:rPr>
          <w:b/>
        </w:rPr>
        <w:t xml:space="preserve">B — no</w:t>
      </w:r>
      <w:r>
        <w:rPr>
          <w:b/>
        </w:rPr>
        <w:t xml:space="preserve"> </w:t>
      </w:r>
      <w:r>
        <w:rPr>
          <w:rStyle w:val="VerbatimChar"/>
          <w:b/>
        </w:rPr>
        <w:t xml:space="preserve">sku</w:t>
      </w:r>
      <w:r>
        <w:rPr>
          <w:b/>
        </w:rPr>
        <w:t xml:space="preserve">, name matches an existing PD product that already has a QuickBooks ID:</w:t>
      </w:r>
      <w:r>
        <w:t xml:space="preserve"> </w:t>
      </w:r>
      <w:r>
        <w:t xml:space="preserve">that product originated from QBO via SyncQ —</w:t>
      </w:r>
      <w:r>
        <w:t xml:space="preserve"> </w:t>
      </w:r>
      <w:r>
        <w:rPr>
          <w:b/>
        </w:rPr>
        <w:t xml:space="preserve">update</w:t>
      </w:r>
      <w:r>
        <w:t xml:space="preserve"> </w:t>
      </w:r>
      <w:r>
        <w:t xml:space="preserve">it (do not duplicate), and write the PD ID back to Quoter’s</w:t>
      </w:r>
      <w:r>
        <w:t xml:space="preserve"> </w:t>
      </w:r>
      <w:r>
        <w:rPr>
          <w:rStyle w:val="VerbatimChar"/>
        </w:rPr>
        <w:t xml:space="preserve">sku</w:t>
      </w:r>
      <w:r>
        <w:t xml:space="preserve">.</w:t>
      </w:r>
    </w:p>
    <w:p>
      <w:pPr>
        <w:numPr>
          <w:ilvl w:val="0"/>
          <w:numId w:val="1001"/>
        </w:numPr>
        <w:pStyle w:val="Compact"/>
      </w:pPr>
      <w:r>
        <w:rPr>
          <w:b/>
        </w:rPr>
        <w:t xml:space="preserve">C — no</w:t>
      </w:r>
      <w:r>
        <w:rPr>
          <w:b/>
        </w:rPr>
        <w:t xml:space="preserve"> </w:t>
      </w:r>
      <w:r>
        <w:rPr>
          <w:rStyle w:val="VerbatimChar"/>
          <w:b/>
        </w:rPr>
        <w:t xml:space="preserve">sku</w:t>
      </w:r>
      <w:r>
        <w:rPr>
          <w:b/>
        </w:rPr>
        <w:t xml:space="preserve">, and no match (or a match without a QuickBooks ID):</w:t>
      </w:r>
      <w:r>
        <w:t xml:space="preserve"> </w:t>
      </w:r>
      <w:r>
        <w:rPr>
          <w:b/>
        </w:rPr>
        <w:t xml:space="preserve">create</w:t>
      </w:r>
      <w:r>
        <w:t xml:space="preserve"> </w:t>
      </w:r>
      <w:r>
        <w:t xml:space="preserve">a new PD product and write its ID back to Quoter’s</w:t>
      </w:r>
      <w:r>
        <w:t xml:space="preserve"> </w:t>
      </w:r>
      <w:r>
        <w:rPr>
          <w:rStyle w:val="VerbatimChar"/>
        </w:rPr>
        <w:t xml:space="preserve">sku</w:t>
      </w:r>
      <w:r>
        <w:t xml:space="preserve">.</w:t>
      </w:r>
    </w:p>
    <w:p>
      <w:pPr>
        <w:pStyle w:val="FirstParagraph"/>
      </w:pPr>
      <w:r>
        <w:rPr>
          <w:b/>
        </w:rPr>
        <w:t xml:space="preserve">Sync-field ordering (race avoidance):</w:t>
      </w:r>
      <w:r>
        <w:t xml:space="preserve"> </w:t>
      </w:r>
      <w:r>
        <w:t xml:space="preserve">on the</w:t>
      </w:r>
      <w:r>
        <w:t xml:space="preserve"> </w:t>
      </w:r>
      <w:r>
        <w:rPr>
          <w:b/>
        </w:rPr>
        <w:t xml:space="preserve">update</w:t>
      </w:r>
      <w:r>
        <w:t xml:space="preserve"> </w:t>
      </w:r>
      <w:r>
        <w:t xml:space="preserve">path the three metadata fields are written first, then</w:t>
      </w:r>
      <w:r>
        <w:t xml:space="preserve"> </w:t>
      </w:r>
      <w:r>
        <w:rPr>
          <w:b/>
        </w:rPr>
        <w:t xml:space="preserve">Sync = Yes</w:t>
      </w:r>
      <w:r>
        <w:t xml:space="preserve"> </w:t>
      </w:r>
      <w:r>
        <w:t xml:space="preserve">is set in a</w:t>
      </w:r>
      <w:r>
        <w:t xml:space="preserve"> </w:t>
      </w:r>
      <w:r>
        <w:rPr>
          <w:i/>
        </w:rPr>
        <w:t xml:space="preserve">separate</w:t>
      </w:r>
      <w:r>
        <w:t xml:space="preserve"> </w:t>
      </w:r>
      <w:r>
        <w:t xml:space="preserve">second call, so SyncQ only wakes after the metadata is populated.</w:t>
      </w:r>
      <w:r>
        <w:t xml:space="preserve"> </w:t>
      </w:r>
      <w:r>
        <w:rPr>
          <w:b/>
        </w:rPr>
        <w:t xml:space="preserve">Inconsistency:</w:t>
      </w:r>
      <w:r>
        <w:t xml:space="preserve"> </w:t>
      </w:r>
      <w:r>
        <w:t xml:space="preserve">on the</w:t>
      </w:r>
      <w:r>
        <w:t xml:space="preserve"> </w:t>
      </w:r>
      <w:r>
        <w:rPr>
          <w:b/>
        </w:rPr>
        <w:t xml:space="preserve">create</w:t>
      </w:r>
      <w:r>
        <w:t xml:space="preserve"> </w:t>
      </w:r>
      <w:r>
        <w:t xml:space="preserve">path all four fields (including Sync = Yes) are sent in a</w:t>
      </w:r>
      <w:r>
        <w:t xml:space="preserve"> </w:t>
      </w:r>
      <w:r>
        <w:rPr>
          <w:i/>
        </w:rPr>
        <w:t xml:space="preserve">single</w:t>
      </w:r>
      <w:r>
        <w:t xml:space="preserve"> </w:t>
      </w:r>
      <w:r>
        <w:t xml:space="preserve">POST — SyncQ can therefore be triggered before the record is otherwise settled.</w:t>
      </w:r>
      <w:r>
        <w:t xml:space="preserve"> </w:t>
      </w:r>
      <w:r>
        <w:rPr>
          <w:b/>
        </w:rPr>
        <w:t xml:space="preserve">[code]</w:t>
      </w:r>
      <w:r>
        <w:t xml:space="preserve"> </w:t>
      </w:r>
      <w:r>
        <w:t xml:space="preserve">(See risks.)</w:t>
      </w:r>
    </w:p>
    <w:p>
      <w:pPr>
        <w:pStyle w:val="BodyText"/>
      </w:pPr>
      <w:r>
        <w:rPr>
          <w:b/>
        </w:rPr>
        <w:t xml:space="preserve">Two-step PD lookup:</w:t>
      </w:r>
      <w:r>
        <w:t xml:space="preserve"> </w:t>
      </w:r>
      <w:r>
        <w:t xml:space="preserve">because the PD</w:t>
      </w:r>
      <w:r>
        <w:t xml:space="preserve"> </w:t>
      </w:r>
      <w:r>
        <w:rPr>
          <w:rStyle w:val="VerbatimChar"/>
        </w:rPr>
        <w:t xml:space="preserve">/products/search</w:t>
      </w:r>
      <w:r>
        <w:t xml:space="preserve"> </w:t>
      </w:r>
      <w:r>
        <w:t xml:space="preserve">endpoint omits custom fields, the code matches by name via search, then re-fetches the product by ID to read custom fields (e.g. the QuickBooks ID).</w:t>
      </w:r>
      <w:r>
        <w:t xml:space="preserve"> </w:t>
      </w:r>
      <w:r>
        <w:rPr>
          <w:b/>
        </w:rPr>
        <w:t xml:space="preserve">[code]</w:t>
      </w:r>
    </w:p>
    <w:p>
      <w:r>
        <w:pict>
          <v:rect style="width:0;height:1.5pt" o:hralign="center" o:hrstd="t" o:hr="t"/>
        </w:pict>
      </w:r>
    </w:p>
    <w:p>
      <w:pPr>
        <w:pStyle w:val="Heading3"/>
      </w:pPr>
      <w:bookmarkStart w:id="35" w:name="triggers-and-scheduling-code"/>
      <w:r>
        <w:t xml:space="preserve">3.6 Triggers and scheduling</w:t>
      </w:r>
      <w:r>
        <w:t xml:space="preserve"> </w:t>
      </w:r>
      <w:r>
        <w:rPr>
          <w:b/>
        </w:rPr>
        <w:t xml:space="preserve">[code]</w:t>
      </w:r>
      <w:bookmarkEnd w:id="35"/>
    </w:p>
    <w:p>
      <w:pPr>
        <w:numPr>
          <w:ilvl w:val="0"/>
          <w:numId w:val="1002"/>
        </w:numPr>
        <w:pStyle w:val="Compact"/>
      </w:pPr>
      <w:r>
        <w:rPr>
          <w:b/>
        </w:rPr>
        <w:t xml:space="preserve">Daily batch —</w:t>
      </w:r>
      <w:r>
        <w:rPr>
          <w:b/>
        </w:rPr>
        <w:t xml:space="preserve"> </w:t>
      </w:r>
      <w:r>
        <w:rPr>
          <w:rStyle w:val="VerbatimChar"/>
          <w:b/>
        </w:rPr>
        <w:t xml:space="preserve">.github/workflows/complete-sync.yml</w:t>
      </w:r>
      <w:r>
        <w:t xml:space="preserve">, cron</w:t>
      </w:r>
      <w:r>
        <w:t xml:space="preserve"> </w:t>
      </w:r>
      <w:r>
        <w:rPr>
          <w:rStyle w:val="VerbatimChar"/>
        </w:rPr>
        <w:t xml:space="preserve">0 14 * * 1-6</w:t>
      </w:r>
      <w:r>
        <w:t xml:space="preserve"> </w:t>
      </w:r>
      <w:r>
        <w:t xml:space="preserve">(Mon–Sat, 2 PM UTC ≈ 6 AM Pacific):</w:t>
      </w:r>
    </w:p>
    <w:p>
      <w:pPr>
        <w:numPr>
          <w:ilvl w:val="1"/>
          <w:numId w:val="1003"/>
        </w:numPr>
        <w:pStyle w:val="Compact"/>
      </w:pPr>
      <w:r>
        <w:t xml:space="preserve">Step 1:</w:t>
      </w:r>
      <w:r>
        <w:t xml:space="preserve"> </w:t>
      </w:r>
      <w:r>
        <w:rPr>
          <w:rStyle w:val="VerbatimChar"/>
        </w:rPr>
        <w:t xml:space="preserve">sync_with_date_filter.py</w:t>
      </w:r>
      <w:r>
        <w:t xml:space="preserve"> </w:t>
      </w:r>
      <w:r>
        <w:t xml:space="preserve">(Quoter → Pipedrive).</w:t>
      </w:r>
    </w:p>
    <w:p>
      <w:pPr>
        <w:numPr>
          <w:ilvl w:val="1"/>
          <w:numId w:val="1003"/>
        </w:numPr>
        <w:pStyle w:val="Compact"/>
      </w:pPr>
      <w:r>
        <w:t xml:space="preserve">Step 2:</w:t>
      </w:r>
      <w:r>
        <w:t xml:space="preserve"> </w:t>
      </w:r>
      <w:r>
        <w:rPr>
          <w:rStyle w:val="VerbatimChar"/>
        </w:rPr>
        <w:t xml:space="preserve">quoter_to_qbo_sync.py</w:t>
      </w:r>
      <w:r>
        <w:t xml:space="preserve"> </w:t>
      </w:r>
      <w:r>
        <w:t xml:space="preserve">(Quoter → QBO), runs after Step 1.</w:t>
      </w:r>
    </w:p>
    <w:p>
      <w:pPr>
        <w:numPr>
          <w:ilvl w:val="1"/>
          <w:numId w:val="1003"/>
        </w:numPr>
        <w:pStyle w:val="Compact"/>
      </w:pPr>
      <w:r>
        <w:t xml:space="preserve">Step 3: notification.</w:t>
      </w:r>
    </w:p>
    <w:p>
      <w:pPr>
        <w:numPr>
          <w:ilvl w:val="0"/>
          <w:numId w:val="1002"/>
        </w:numPr>
        <w:pStyle w:val="Compact"/>
      </w:pPr>
      <w:r>
        <w:rPr>
          <w:b/>
        </w:rPr>
        <w:t xml:space="preserve">Real-time —</w:t>
      </w:r>
      <w:r>
        <w:rPr>
          <w:b/>
        </w:rPr>
        <w:t xml:space="preserve"> </w:t>
      </w:r>
      <w:r>
        <w:rPr>
          <w:rStyle w:val="VerbatimChar"/>
          <w:b/>
        </w:rPr>
        <w:t xml:space="preserve">webhook_handler.py</w:t>
      </w:r>
      <w:r>
        <w:rPr>
          <w:b/>
        </w:rPr>
        <w:t xml:space="preserve"> </w:t>
      </w:r>
      <w:r>
        <w:rPr>
          <w:b/>
        </w:rPr>
        <w:t xml:space="preserve">on Render</w:t>
      </w:r>
      <w:r>
        <w:t xml:space="preserve"> </w:t>
      </w:r>
      <w:r>
        <w:t xml:space="preserve">handles</w:t>
      </w:r>
      <w:r>
        <w:t xml:space="preserve"> </w:t>
      </w:r>
      <w:r>
        <w:rPr>
          <w:b/>
        </w:rPr>
        <w:t xml:space="preserve">quotes and organizations only</w:t>
      </w:r>
      <w:r>
        <w:t xml:space="preserve"> </w:t>
      </w:r>
      <w:r>
        <w:t xml:space="preserve">(Pipedrive org → draft quote; Quoter quote-published → update PD deal).</w:t>
      </w:r>
      <w:r>
        <w:t xml:space="preserve"> </w:t>
      </w:r>
      <w:r>
        <w:rPr>
          <w:b/>
        </w:rPr>
        <w:t xml:space="preserve">It does not run item/product sync.</w:t>
      </w:r>
      <w:r>
        <w:t xml:space="preserve"> </w:t>
      </w:r>
      <w:r>
        <w:t xml:space="preserve">Item sync is daily-batch only.</w:t>
      </w:r>
      <w:r>
        <w:t xml:space="preserve"> </w:t>
      </w:r>
      <w:r>
        <w:rPr>
          <w:b/>
        </w:rPr>
        <w:t xml:space="preserve">[code]</w:t>
      </w:r>
    </w:p>
    <w:p>
      <w:pPr>
        <w:numPr>
          <w:ilvl w:val="0"/>
          <w:numId w:val="1002"/>
        </w:numPr>
        <w:pStyle w:val="Compact"/>
      </w:pPr>
      <w:r>
        <w:t xml:space="preserve">SyncQ runs continuously/independently against PD products flagged Sync = Yes.</w:t>
      </w:r>
      <w:r>
        <w:t xml:space="preserve"> </w:t>
      </w:r>
      <w:r>
        <w:rPr>
          <w:b/>
        </w:rPr>
        <w:t xml:space="preserve">[doc]</w:t>
      </w:r>
    </w:p>
    <w:p>
      <w:r>
        <w:pict>
          <v:rect style="width:0;height:1.5pt" o:hralign="center" o:hrstd="t" o:hr="t"/>
        </w:pict>
      </w:r>
    </w:p>
    <w:p>
      <w:pPr>
        <w:pStyle w:val="Heading3"/>
      </w:pPr>
      <w:bookmarkStart w:id="36" w:name="key-identifiers-and-linkage"/>
      <w:r>
        <w:t xml:space="preserve">3.7 Key identifiers and linkage</w:t>
      </w:r>
      <w:bookmarkEnd w:id="36"/>
    </w:p>
    <w:p>
      <w:pPr>
        <w:numPr>
          <w:ilvl w:val="0"/>
          <w:numId w:val="1004"/>
        </w:numPr>
        <w:pStyle w:val="Compact"/>
      </w:pPr>
      <w:r>
        <w:rPr>
          <w:b/>
        </w:rPr>
        <w:t xml:space="preserve">Quoter</w:t>
      </w:r>
      <w:r>
        <w:rPr>
          <w:b/>
        </w:rPr>
        <w:t xml:space="preserve"> </w:t>
      </w:r>
      <w:r>
        <w:rPr>
          <w:rStyle w:val="VerbatimChar"/>
          <w:b/>
        </w:rPr>
        <w:t xml:space="preserve">sku</w:t>
      </w:r>
      <w:r>
        <w:rPr>
          <w:b/>
        </w:rPr>
        <w:t xml:space="preserve"> </w:t>
      </w:r>
      <w:r>
        <w:rPr>
          <w:b/>
        </w:rPr>
        <w:t xml:space="preserve">field = Pipedrive product ID.</w:t>
      </w:r>
      <w:r>
        <w:t xml:space="preserve"> </w:t>
      </w:r>
      <w:r>
        <w:t xml:space="preserve">This is the verified, durable link between a Quoter item and its PD product, written back by</w:t>
      </w:r>
      <w:r>
        <w:t xml:space="preserve"> </w:t>
      </w:r>
      <w:r>
        <w:rPr>
          <w:rStyle w:val="VerbatimChar"/>
        </w:rPr>
        <w:t xml:space="preserve">pipedrive.py</w:t>
      </w:r>
      <w:r>
        <w:t xml:space="preserve"> </w:t>
      </w:r>
      <w:r>
        <w:t xml:space="preserve">after first sync.</w:t>
      </w:r>
      <w:r>
        <w:t xml:space="preserve"> </w:t>
      </w:r>
      <w:r>
        <w:rPr>
          <w:b/>
        </w:rPr>
        <w:t xml:space="preserve">[code]</w:t>
      </w:r>
    </w:p>
    <w:p>
      <w:pPr>
        <w:numPr>
          <w:ilvl w:val="0"/>
          <w:numId w:val="1004"/>
        </w:numPr>
        <w:pStyle w:val="Compact"/>
      </w:pPr>
      <w:r>
        <w:rPr>
          <w:b/>
        </w:rPr>
        <w:t xml:space="preserve">QuickBooks ID</w:t>
      </w:r>
      <w:r>
        <w:t xml:space="preserve"> </w:t>
      </w:r>
      <w:r>
        <w:t xml:space="preserve">on the PD product (</w:t>
      </w:r>
      <w:r>
        <w:rPr>
          <w:rStyle w:val="VerbatimChar"/>
        </w:rPr>
        <w:t xml:space="preserve">1213a9ae…</w:t>
      </w:r>
      <w:r>
        <w:t xml:space="preserve">) links the PD product to its QBO item; populated by SyncQ.</w:t>
      </w:r>
      <w:r>
        <w:t xml:space="preserve"> </w:t>
      </w:r>
      <w:r>
        <w:rPr>
          <w:b/>
        </w:rPr>
        <w:t xml:space="preserve">[doc/confirm: SyncQ]</w:t>
      </w:r>
    </w:p>
    <w:p>
      <w:pPr>
        <w:numPr>
          <w:ilvl w:val="0"/>
          <w:numId w:val="1004"/>
        </w:numPr>
        <w:pStyle w:val="Compact"/>
      </w:pPr>
      <w:r>
        <w:rPr>
          <w:b/>
        </w:rPr>
        <w:t xml:space="preserve">QBO ↔ Quoter items are matched by name.</w:t>
      </w:r>
      <w:r>
        <w:t xml:space="preserve"> </w:t>
      </w:r>
      <w:r>
        <w:rPr>
          <w:b/>
        </w:rPr>
        <w:t xml:space="preserve">[code]</w:t>
      </w:r>
    </w:p>
    <w:p>
      <w:pPr>
        <w:numPr>
          <w:ilvl w:val="0"/>
          <w:numId w:val="1004"/>
        </w:numPr>
        <w:pStyle w:val="Compact"/>
      </w:pPr>
      <w:r>
        <w:rPr>
          <w:rStyle w:val="VerbatimChar"/>
          <w:b/>
        </w:rPr>
        <w:t xml:space="preserve">LQ-####</w:t>
      </w:r>
      <w:r>
        <w:rPr>
          <w:b/>
        </w:rPr>
        <w:t xml:space="preserve"> </w:t>
      </w:r>
      <w:r>
        <w:rPr>
          <w:b/>
        </w:rPr>
        <w:t xml:space="preserve">/</w:t>
      </w:r>
      <w:r>
        <w:rPr>
          <w:b/>
        </w:rPr>
        <w:t xml:space="preserve"> </w:t>
      </w:r>
      <w:r>
        <w:rPr>
          <w:rStyle w:val="VerbatimChar"/>
          <w:b/>
        </w:rPr>
        <w:t xml:space="preserve">LQB-####</w:t>
      </w:r>
      <w:r>
        <w:rPr>
          <w:b/>
        </w:rPr>
        <w:t xml:space="preserve"> </w:t>
      </w:r>
      <w:r>
        <w:rPr>
          <w:b/>
        </w:rPr>
        <w:t xml:space="preserve">are SyncQ mapping IDs, not Quoter item codes.</w:t>
      </w:r>
      <w:r>
        <w:t xml:space="preserve"> </w:t>
      </w:r>
      <w:r>
        <w:rPr>
          <w:rStyle w:val="VerbatimChar"/>
        </w:rPr>
        <w:t xml:space="preserve">LQ-####</w:t>
      </w:r>
      <w:r>
        <w:t xml:space="preserve"> </w:t>
      </w:r>
      <w:r>
        <w:t xml:space="preserve">identifies a SyncQ</w:t>
      </w:r>
      <w:r>
        <w:t xml:space="preserve"> </w:t>
      </w:r>
      <w:r>
        <w:rPr>
          <w:b/>
        </w:rPr>
        <w:t xml:space="preserve">object mapping</w:t>
      </w:r>
      <w:r>
        <w:t xml:space="preserve"> </w:t>
      </w:r>
      <w:r>
        <w:t xml:space="preserve">(</w:t>
      </w:r>
      <w:r>
        <w:rPr>
          <w:rStyle w:val="VerbatimChar"/>
        </w:rPr>
        <w:t xml:space="preserve">LQ-7604</w:t>
      </w:r>
      <w:r>
        <w:t xml:space="preserve"> </w:t>
      </w:r>
      <w:r>
        <w:t xml:space="preserve">= Products→Item;</w:t>
      </w:r>
      <w:r>
        <w:t xml:space="preserve"> </w:t>
      </w:r>
      <w:r>
        <w:rPr>
          <w:rStyle w:val="VerbatimChar"/>
        </w:rPr>
        <w:t xml:space="preserve">LQ-7780</w:t>
      </w:r>
      <w:r>
        <w:t xml:space="preserve"> </w:t>
      </w:r>
      <w:r>
        <w:t xml:space="preserve">= Organization→Customer;</w:t>
      </w:r>
      <w:r>
        <w:t xml:space="preserve"> </w:t>
      </w:r>
      <w:r>
        <w:rPr>
          <w:rStyle w:val="VerbatimChar"/>
        </w:rPr>
        <w:t xml:space="preserve">LQ-7781</w:t>
      </w:r>
      <w:r>
        <w:t xml:space="preserve"> </w:t>
      </w:r>
      <w:r>
        <w:t xml:space="preserve">= Deals→Invoice).</w:t>
      </w:r>
      <w:r>
        <w:t xml:space="preserve"> </w:t>
      </w:r>
      <w:r>
        <w:rPr>
          <w:rStyle w:val="VerbatimChar"/>
        </w:rPr>
        <w:t xml:space="preserve">LQB-####</w:t>
      </w:r>
      <w:r>
        <w:t xml:space="preserve"> </w:t>
      </w:r>
      <w:r>
        <w:t xml:space="preserve">identifies a</w:t>
      </w:r>
      <w:r>
        <w:t xml:space="preserve"> </w:t>
      </w:r>
      <w:r>
        <w:rPr>
          <w:b/>
        </w:rPr>
        <w:t xml:space="preserve">field-level</w:t>
      </w:r>
      <w:r>
        <w:t xml:space="preserve"> </w:t>
      </w:r>
      <w:r>
        <w:t xml:space="preserve">mapping inside an object mapping (e.g. LQB-42406 = Product code→Sku within LQ-7604).</w:t>
      </w:r>
      <w:r>
        <w:t xml:space="preserve"> </w:t>
      </w:r>
      <w:r>
        <w:rPr>
          <w:b/>
        </w:rPr>
        <w:t xml:space="preserve">[SyncQ dashboard — verified]</w:t>
      </w:r>
    </w:p>
    <w:p>
      <w:pPr>
        <w:numPr>
          <w:ilvl w:val="0"/>
          <w:numId w:val="1004"/>
        </w:numPr>
        <w:pStyle w:val="Compact"/>
      </w:pPr>
      <w:r>
        <w:rPr>
          <w:b/>
        </w:rPr>
        <w:t xml:space="preserve">Deal number</w:t>
      </w:r>
      <w:r>
        <w:t xml:space="preserve"> </w:t>
      </w:r>
      <w:r>
        <w:t xml:space="preserve">as the universal key operates primarily at the quote/organization level (Section 1 / Section 4), not on the item records themselves.</w:t>
      </w:r>
      <w:r>
        <w:t xml:space="preserve"> </w:t>
      </w:r>
      <w:r>
        <w:rPr>
          <w:b/>
        </w:rPr>
        <w:t xml:space="preserve">[ops]</w:t>
      </w:r>
    </w:p>
    <w:p>
      <w:r>
        <w:pict>
          <v:rect style="width:0;height:1.5pt" o:hralign="center" o:hrstd="t" o:hr="t"/>
        </w:pict>
      </w:r>
    </w:p>
    <w:p>
      <w:pPr>
        <w:pStyle w:val="Heading3"/>
      </w:pPr>
      <w:bookmarkStart w:id="37" w:name="known-issues-risks-and-fragilities"/>
      <w:r>
        <w:t xml:space="preserve">3.8 Known issues, risks, and fragilities</w:t>
      </w:r>
      <w:bookmarkEnd w:id="37"/>
    </w:p>
    <w:p>
      <w:pPr>
        <w:pStyle w:val="FirstParagraph"/>
      </w:pPr>
      <w:r>
        <w:rPr>
          <w:b/>
        </w:rPr>
        <w:t xml:space="preserve">Code-level (verified) [code]:</w:t>
      </w:r>
      <w:r>
        <w:t xml:space="preserve"> </w:t>
      </w:r>
      <w:r>
        <w:t xml:space="preserve">1.</w:t>
      </w:r>
      <w:r>
        <w:t xml:space="preserve"> </w:t>
      </w:r>
      <w:r>
        <w:rPr>
          <w:rStyle w:val="VerbatimChar"/>
          <w:b/>
        </w:rPr>
        <w:t xml:space="preserve">Type</w:t>
      </w:r>
      <w:r>
        <w:rPr>
          <w:b/>
        </w:rPr>
        <w:t xml:space="preserve"> </w:t>
      </w:r>
      <w:r>
        <w:rPr>
          <w:b/>
        </w:rPr>
        <w:t xml:space="preserve">hardcoded to</w:t>
      </w:r>
      <w:r>
        <w:rPr>
          <w:b/>
        </w:rPr>
        <w:t xml:space="preserve"> </w:t>
      </w:r>
      <w:r>
        <w:rPr>
          <w:b/>
        </w:rPr>
        <w:t xml:space="preserve">“</w:t>
      </w:r>
      <w:r>
        <w:rPr>
          <w:b/>
        </w:rPr>
        <w:t xml:space="preserve">Service</w:t>
      </w:r>
      <w:r>
        <w:rPr>
          <w:b/>
        </w:rPr>
        <w:t xml:space="preserve">”</w:t>
      </w:r>
      <w:r>
        <w:t xml:space="preserve"> </w:t>
      </w:r>
      <w:r>
        <w:t xml:space="preserve">in the active Quoter→QBO converter — the</w:t>
      </w:r>
      <w:r>
        <w:t xml:space="preserve"> </w:t>
      </w:r>
      <w:r>
        <w:rPr>
          <w:rStyle w:val="VerbatimChar"/>
        </w:rPr>
        <w:t xml:space="preserve">SVC</w:t>
      </w:r>
      <w:r>
        <w:t xml:space="preserve">-prefix branch is dead (both sides return</w:t>
      </w:r>
      <w:r>
        <w:t xml:space="preserve"> </w:t>
      </w:r>
      <w:r>
        <w:t xml:space="preserve">“</w:t>
      </w:r>
      <w:r>
        <w:t xml:space="preserve">Service</w:t>
      </w:r>
      <w:r>
        <w:t xml:space="preserve">”</w:t>
      </w:r>
      <w:r>
        <w:t xml:space="preserve">). Non-inventory/inventory items are mislabeled in QBO.</w:t>
      </w:r>
      <w:r>
        <w:t xml:space="preserve"> </w:t>
      </w:r>
      <w:r>
        <w:rPr>
          <w:i/>
        </w:rPr>
        <w:t xml:space="preserve">Remediation: restore the code-prefix branch and map to the correct QBO Type.</w:t>
      </w:r>
      <w:r>
        <w:t xml:space="preserve"> </w:t>
      </w:r>
      <w:r>
        <w:t xml:space="preserve">2.</w:t>
      </w:r>
      <w:r>
        <w:t xml:space="preserve"> </w:t>
      </w:r>
      <w:r>
        <w:rPr>
          <w:b/>
        </w:rPr>
        <w:t xml:space="preserve">Income account hardcoded to</w:t>
      </w:r>
      <w:r>
        <w:rPr>
          <w:b/>
        </w:rPr>
        <w:t xml:space="preserve"> </w:t>
      </w:r>
      <w:r>
        <w:rPr>
          <w:rStyle w:val="VerbatimChar"/>
          <w:b/>
        </w:rPr>
        <w:t xml:space="preserve">389</w:t>
      </w:r>
      <w:r>
        <w:t xml:space="preserve"> </w:t>
      </w:r>
      <w:r>
        <w:t xml:space="preserve">and</w:t>
      </w:r>
      <w:r>
        <w:t xml:space="preserve"> </w:t>
      </w:r>
      <w:r>
        <w:rPr>
          <w:b/>
        </w:rPr>
        <w:t xml:space="preserve">no</w:t>
      </w:r>
      <w:r>
        <w:rPr>
          <w:b/>
        </w:rPr>
        <w:t xml:space="preserve"> </w:t>
      </w:r>
      <w:r>
        <w:rPr>
          <w:rStyle w:val="VerbatimChar"/>
          <w:b/>
        </w:rPr>
        <w:t xml:space="preserve">ExpenseAccountRef</w:t>
      </w:r>
      <w:r>
        <w:t xml:space="preserve"> </w:t>
      </w:r>
      <w:r>
        <w:t xml:space="preserve">sent. This was a deliberate expedient: when the sync was first built, QBO account structure was not yet well understood and the priority was to ship a working pipeline.</w:t>
      </w:r>
      <w:r>
        <w:t xml:space="preserve"> </w:t>
      </w:r>
      <w:r>
        <w:rPr>
          <w:i/>
        </w:rPr>
        <w:t xml:space="preserve">Remediation is a project, not a one-line change:</w:t>
      </w:r>
      <w:r>
        <w:t xml:space="preserve"> </w:t>
      </w:r>
      <w:r>
        <w:t xml:space="preserve">it requires reviewing the QBO</w:t>
      </w:r>
      <w:r>
        <w:t xml:space="preserve"> </w:t>
      </w:r>
      <w:r>
        <w:rPr>
          <w:b/>
        </w:rPr>
        <w:t xml:space="preserve">chart of accounts</w:t>
      </w:r>
      <w:r>
        <w:t xml:space="preserve"> </w:t>
      </w:r>
      <w:r>
        <w:t xml:space="preserve">(and adding accounts where necessary), then building an item-category → income/expense-account mapping.</w:t>
      </w:r>
      <w:r>
        <w:t xml:space="preserve"> </w:t>
      </w:r>
      <w:r>
        <w:rPr>
          <w:b/>
        </w:rPr>
        <w:t xml:space="preserve">Critical constraint:</w:t>
      </w:r>
      <w:r>
        <w:t xml:space="preserve"> </w:t>
      </w:r>
      <w:r>
        <w:t xml:space="preserve">any such mapping change must be rolled out carefully so it does</w:t>
      </w:r>
      <w:r>
        <w:t xml:space="preserve"> </w:t>
      </w:r>
      <w:r>
        <w:rPr>
          <w:b/>
        </w:rPr>
        <w:t xml:space="preserve">not</w:t>
      </w:r>
      <w:r>
        <w:t xml:space="preserve"> </w:t>
      </w:r>
      <w:r>
        <w:t xml:space="preserve">break connectivity between the three applications (Quoter ↔ QBO ↔ Pipedrive) — a changed or invalid account reference can cause SyncQ posts to fail. Treat this as a scoped, tested change with a rollback path, not an in-place edit. As an interim step, at least drive the accounts from the documented</w:t>
      </w:r>
      <w:r>
        <w:t xml:space="preserve"> </w:t>
      </w:r>
      <w:r>
        <w:rPr>
          <w:rStyle w:val="VerbatimChar"/>
        </w:rPr>
        <w:t xml:space="preserve">QBO_INCOME_ACCOUNT_ID</w:t>
      </w:r>
      <w:r>
        <w:t xml:space="preserve"> </w:t>
      </w:r>
      <w:r>
        <w:t xml:space="preserve">/</w:t>
      </w:r>
      <w:r>
        <w:t xml:space="preserve"> </w:t>
      </w:r>
      <w:r>
        <w:rPr>
          <w:rStyle w:val="VerbatimChar"/>
        </w:rPr>
        <w:t xml:space="preserve">QBO_EXPENSE_ACCOUNT_ID</w:t>
      </w:r>
      <w:r>
        <w:t xml:space="preserve"> </w:t>
      </w:r>
      <w:r>
        <w:t xml:space="preserve">env vars instead of a literal.</w:t>
      </w:r>
      <w:r>
        <w:t xml:space="preserve"> </w:t>
      </w:r>
      <w:r>
        <w:t xml:space="preserve">3.</w:t>
      </w:r>
      <w:r>
        <w:t xml:space="preserve"> </w:t>
      </w:r>
      <w:r>
        <w:rPr>
          <w:b/>
        </w:rPr>
        <w:t xml:space="preserve">Dead duplicate</w:t>
      </w:r>
      <w:r>
        <w:rPr>
          <w:b/>
        </w:rPr>
        <w:t xml:space="preserve"> </w:t>
      </w:r>
      <w:r>
        <w:rPr>
          <w:rStyle w:val="VerbatimChar"/>
          <w:b/>
        </w:rPr>
        <w:t xml:space="preserve">convert_quoter_to_qbo_item</w:t>
      </w:r>
      <w:r>
        <w:t xml:space="preserve"> </w:t>
      </w:r>
      <w:r>
        <w:t xml:space="preserve">— a second definition (Inventory type, env-var accounts, no SKU) that matches the docs but is never called.</w:t>
      </w:r>
      <w:r>
        <w:t xml:space="preserve"> </w:t>
      </w:r>
      <w:r>
        <w:rPr>
          <w:i/>
        </w:rPr>
        <w:t xml:space="preserve">Remediation: delete the dead function to remove the doc/behavior contradiction.</w:t>
      </w:r>
      <w:r>
        <w:t xml:space="preserve"> </w:t>
      </w:r>
      <w:r>
        <w:t xml:space="preserve">4.</w:t>
      </w:r>
      <w:r>
        <w:t xml:space="preserve"> </w:t>
      </w:r>
      <w:r>
        <w:rPr>
          <w:b/>
        </w:rPr>
        <w:t xml:space="preserve">QBO items created flat</w:t>
      </w:r>
      <w:r>
        <w:t xml:space="preserve"> </w:t>
      </w:r>
      <w:r>
        <w:t xml:space="preserve">— computed category hierarchy is never written.</w:t>
      </w:r>
      <w:r>
        <w:t xml:space="preserve"> </w:t>
      </w:r>
      <w:r>
        <w:rPr>
          <w:i/>
        </w:rPr>
        <w:t xml:space="preserve">Remediation: set</w:t>
      </w:r>
      <w:r>
        <w:rPr>
          <w:i/>
        </w:rPr>
        <w:t xml:space="preserve"> </w:t>
      </w:r>
      <w:r>
        <w:rPr>
          <w:rStyle w:val="VerbatimChar"/>
          <w:i/>
        </w:rPr>
        <w:t xml:space="preserve">FullyQualifiedName</w:t>
      </w:r>
      <w:r>
        <w:rPr>
          <w:i/>
        </w:rPr>
        <w:t xml:space="preserve"> </w:t>
      </w:r>
      <w:r>
        <w:rPr>
          <w:i/>
        </w:rPr>
        <w:t xml:space="preserve">/ parent reference if hierarchy is required in QBO.</w:t>
      </w:r>
      <w:r>
        <w:t xml:space="preserve"> </w:t>
      </w:r>
      <w:r>
        <w:t xml:space="preserve">5.</w:t>
      </w:r>
      <w:r>
        <w:t xml:space="preserve"> </w:t>
      </w:r>
      <w:r>
        <w:rPr>
          <w:b/>
        </w:rPr>
        <w:t xml:space="preserve">Create-path sends Sync = Yes in one POST</w:t>
      </w:r>
      <w:r>
        <w:t xml:space="preserve"> </w:t>
      </w:r>
      <w:r>
        <w:t xml:space="preserve">(vs. the deferred two-step on the update path) — possible premature SyncQ trigger.</w:t>
      </w:r>
      <w:r>
        <w:t xml:space="preserve"> </w:t>
      </w:r>
      <w:r>
        <w:rPr>
          <w:i/>
        </w:rPr>
        <w:t xml:space="preserve">Remediation: defer Sync = Yes on create as well.</w:t>
      </w:r>
      <w:r>
        <w:t xml:space="preserve"> </w:t>
      </w:r>
      <w:r>
        <w:t xml:space="preserve">6.</w:t>
      </w:r>
      <w:r>
        <w:t xml:space="preserve"> </w:t>
      </w:r>
      <w:r>
        <w:rPr>
          <w:rStyle w:val="VerbatimChar"/>
          <w:b/>
        </w:rPr>
        <w:t xml:space="preserve">main()</w:t>
      </w:r>
      <w:r>
        <w:rPr>
          <w:b/>
        </w:rPr>
        <w:t xml:space="preserve"> </w:t>
      </w:r>
      <w:r>
        <w:rPr>
          <w:b/>
        </w:rPr>
        <w:t xml:space="preserve">runs live (</w:t>
      </w:r>
      <w:r>
        <w:rPr>
          <w:rStyle w:val="VerbatimChar"/>
          <w:b/>
        </w:rPr>
        <w:t xml:space="preserve">dry_run=False</w:t>
      </w:r>
      <w:r>
        <w:rPr>
          <w:b/>
        </w:rPr>
        <w:t xml:space="preserve">)</w:t>
      </w:r>
      <w:r>
        <w:t xml:space="preserve"> </w:t>
      </w:r>
      <w:r>
        <w:t xml:space="preserve">despite advertising a safe dry-run mode.</w:t>
      </w:r>
      <w:r>
        <w:t xml:space="preserve"> </w:t>
      </w:r>
      <w:r>
        <w:rPr>
          <w:i/>
        </w:rPr>
        <w:t xml:space="preserve">Remediation: gate live writes behind an explicit flag.</w:t>
      </w:r>
    </w:p>
    <w:p>
      <w:pPr>
        <w:pStyle w:val="BodyText"/>
      </w:pPr>
      <w:r>
        <w:rPr>
          <w:b/>
        </w:rPr>
        <w:t xml:space="preserve">Operational (from the team; not evidenced in code — confirm) [ops]:</w:t>
      </w:r>
      <w:r>
        <w:t xml:space="preserve"> </w:t>
      </w:r>
      <w:r>
        <w:t xml:space="preserve">7.</w:t>
      </w:r>
      <w:r>
        <w:t xml:space="preserve"> </w:t>
      </w:r>
      <w:r>
        <w:rPr>
          <w:b/>
        </w:rPr>
        <w:t xml:space="preserve">QBO item-ID drift</w:t>
      </w:r>
      <w:r>
        <w:t xml:space="preserve"> </w:t>
      </w:r>
      <w:r>
        <w:t xml:space="preserve">(newer IDs are long alphanumeric strings while older ones are numeric, breaking numeric-ID assumptions).</w:t>
      </w:r>
      <w:r>
        <w:t xml:space="preserve"> </w:t>
      </w:r>
      <w:r>
        <w:rPr>
          <w:i/>
        </w:rPr>
        <w:t xml:space="preserve">No numeric-ID assumption for QBO items was found in the current code; the only numeric-ID rule in the repo applies to Pipedrive</w:t>
      </w:r>
      <w:r>
        <w:rPr>
          <w:i/>
        </w:rPr>
        <w:t xml:space="preserve"> </w:t>
      </w:r>
      <w:r>
        <w:rPr>
          <w:b/>
          <w:i/>
        </w:rPr>
        <w:t xml:space="preserve">Deal</w:t>
      </w:r>
      <w:r>
        <w:rPr>
          <w:i/>
        </w:rPr>
        <w:t xml:space="preserve"> </w:t>
      </w:r>
      <w:r>
        <w:rPr>
          <w:i/>
        </w:rPr>
        <w:t xml:space="preserve">IDs. Confirm whether this still affects any live process.</w:t>
      </w:r>
      <w:r>
        <w:t xml:space="preserve"> </w:t>
      </w:r>
      <w:r>
        <w:t xml:space="preserve">8.</w:t>
      </w:r>
      <w:r>
        <w:t xml:space="preserve"> </w:t>
      </w:r>
      <w:r>
        <w:rPr>
          <w:b/>
        </w:rPr>
        <w:t xml:space="preserve">SyncQ</w:t>
      </w:r>
      <w:r>
        <w:rPr>
          <w:b/>
        </w:rPr>
        <w:t xml:space="preserve"> </w:t>
      </w:r>
      <w:r>
        <w:rPr>
          <w:b/>
        </w:rPr>
        <w:t xml:space="preserve">“</w:t>
      </w:r>
      <w:r>
        <w:rPr>
          <w:b/>
        </w:rPr>
        <w:t xml:space="preserve">Line is missing</w:t>
      </w:r>
      <w:r>
        <w:rPr>
          <w:b/>
        </w:rPr>
        <w:t xml:space="preserve">”</w:t>
      </w:r>
      <w:r>
        <w:rPr>
          <w:b/>
        </w:rPr>
        <w:t xml:space="preserve"> </w:t>
      </w:r>
      <w:r>
        <w:rPr>
          <w:b/>
        </w:rPr>
        <w:t xml:space="preserve">race</w:t>
      </w:r>
      <w:r>
        <w:t xml:space="preserve"> </w:t>
      </w:r>
      <w:r>
        <w:t xml:space="preserve">and the</w:t>
      </w:r>
      <w:r>
        <w:t xml:space="preserve"> </w:t>
      </w:r>
      <w:r>
        <w:rPr>
          <w:b/>
        </w:rPr>
        <w:t xml:space="preserve">toggle Sync No→Yes</w:t>
      </w:r>
      <w:r>
        <w:t xml:space="preserve"> </w:t>
      </w:r>
      <w:r>
        <w:t xml:space="preserve">workaround.</w:t>
      </w:r>
      <w:r>
        <w:t xml:space="preserve"> </w:t>
      </w:r>
      <w:r>
        <w:rPr>
          <w:i/>
        </w:rPr>
        <w:t xml:space="preserve">The repo documents a</w:t>
      </w:r>
      <w:r>
        <w:rPr>
          <w:i/>
        </w:rPr>
        <w:t xml:space="preserve"> </w:t>
      </w:r>
      <w:r>
        <w:rPr>
          <w:i/>
        </w:rPr>
        <w:t xml:space="preserve">“</w:t>
      </w:r>
      <w:r>
        <w:rPr>
          <w:i/>
        </w:rPr>
        <w:t xml:space="preserve">Required parameter Line is missing</w:t>
      </w:r>
      <w:r>
        <w:rPr>
          <w:i/>
        </w:rPr>
        <w:t xml:space="preserve">”</w:t>
      </w:r>
      <w:r>
        <w:rPr>
          <w:i/>
        </w:rPr>
        <w:t xml:space="preserve"> </w:t>
      </w:r>
      <w:r>
        <w:rPr>
          <w:i/>
        </w:rPr>
        <w:t xml:space="preserve">error, but its documented cause/fix is removing optional phone/email mappings and it concerns the</w:t>
      </w:r>
      <w:r>
        <w:rPr>
          <w:i/>
        </w:rPr>
        <w:t xml:space="preserve"> </w:t>
      </w:r>
      <w:r>
        <w:rPr>
          <w:b/>
          <w:i/>
        </w:rPr>
        <w:t xml:space="preserve">customer/organization</w:t>
      </w:r>
      <w:r>
        <w:rPr>
          <w:i/>
        </w:rPr>
        <w:t xml:space="preserve"> </w:t>
      </w:r>
      <w:r>
        <w:rPr>
          <w:i/>
        </w:rPr>
        <w:t xml:space="preserve">sync (Section 1), not item sync. No</w:t>
      </w:r>
      <w:r>
        <w:rPr>
          <w:i/>
        </w:rPr>
        <w:t xml:space="preserve"> </w:t>
      </w:r>
      <w:r>
        <w:rPr>
          <w:i/>
        </w:rPr>
        <w:t xml:space="preserve">“</w:t>
      </w:r>
      <w:r>
        <w:rPr>
          <w:i/>
        </w:rPr>
        <w:t xml:space="preserve">Sync No</w:t>
      </w:r>
      <w:r>
        <w:rPr>
          <w:i/>
        </w:rPr>
        <w:t xml:space="preserve">”</w:t>
      </w:r>
      <w:r>
        <w:rPr>
          <w:i/>
        </w:rPr>
        <w:t xml:space="preserve">,</w:t>
      </w:r>
      <w:r>
        <w:rPr>
          <w:i/>
        </w:rPr>
        <w:t xml:space="preserve"> </w:t>
      </w:r>
      <w:r>
        <w:rPr>
          <w:i/>
        </w:rPr>
        <w:t xml:space="preserve">“</w:t>
      </w:r>
      <w:r>
        <w:rPr>
          <w:i/>
        </w:rPr>
        <w:t xml:space="preserve">toggle</w:t>
      </w:r>
      <w:r>
        <w:rPr>
          <w:i/>
        </w:rPr>
        <w:t xml:space="preserve">”</w:t>
      </w:r>
      <w:r>
        <w:rPr>
          <w:i/>
        </w:rPr>
        <w:t xml:space="preserve">, or reset option exists in the code. Confirm whether the item-side race/toggle is real and, if so, capture it.</w:t>
      </w:r>
      <w:r>
        <w:t xml:space="preserve"> </w:t>
      </w:r>
      <w:r>
        <w:t xml:space="preserve">9.</w:t>
      </w:r>
      <w:r>
        <w:t xml:space="preserve"> </w:t>
      </w:r>
      <w:r>
        <w:rPr>
          <w:b/>
        </w:rPr>
        <w:t xml:space="preserve">QBO 3-custom-field API cap</w:t>
      </w:r>
      <w:r>
        <w:t xml:space="preserve"> </w:t>
      </w:r>
      <w:r>
        <w:t xml:space="preserve">(inactive fields still counting).</w:t>
      </w:r>
      <w:r>
        <w:t xml:space="preserve"> </w:t>
      </w:r>
      <w:r>
        <w:rPr>
          <w:i/>
        </w:rPr>
        <w:t xml:space="preserve">Not referenced anywhere in code or docs. Confirm and document if live.</w:t>
      </w:r>
    </w:p>
    <w:p>
      <w:pPr>
        <w:pStyle w:val="BodyText"/>
      </w:pPr>
      <w:r>
        <w:rPr>
          <w:b/>
        </w:rPr>
        <w:t xml:space="preserve">Architectural (verified/ops):</w:t>
      </w:r>
      <w:r>
        <w:t xml:space="preserve"> </w:t>
      </w:r>
      <w:r>
        <w:t xml:space="preserve">10.</w:t>
      </w:r>
      <w:r>
        <w:t xml:space="preserve"> </w:t>
      </w:r>
      <w:r>
        <w:rPr>
          <w:b/>
        </w:rPr>
        <w:t xml:space="preserve">SyncQ carries only partial data</w:t>
      </w:r>
      <w:r>
        <w:t xml:space="preserve"> </w:t>
      </w:r>
      <w:r>
        <w:t xml:space="preserve">across QBO↔PD, which is the reason the direct Quoter→PD sync exists. Retire that sync only after SyncQ’s QBO→PD direction is proven complete.</w:t>
      </w:r>
      <w:r>
        <w:t xml:space="preserve"> </w:t>
      </w:r>
      <w:r>
        <w:rPr>
          <w:b/>
        </w:rPr>
        <w:t xml:space="preserve">[ops]</w:t>
      </w:r>
    </w:p>
    <w:p>
      <w:r>
        <w:pict>
          <v:rect style="width:0;height:1.5pt" o:hralign="center" o:hrstd="t" o:hr="t"/>
        </w:pict>
      </w:r>
    </w:p>
    <w:p>
      <w:pPr>
        <w:pStyle w:val="Heading3"/>
      </w:pPr>
      <w:bookmarkStart w:id="38" w:name="integration-points-with-other-sections"/>
      <w:r>
        <w:t xml:space="preserve">3.9 Integration points with other sections</w:t>
      </w:r>
      <w:bookmarkEnd w:id="38"/>
    </w:p>
    <w:p>
      <w:pPr>
        <w:numPr>
          <w:ilvl w:val="0"/>
          <w:numId w:val="1005"/>
        </w:numPr>
        <w:pStyle w:val="Compact"/>
      </w:pPr>
      <w:r>
        <w:rPr>
          <w:b/>
        </w:rPr>
        <w:t xml:space="preserve">Section 1 (Customer/Org spine):</w:t>
      </w:r>
      <w:r>
        <w:t xml:space="preserve"> </w:t>
      </w:r>
      <w:r>
        <w:t xml:space="preserve">the QBO↔PD reconciliation via SyncQ is the same mechanism §1 relies on for customers/sub-customers; the</w:t>
      </w:r>
      <w:r>
        <w:t xml:space="preserve"> </w:t>
      </w:r>
      <w:r>
        <w:t xml:space="preserve">“</w:t>
      </w:r>
      <w:r>
        <w:t xml:space="preserve">Line is missing</w:t>
      </w:r>
      <w:r>
        <w:t xml:space="preserve">”</w:t>
      </w:r>
      <w:r>
        <w:t xml:space="preserve"> </w:t>
      </w:r>
      <w:r>
        <w:t xml:space="preserve">fix documented in-repo belongs to that customer path. The products path is</w:t>
      </w:r>
      <w:r>
        <w:t xml:space="preserve"> </w:t>
      </w:r>
      <w:r>
        <w:rPr>
          <w:b/>
        </w:rPr>
        <w:t xml:space="preserve">one-way out of Quoter</w:t>
      </w:r>
      <w:r>
        <w:t xml:space="preserve"> </w:t>
      </w:r>
      <w:r>
        <w:t xml:space="preserve">on the seeding legs; the customer path is bi-directional and Pipedrive-initiated.</w:t>
      </w:r>
    </w:p>
    <w:p>
      <w:pPr>
        <w:numPr>
          <w:ilvl w:val="0"/>
          <w:numId w:val="1005"/>
        </w:numPr>
        <w:pStyle w:val="Compact"/>
      </w:pPr>
      <w:r>
        <w:rPr>
          <w:b/>
        </w:rPr>
        <w:t xml:space="preserve">Section 4 (Quote Building):</w:t>
      </w:r>
      <w:r>
        <w:t xml:space="preserve"> </w:t>
      </w:r>
      <w:r>
        <w:t xml:space="preserve">the item structure defined here is what quotes assemble. The</w:t>
      </w:r>
      <w:r>
        <w:t xml:space="preserve"> </w:t>
      </w:r>
      <w:r>
        <w:rPr>
          <w:b/>
        </w:rPr>
        <w:t xml:space="preserve">native Quoter→QBO estimate creation</w:t>
      </w:r>
      <w:r>
        <w:t xml:space="preserve"> </w:t>
      </w:r>
      <w:r>
        <w:t xml:space="preserve">is a §4 mechanism; it is referenced here only because it incidentally creates QBO items.</w:t>
      </w:r>
    </w:p>
    <w:p>
      <w:pPr>
        <w:numPr>
          <w:ilvl w:val="0"/>
          <w:numId w:val="1005"/>
        </w:numPr>
        <w:pStyle w:val="Compact"/>
      </w:pPr>
      <w:r>
        <w:rPr>
          <w:b/>
        </w:rPr>
        <w:t xml:space="preserve">Section 7 (Monitoring/Fragilities):</w:t>
      </w:r>
      <w:r>
        <w:t xml:space="preserve"> </w:t>
      </w:r>
      <w:r>
        <w:t xml:space="preserve">the</w:t>
      </w:r>
      <w:r>
        <w:t xml:space="preserve"> </w:t>
      </w:r>
      <w:r>
        <w:rPr>
          <w:rStyle w:val="VerbatimChar"/>
        </w:rPr>
        <w:t xml:space="preserve">DAILY_PRODUCT_ITEM_REPORT</w:t>
      </w:r>
      <w:r>
        <w:t xml:space="preserve"> </w:t>
      </w:r>
      <w:r>
        <w:t xml:space="preserve">cross-checks Quoter items against PD products (</w:t>
      </w:r>
      <w:r>
        <w:rPr>
          <w:rStyle w:val="VerbatimChar"/>
        </w:rPr>
        <w:t xml:space="preserve">Quoter sku = PD id</w:t>
      </w:r>
      <w:r>
        <w:t xml:space="preserve">) and QBO items (by name) each day; item-sync fragilities (3.8) are tracked there.</w:t>
      </w:r>
    </w:p>
    <w:p>
      <w:r>
        <w:pict>
          <v:rect style="width:0;height:1.5pt" o:hralign="center" o:hrstd="t" o:hr="t"/>
        </w:pict>
      </w:r>
    </w:p>
    <w:p>
      <w:pPr>
        <w:pStyle w:val="Heading3"/>
      </w:pPr>
      <w:bookmarkStart w:id="39" w:name="open-items-to-close-this-section"/>
      <w:r>
        <w:t xml:space="preserve">3.10 Open items to close this section</w:t>
      </w:r>
      <w:bookmarkEnd w:id="39"/>
    </w:p>
    <w:p>
      <w:pPr>
        <w:numPr>
          <w:ilvl w:val="0"/>
          <w:numId w:val="1006"/>
        </w:numPr>
        <w:pStyle w:val="Compact"/>
      </w:pPr>
      <w:r>
        <w:t xml:space="preserve">Confirm the</w:t>
      </w:r>
      <w:r>
        <w:t xml:space="preserve"> </w:t>
      </w:r>
      <w:r>
        <w:rPr>
          <w:b/>
        </w:rPr>
        <w:t xml:space="preserve">native Quoter↔QBO integration is currently enabled</w:t>
      </w:r>
      <w:r>
        <w:t xml:space="preserve"> </w:t>
      </w:r>
      <w:r>
        <w:t xml:space="preserve">in the Quoter account.</w:t>
      </w:r>
    </w:p>
    <w:p>
      <w:pPr>
        <w:numPr>
          <w:ilvl w:val="0"/>
          <w:numId w:val="1006"/>
        </w:numPr>
        <w:pStyle w:val="Compact"/>
      </w:pPr>
      <w:r>
        <w:t xml:space="preserve">Confirm/deny operational fragilities 7–9 (item-ID drift, item-side Sync toggle, 3-field cap).</w:t>
      </w:r>
    </w:p>
    <w:p>
      <w:pPr>
        <w:numPr>
          <w:ilvl w:val="0"/>
          <w:numId w:val="1006"/>
        </w:numPr>
        <w:pStyle w:val="Compact"/>
      </w:pPr>
      <w:r>
        <w:rPr>
          <w:b/>
        </w:rPr>
        <w:t xml:space="preserve">Scope the chart-of-accounts mapping project</w:t>
      </w:r>
      <w:r>
        <w:t xml:space="preserve"> </w:t>
      </w:r>
      <w:r>
        <w:t xml:space="preserve">(risk #2): review/extend the QBO chart of accounts and design a category→account mapping, with an explicit test-and-rollback plan to protect the three-way connectivity before any change to account references.</w:t>
      </w:r>
    </w:p>
    <w:p>
      <w:pPr>
        <w:numPr>
          <w:ilvl w:val="0"/>
          <w:numId w:val="1006"/>
        </w:numPr>
        <w:pStyle w:val="Compact"/>
      </w:pPr>
      <w:r>
        <w:rPr>
          <w:b/>
        </w:rPr>
        <w:t xml:space="preserve">Clarify potential Quoter→QBO overlap:</w:t>
      </w:r>
      <w:r>
        <w:t xml:space="preserve"> </w:t>
      </w:r>
      <w:r>
        <w:t xml:space="preserve">since SyncQ maps Products→Item (PD→QBO), determine whether</w:t>
      </w:r>
      <w:r>
        <w:t xml:space="preserve"> </w:t>
      </w:r>
      <w:r>
        <w:rPr>
          <w:rStyle w:val="VerbatimChar"/>
        </w:rPr>
        <w:t xml:space="preserve">quoter_to_qbo_sync.py</w:t>
      </w:r>
      <w:r>
        <w:t xml:space="preserve"> </w:t>
      </w:r>
      <w:r>
        <w:t xml:space="preserve">still needs to create items directly, or whether its remaining unique job is purely setting the income/expense accounts SyncQ cannot. Decide which mechanism is authoritative for item creation to avoid double-creation.</w:t>
      </w:r>
    </w:p>
    <w:p>
      <w:pPr>
        <w:pStyle w:val="FirstParagraph"/>
      </w:pPr>
      <w:r>
        <w:rPr>
          <w:b/>
        </w:rPr>
        <w:t xml:space="preserve">Resolved during review:</w:t>
      </w:r>
      <w:r>
        <w:t xml:space="preserve"> </w:t>
      </w:r>
      <w:r>
        <w:t xml:space="preserve">- SyncQ PD→QBO field mapping confirmed from the SyncQ dashboard — see §3.4.3.</w:t>
      </w:r>
      <w:r>
        <w:t xml:space="preserve"> </w:t>
      </w:r>
      <w:r>
        <w:t xml:space="preserve">-</w:t>
      </w:r>
      <w:r>
        <w:t xml:space="preserve"> </w:t>
      </w:r>
      <w:r>
        <w:rPr>
          <w:rStyle w:val="VerbatimChar"/>
        </w:rPr>
        <w:t xml:space="preserve">LQ-####</w:t>
      </w:r>
      <w:r>
        <w:t xml:space="preserve"> </w:t>
      </w:r>
      <w:r>
        <w:t xml:space="preserve">/</w:t>
      </w:r>
      <w:r>
        <w:t xml:space="preserve"> </w:t>
      </w:r>
      <w:r>
        <w:rPr>
          <w:rStyle w:val="VerbatimChar"/>
        </w:rPr>
        <w:t xml:space="preserve">LQB-####</w:t>
      </w:r>
      <w:r>
        <w:t xml:space="preserve"> </w:t>
      </w:r>
      <w:r>
        <w:t xml:space="preserve">identified as SyncQ mapping IDs — see §3.7.</w:t>
      </w:r>
      <w:r>
        <w:t xml:space="preserve"> </w:t>
      </w:r>
      <w:r>
        <w:t xml:space="preserve">- Confirmed SyncQ does</w:t>
      </w:r>
      <w:r>
        <w:t xml:space="preserve"> </w:t>
      </w:r>
      <w:r>
        <w:rPr>
          <w:b/>
        </w:rPr>
        <w:t xml:space="preserve">not</w:t>
      </w:r>
      <w:r>
        <w:t xml:space="preserve"> </w:t>
      </w:r>
      <w:r>
        <w:t xml:space="preserve">map income/expense accounts — see §3.4.3.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2026-07-23T01:03:32Z</dcterms:created>
  <dcterms:modified xsi:type="dcterms:W3CDTF">2026-07-23T01:03:32Z</dcterms:modified>
</cp:coreProperties>
</file>

<file path=docProps/custom.xml><?xml version="1.0" encoding="utf-8"?>
<Properties xmlns="http://schemas.openxmlformats.org/officeDocument/2006/custom-properties" xmlns:vt="http://schemas.openxmlformats.org/officeDocument/2006/docPropsVTypes"/>
</file>