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300270A2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68A7B81D" w14:textId="338FDDB8" w:rsidR="007B47A4" w:rsidRDefault="007B47A4" w:rsidP="00BE1139">
      <w:pPr>
        <w:jc w:val="both"/>
      </w:pPr>
    </w:p>
    <w:p w14:paraId="3139A2BA" w14:textId="58A7B65B" w:rsidR="007B47A4" w:rsidRDefault="007B47A4" w:rsidP="00BE1139">
      <w:pPr>
        <w:jc w:val="both"/>
      </w:pPr>
      <w:r>
        <w:tab/>
        <w:t xml:space="preserve">Autocorrelation: 0.99 </w:t>
      </w:r>
    </w:p>
    <w:p w14:paraId="350BB69F" w14:textId="16FCE84C" w:rsidR="007B47A4" w:rsidRDefault="007B47A4" w:rsidP="00BE1139">
      <w:pPr>
        <w:jc w:val="both"/>
      </w:pPr>
      <w:r>
        <w:tab/>
        <w:t xml:space="preserve">E-folding timescale: 100.92 hours </w:t>
      </w:r>
    </w:p>
    <w:p w14:paraId="7F6876E9" w14:textId="47DBFC61" w:rsidR="007B47A4" w:rsidRDefault="007B47A4" w:rsidP="00BE1139">
      <w:pPr>
        <w:jc w:val="both"/>
      </w:pPr>
      <w:r>
        <w:tab/>
      </w:r>
    </w:p>
    <w:p w14:paraId="5D6DE782" w14:textId="24CB73DE" w:rsidR="007B47A4" w:rsidRPr="00566D1C" w:rsidRDefault="007B47A4" w:rsidP="00BE1139">
      <w:pPr>
        <w:jc w:val="both"/>
      </w:pPr>
      <w:r>
        <w:tab/>
        <w:t xml:space="preserve">We would expect to find spectral peaks at 1 day (24 hours) and 365 days. We hypothesize that the annual cycle (seasonal cycle) will have a larger peak amplitude compared to the daily (diurnal cycle). 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7842ED7E" w14:textId="747F28E0" w:rsidR="007B47A4" w:rsidRPr="007B47A4" w:rsidRDefault="007B47A4" w:rsidP="007B47A4">
      <w:pPr>
        <w:rPr>
          <w:rFonts w:ascii="Times New Roman" w:eastAsia="Times New Roman" w:hAnsi="Times New Roman" w:cs="Times New Roman"/>
        </w:rPr>
      </w:pPr>
      <w:r w:rsidRPr="007B47A4">
        <w:rPr>
          <w:b/>
          <w:noProof/>
        </w:rPr>
        <w:lastRenderedPageBreak/>
        <w:drawing>
          <wp:inline distT="0" distB="0" distL="0" distR="0" wp14:anchorId="00A94183" wp14:editId="514F911F">
            <wp:extent cx="5486400" cy="26035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D439" w14:textId="3F12590B" w:rsidR="00EE100F" w:rsidRPr="00BB3867" w:rsidRDefault="00BB3867" w:rsidP="00BE1139">
      <w:pPr>
        <w:jc w:val="both"/>
        <w:rPr>
          <w:bCs/>
        </w:rPr>
      </w:pPr>
      <w:r>
        <w:rPr>
          <w:bCs/>
        </w:rPr>
        <w:tab/>
        <w:t xml:space="preserve">The peak with the largest amplitude (explains the most variance) is the annual cycle with a peak period of 365 days. The diurnal cycle is also shown as a peak at 1 day but with less amplitude than the annual cycle. There are a few other significant spectral peaks (above 99% confidence level) at 0.99 days and 0.5 days but they explain a very small percent of variance in the data. We assessed the statistical significance by comparing the spectral peak to the red noise spectrum fitted to the data at the 99% confidence level. The null hypothesis that we are trying to reject is that the peak is only due to random fluctuations of a red-noise spectrum. </w:t>
      </w:r>
    </w:p>
    <w:p w14:paraId="5BBCE762" w14:textId="77777777" w:rsidR="00BB3867" w:rsidRDefault="00BB3867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04975A4A" w:rsidR="0034474A" w:rsidRPr="00BB3867" w:rsidRDefault="0034474A" w:rsidP="00BE1139">
      <w:pPr>
        <w:jc w:val="both"/>
        <w:rPr>
          <w:bCs/>
        </w:rPr>
      </w:pPr>
    </w:p>
    <w:p w14:paraId="3DE703DD" w14:textId="1A261D26" w:rsidR="00BB3867" w:rsidRPr="00BB3867" w:rsidRDefault="00BB3867" w:rsidP="00BB3867">
      <w:pPr>
        <w:rPr>
          <w:rFonts w:ascii="Times New Roman" w:eastAsia="Times New Roman" w:hAnsi="Times New Roman" w:cs="Times New Roman"/>
        </w:rPr>
      </w:pPr>
      <w:r w:rsidRPr="00BB386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4666EB" wp14:editId="4600721A">
            <wp:extent cx="5486400" cy="269684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96D2" w14:textId="77F7729C" w:rsidR="00BB3867" w:rsidRPr="00BB3867" w:rsidRDefault="00BB3867" w:rsidP="00BB3867">
      <w:pPr>
        <w:rPr>
          <w:rFonts w:ascii="Times New Roman" w:eastAsia="Times New Roman" w:hAnsi="Times New Roman" w:cs="Times New Roman"/>
        </w:rPr>
      </w:pPr>
      <w:r w:rsidRPr="00BB3867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1FC4A42" wp14:editId="0C6ACAEC">
            <wp:extent cx="5486400" cy="302196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1E0F" w14:textId="55CD19B3" w:rsidR="00BB3867" w:rsidRPr="00BB3867" w:rsidRDefault="002959FC" w:rsidP="00BB38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applying the </w:t>
      </w:r>
      <w:proofErr w:type="spellStart"/>
      <w:r>
        <w:rPr>
          <w:rFonts w:ascii="Times New Roman" w:eastAsia="Times New Roman" w:hAnsi="Times New Roman" w:cs="Times New Roman"/>
        </w:rPr>
        <w:t>Hanning</w:t>
      </w:r>
      <w:proofErr w:type="spellEnd"/>
      <w:r>
        <w:rPr>
          <w:rFonts w:ascii="Times New Roman" w:eastAsia="Times New Roman" w:hAnsi="Times New Roman" w:cs="Times New Roman"/>
        </w:rPr>
        <w:t xml:space="preserve"> window and the Boxcar window we do see the same peaks however the amplitude it slightly different. For the </w:t>
      </w:r>
      <w:proofErr w:type="spellStart"/>
      <w:r>
        <w:rPr>
          <w:rFonts w:ascii="Times New Roman" w:eastAsia="Times New Roman" w:hAnsi="Times New Roman" w:cs="Times New Roman"/>
        </w:rPr>
        <w:t>Hanning</w:t>
      </w:r>
      <w:proofErr w:type="spellEnd"/>
      <w:r>
        <w:rPr>
          <w:rFonts w:ascii="Times New Roman" w:eastAsia="Times New Roman" w:hAnsi="Times New Roman" w:cs="Times New Roman"/>
        </w:rPr>
        <w:t xml:space="preserve"> window, the amplitude is slightly </w:t>
      </w:r>
      <w:proofErr w:type="gramStart"/>
      <w:r>
        <w:rPr>
          <w:rFonts w:ascii="Times New Roman" w:eastAsia="Times New Roman" w:hAnsi="Times New Roman" w:cs="Times New Roman"/>
        </w:rPr>
        <w:t>smaller</w:t>
      </w:r>
      <w:proofErr w:type="gramEnd"/>
      <w:r>
        <w:rPr>
          <w:rFonts w:ascii="Times New Roman" w:eastAsia="Times New Roman" w:hAnsi="Times New Roman" w:cs="Times New Roman"/>
        </w:rPr>
        <w:t xml:space="preserve"> and the peak frequency has a broader window compared to the boxcar window. However, the boxcar window does seem to have a side lobe on the right side that is at the 99% significance level. This highlights the advantage of using a </w:t>
      </w:r>
      <w:proofErr w:type="spellStart"/>
      <w:r>
        <w:rPr>
          <w:rFonts w:ascii="Times New Roman" w:eastAsia="Times New Roman" w:hAnsi="Times New Roman" w:cs="Times New Roman"/>
        </w:rPr>
        <w:t>Hanning</w:t>
      </w:r>
      <w:proofErr w:type="spellEnd"/>
      <w:r>
        <w:rPr>
          <w:rFonts w:ascii="Times New Roman" w:eastAsia="Times New Roman" w:hAnsi="Times New Roman" w:cs="Times New Roman"/>
        </w:rPr>
        <w:t xml:space="preserve"> tapered window instead of a boxcar window. </w:t>
      </w:r>
    </w:p>
    <w:p w14:paraId="445C1A7F" w14:textId="49649F72" w:rsidR="00BB3867" w:rsidRPr="00BB3867" w:rsidRDefault="00BB3867" w:rsidP="00BB3867">
      <w:pPr>
        <w:rPr>
          <w:rFonts w:ascii="Times New Roman" w:eastAsia="Times New Roman" w:hAnsi="Times New Roman" w:cs="Times New Roman"/>
        </w:rPr>
      </w:pPr>
    </w:p>
    <w:p w14:paraId="0FA6F910" w14:textId="77777777" w:rsidR="00BB3867" w:rsidRDefault="00BB3867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385FD7D2" w:rsidR="00CC54D0" w:rsidRDefault="00CC54D0" w:rsidP="00BE1139">
      <w:pPr>
        <w:jc w:val="both"/>
        <w:rPr>
          <w:bCs/>
        </w:rPr>
      </w:pPr>
    </w:p>
    <w:p w14:paraId="4FE76D6D" w14:textId="7E498BA2" w:rsidR="002959FC" w:rsidRDefault="002959FC" w:rsidP="00BE1139">
      <w:pPr>
        <w:jc w:val="both"/>
        <w:rPr>
          <w:bCs/>
        </w:rPr>
      </w:pPr>
      <w:r>
        <w:rPr>
          <w:bCs/>
        </w:rPr>
        <w:t xml:space="preserve">For wind speed the main spectral peaks still occur at 365 days and 1 day but the annual cycle is now much smaller in amplitude compared to the daily/diurnal cycle. </w:t>
      </w:r>
    </w:p>
    <w:p w14:paraId="37D34059" w14:textId="77777777" w:rsidR="002959FC" w:rsidRPr="002959FC" w:rsidRDefault="002959FC" w:rsidP="00BE1139">
      <w:pPr>
        <w:jc w:val="both"/>
        <w:rPr>
          <w:bCs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lastRenderedPageBreak/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19C45654" w14:textId="42BA37D0" w:rsidR="000E60BA" w:rsidRPr="00BE118B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5526EBF5" w14:textId="3C7EE961" w:rsidR="00BE118B" w:rsidRPr="00BE118B" w:rsidRDefault="00BE118B" w:rsidP="00BE118B">
      <w:pPr>
        <w:rPr>
          <w:rFonts w:ascii="Times New Roman" w:eastAsia="Times New Roman" w:hAnsi="Times New Roman" w:cs="Times New Roman"/>
        </w:rPr>
      </w:pPr>
      <w:r w:rsidRPr="00BE118B">
        <w:rPr>
          <w:bCs/>
          <w:noProof/>
        </w:rPr>
        <w:drawing>
          <wp:inline distT="0" distB="0" distL="0" distR="0" wp14:anchorId="0AA41E31" wp14:editId="76D192C3">
            <wp:extent cx="4107766" cy="1879873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55" cy="19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2CAB" w14:textId="58813330" w:rsidR="00BE118B" w:rsidRPr="00BE118B" w:rsidRDefault="00BE118B" w:rsidP="00BE118B">
      <w:pPr>
        <w:rPr>
          <w:rFonts w:ascii="Times New Roman" w:eastAsia="Times New Roman" w:hAnsi="Times New Roman" w:cs="Times New Roman"/>
        </w:rPr>
      </w:pPr>
      <w:r w:rsidRPr="00BE118B">
        <w:rPr>
          <w:bCs/>
          <w:noProof/>
        </w:rPr>
        <w:drawing>
          <wp:inline distT="0" distB="0" distL="0" distR="0" wp14:anchorId="49D67E7A" wp14:editId="67A63B59">
            <wp:extent cx="4144344" cy="18707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60" cy="200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42E9" w14:textId="7FBAD7F6" w:rsidR="002F352D" w:rsidRPr="00566D1C" w:rsidRDefault="000E60BA" w:rsidP="00BE1139">
      <w:pPr>
        <w:jc w:val="both"/>
      </w:pPr>
      <w:r w:rsidRPr="00566D1C">
        <w:lastRenderedPageBreak/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6F3FA17E" w:rsidR="002F352D" w:rsidRDefault="002F352D" w:rsidP="00BE1139">
      <w:pPr>
        <w:jc w:val="both"/>
        <w:rPr>
          <w:bCs/>
        </w:rPr>
      </w:pPr>
    </w:p>
    <w:p w14:paraId="772348A5" w14:textId="7CC365F0" w:rsidR="00BE118B" w:rsidRDefault="00BE118B" w:rsidP="00BE1139">
      <w:pPr>
        <w:jc w:val="both"/>
        <w:rPr>
          <w:bCs/>
        </w:rPr>
      </w:pPr>
      <w:r>
        <w:rPr>
          <w:bCs/>
        </w:rPr>
        <w:t>Autocorrelation: 0.96</w:t>
      </w:r>
    </w:p>
    <w:p w14:paraId="6F2A9A27" w14:textId="5DF4F6A4" w:rsidR="00BE118B" w:rsidRDefault="00BE118B" w:rsidP="00BE1139">
      <w:pPr>
        <w:jc w:val="both"/>
        <w:rPr>
          <w:bCs/>
        </w:rPr>
      </w:pPr>
      <w:r>
        <w:rPr>
          <w:bCs/>
        </w:rPr>
        <w:t xml:space="preserve">E-folding timescale: 25,000 years </w:t>
      </w:r>
    </w:p>
    <w:p w14:paraId="5E4A4DB0" w14:textId="1DE33DF1" w:rsidR="00BE118B" w:rsidRDefault="00BE118B" w:rsidP="00BE1139">
      <w:pPr>
        <w:jc w:val="both"/>
        <w:rPr>
          <w:bCs/>
        </w:rPr>
      </w:pPr>
    </w:p>
    <w:p w14:paraId="31CBFAA1" w14:textId="6C07E280" w:rsidR="00BE118B" w:rsidRDefault="00BE118B" w:rsidP="00BE1139">
      <w:pPr>
        <w:jc w:val="both"/>
        <w:rPr>
          <w:bCs/>
        </w:rPr>
      </w:pPr>
      <w:r>
        <w:rPr>
          <w:bCs/>
        </w:rPr>
        <w:t xml:space="preserve">We expect to see peaks around the timescales of the Milankovitch cycles. Obliquity has the biggest impact on climate which would be a peak at 41,000 years. </w:t>
      </w:r>
    </w:p>
    <w:p w14:paraId="72BB7E25" w14:textId="77777777" w:rsidR="00BE118B" w:rsidRPr="00BE118B" w:rsidRDefault="00BE118B" w:rsidP="00BE1139">
      <w:pPr>
        <w:jc w:val="both"/>
        <w:rPr>
          <w:bCs/>
        </w:rPr>
      </w:pPr>
    </w:p>
    <w:p w14:paraId="591D1425" w14:textId="14493763" w:rsidR="00B74555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57DE8FFA" w14:textId="104660CF" w:rsidR="00F16CC0" w:rsidRDefault="00F16CC0" w:rsidP="00BE1139">
      <w:pPr>
        <w:jc w:val="both"/>
      </w:pPr>
    </w:p>
    <w:p w14:paraId="5B5731CA" w14:textId="707EBB00" w:rsidR="00F16CC0" w:rsidRPr="00F16CC0" w:rsidRDefault="00F16CC0" w:rsidP="00F16CC0">
      <w:pPr>
        <w:rPr>
          <w:rFonts w:ascii="Times New Roman" w:eastAsia="Times New Roman" w:hAnsi="Times New Roman" w:cs="Times New Roman"/>
        </w:rPr>
      </w:pPr>
      <w:r w:rsidRPr="00F16CC0">
        <w:rPr>
          <w:noProof/>
        </w:rPr>
        <w:drawing>
          <wp:inline distT="0" distB="0" distL="0" distR="0" wp14:anchorId="5E2C0F63" wp14:editId="7FE0DCAC">
            <wp:extent cx="5486400" cy="21691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A9C1" w14:textId="7DDEEC96" w:rsidR="00F16CC0" w:rsidRDefault="00F16CC0" w:rsidP="00F16CC0">
      <w:pPr>
        <w:pStyle w:val="ListParagraph"/>
        <w:numPr>
          <w:ilvl w:val="1"/>
          <w:numId w:val="2"/>
        </w:numPr>
        <w:jc w:val="both"/>
      </w:pPr>
      <w:r>
        <w:t>peak frequency: 100,328 years</w:t>
      </w:r>
    </w:p>
    <w:p w14:paraId="0D6885BA" w14:textId="25C00D01" w:rsidR="00F16CC0" w:rsidRDefault="00F16CC0" w:rsidP="00F16CC0">
      <w:pPr>
        <w:jc w:val="both"/>
      </w:pPr>
      <w:r>
        <w:t>0.025 peak frequency: 40,131 years</w:t>
      </w:r>
    </w:p>
    <w:p w14:paraId="53BF9A7B" w14:textId="4B460455" w:rsidR="00F16CC0" w:rsidRPr="00566D1C" w:rsidRDefault="00F16CC0" w:rsidP="00F16CC0">
      <w:pPr>
        <w:jc w:val="both"/>
      </w:pPr>
      <w:r>
        <w:t xml:space="preserve">0.0425 - 0.4375 peak frequency: 23,607- </w:t>
      </w:r>
      <w:r w:rsidR="00B21411">
        <w:t xml:space="preserve">22,932 years 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6FED001A" w14:textId="582107A5" w:rsidR="00D91995" w:rsidRDefault="00D91995" w:rsidP="00BE1139">
      <w:pPr>
        <w:jc w:val="both"/>
      </w:pPr>
    </w:p>
    <w:p w14:paraId="0E521108" w14:textId="432432AD" w:rsidR="00B21411" w:rsidRPr="00B21411" w:rsidRDefault="00B21411" w:rsidP="00B21411">
      <w:pPr>
        <w:rPr>
          <w:rFonts w:ascii="Times New Roman" w:eastAsia="Times New Roman" w:hAnsi="Times New Roman" w:cs="Times New Roman"/>
        </w:rPr>
      </w:pPr>
      <w:r w:rsidRPr="00B21411">
        <w:rPr>
          <w:noProof/>
        </w:rPr>
        <w:lastRenderedPageBreak/>
        <w:drawing>
          <wp:inline distT="0" distB="0" distL="0" distR="0" wp14:anchorId="56F4F46E" wp14:editId="2BAA6652">
            <wp:extent cx="5486400" cy="242443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2BD2" w14:textId="14F27169" w:rsidR="00B21411" w:rsidRDefault="00B21411" w:rsidP="00BE1139">
      <w:pPr>
        <w:jc w:val="both"/>
      </w:pPr>
      <w:r>
        <w:tab/>
        <w:t xml:space="preserve">For the </w:t>
      </w:r>
      <w:proofErr w:type="spellStart"/>
      <w:r>
        <w:t>Hanning</w:t>
      </w:r>
      <w:proofErr w:type="spellEnd"/>
      <w:r>
        <w:t xml:space="preserve"> window, the spectral peaks are broader, but we still see peaks at the same frequencies as for the Boxcar window. I think in general, the difference between the </w:t>
      </w:r>
      <w:proofErr w:type="spellStart"/>
      <w:r>
        <w:t>Hanning</w:t>
      </w:r>
      <w:proofErr w:type="spellEnd"/>
      <w:r>
        <w:t xml:space="preserve"> and Boxcar windows is the same for both datasets</w:t>
      </w:r>
      <w:r w:rsidR="008B2399">
        <w:t xml:space="preserve">.  Although, the temperature data showed very clear peaks using both the </w:t>
      </w:r>
      <w:proofErr w:type="spellStart"/>
      <w:r w:rsidR="008B2399">
        <w:t>Hanning</w:t>
      </w:r>
      <w:proofErr w:type="spellEnd"/>
      <w:r w:rsidR="008B2399">
        <w:t xml:space="preserve"> and Boxcar window, however, the Dome-C core temperature results show much broader peaks in the spectrum for the </w:t>
      </w:r>
      <w:proofErr w:type="spellStart"/>
      <w:r w:rsidR="008B2399">
        <w:t>Hanning</w:t>
      </w:r>
      <w:proofErr w:type="spellEnd"/>
      <w:r w:rsidR="008B2399">
        <w:t xml:space="preserve"> window. </w:t>
      </w:r>
      <w:r>
        <w:t xml:space="preserve"> </w:t>
      </w:r>
    </w:p>
    <w:p w14:paraId="79DC2BC0" w14:textId="77777777" w:rsidR="00B21411" w:rsidRPr="00566D1C" w:rsidRDefault="00B21411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56A7E43D" w14:textId="2655516D" w:rsidR="0098727D" w:rsidRPr="0098727D" w:rsidRDefault="0098727D" w:rsidP="0098727D">
      <w:pPr>
        <w:rPr>
          <w:rFonts w:ascii="Times New Roman" w:eastAsia="Times New Roman" w:hAnsi="Times New Roman" w:cs="Times New Roman"/>
        </w:rPr>
      </w:pPr>
      <w:r w:rsidRPr="0098727D">
        <w:rPr>
          <w:noProof/>
        </w:rPr>
        <w:drawing>
          <wp:inline distT="0" distB="0" distL="0" distR="0" wp14:anchorId="718000B4" wp14:editId="596C2F09">
            <wp:extent cx="5486400" cy="311658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507D" w14:textId="6B153BE4" w:rsidR="007F252B" w:rsidRDefault="007F252B" w:rsidP="00BE1139">
      <w:pPr>
        <w:jc w:val="both"/>
      </w:pPr>
    </w:p>
    <w:p w14:paraId="28A77FF5" w14:textId="1DCF24D8" w:rsidR="0098727D" w:rsidRDefault="0098727D" w:rsidP="00BE1139">
      <w:pPr>
        <w:jc w:val="both"/>
      </w:pPr>
      <w:r>
        <w:t xml:space="preserve">For a smaller window length, the spectral peaks become less clear and have less power, especially for the peaks at lower frequencies. This is likely because with a smaller window, it is more difficult to pick up the lower frequencies. </w:t>
      </w:r>
    </w:p>
    <w:p w14:paraId="2A675314" w14:textId="77777777" w:rsidR="0098727D" w:rsidRDefault="0098727D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3917668A" w:rsidR="00AD4415" w:rsidRDefault="00AD4415" w:rsidP="00BE1139">
      <w:pPr>
        <w:jc w:val="both"/>
        <w:rPr>
          <w:b/>
        </w:rPr>
      </w:pPr>
    </w:p>
    <w:p w14:paraId="1F5B0782" w14:textId="4D4FC3B8" w:rsidR="0098727D" w:rsidRPr="0098727D" w:rsidRDefault="0098727D" w:rsidP="0098727D">
      <w:pPr>
        <w:rPr>
          <w:rFonts w:ascii="Times New Roman" w:eastAsia="Times New Roman" w:hAnsi="Times New Roman" w:cs="Times New Roman"/>
        </w:rPr>
      </w:pPr>
      <w:r w:rsidRPr="0098727D">
        <w:rPr>
          <w:b/>
          <w:noProof/>
        </w:rPr>
        <w:drawing>
          <wp:inline distT="0" distB="0" distL="0" distR="0" wp14:anchorId="1FD09118" wp14:editId="0F833F13">
            <wp:extent cx="5486400" cy="181737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458D" w14:textId="63FA147B" w:rsidR="0098727D" w:rsidRPr="0098727D" w:rsidRDefault="0098727D" w:rsidP="0098727D">
      <w:pPr>
        <w:rPr>
          <w:rFonts w:ascii="Times New Roman" w:eastAsia="Times New Roman" w:hAnsi="Times New Roman" w:cs="Times New Roman"/>
        </w:rPr>
      </w:pPr>
      <w:r w:rsidRPr="0098727D">
        <w:rPr>
          <w:b/>
          <w:noProof/>
        </w:rPr>
        <w:drawing>
          <wp:inline distT="0" distB="0" distL="0" distR="0" wp14:anchorId="68619E56" wp14:editId="5FF56394">
            <wp:extent cx="5486400" cy="181737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BA6" w14:textId="630A1938" w:rsidR="0098727D" w:rsidRPr="0098727D" w:rsidRDefault="0098727D" w:rsidP="0098727D">
      <w:pPr>
        <w:jc w:val="both"/>
        <w:rPr>
          <w:bCs/>
        </w:rPr>
      </w:pPr>
      <w:r>
        <w:rPr>
          <w:bCs/>
        </w:rPr>
        <w:t xml:space="preserve">Using WOSA helps the peaks still appear even with a smaller window length. </w:t>
      </w:r>
      <w:r>
        <w:rPr>
          <w:bCs/>
        </w:rPr>
        <w:t xml:space="preserve">Although the red noise spectrum is much closer to the peaks, the significant peaks still are clearly visible and align with what we say for the full dataset. </w:t>
      </w:r>
    </w:p>
    <w:p w14:paraId="60DF71F3" w14:textId="77777777" w:rsidR="0098727D" w:rsidRDefault="0098727D" w:rsidP="00BE1139">
      <w:pPr>
        <w:jc w:val="both"/>
        <w:rPr>
          <w:b/>
        </w:rPr>
      </w:pPr>
    </w:p>
    <w:sectPr w:rsidR="0098727D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13E3"/>
    <w:multiLevelType w:val="hybridMultilevel"/>
    <w:tmpl w:val="E1762F5C"/>
    <w:lvl w:ilvl="0" w:tplc="B0D8DB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481"/>
    <w:multiLevelType w:val="multilevel"/>
    <w:tmpl w:val="D71E585E"/>
    <w:lvl w:ilvl="0"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59FC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47A4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2399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8727D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411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3867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18B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16CC0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Erin Guderian</cp:lastModifiedBy>
  <cp:revision>43</cp:revision>
  <dcterms:created xsi:type="dcterms:W3CDTF">2018-03-13T15:41:00Z</dcterms:created>
  <dcterms:modified xsi:type="dcterms:W3CDTF">2022-03-15T21:36:00Z</dcterms:modified>
</cp:coreProperties>
</file>