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ADKOUL — RRM TAHOUA</w:t>
        <w:br/>
        <w:t>Synthèse des entretiens informateurs clés (RRM Type 1)</w:t>
      </w:r>
    </w:p>
    <w:p>
      <w:pPr>
        <w:jc w:val="center"/>
      </w:pPr>
      <w:r>
        <w:rPr>
          <w:i/>
          <w:sz w:val="18"/>
        </w:rPr>
        <w:t>Mission conjointe d'appréciation RRM — Communes d'Illéla, Bagaroua et Tajaé | 18–19 juin 2026</w:t>
      </w:r>
    </w:p>
    <w:p>
      <w:pPr>
        <w:spacing w:after="40" w:before="80"/>
      </w:pPr>
      <w:r>
        <w:rPr>
          <w:b/>
          <w:color w:val="1F4E79"/>
          <w:sz w:val="26"/>
        </w:rPr>
        <w:t>1. Données quantitatives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6"/>
              </w:rPr>
              <w:t>Commune / Site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Profil IK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Part. (H/F)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Mén. PDI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Pers. PDI</w:t>
            </w:r>
          </w:p>
        </w:tc>
        <w:tc>
          <w:tcPr>
            <w:tcW w:type="dxa" w:w="1752"/>
          </w:tcPr>
          <w:p>
            <w:r>
              <w:rPr>
                <w:b/>
                <w:sz w:val="16"/>
              </w:rPr>
              <w:t>Retournés / Hôte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Bagaroua / Moov et bagaroua Centre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Service Protection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1/0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4000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8000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500 / —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Tajaé / Zourare sabara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Préfet/SG Mairie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1/0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102 / 20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Bagaroua / Bagaroua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Leader PDI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9/0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980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— / —</w:t>
            </w:r>
          </w:p>
        </w:tc>
      </w:tr>
    </w:tbl>
    <w:p>
      <w:pPr>
        <w:spacing w:before="40"/>
      </w:pPr>
      <w:r>
        <w:rPr>
          <w:i/>
          <w:sz w:val="16"/>
        </w:rPr>
        <w:t>Totaux : 3 entretiens • 11 participants (11 H / 0 F) • 3 sites visités dans 2 départements (Bagaroua, Illéla). NB : effectifs de population déclaratifs/estimatifs (ordres de grandeur variables selon l'informateur).</w:t>
      </w:r>
    </w:p>
    <w:p>
      <w:pPr>
        <w:spacing w:after="40" w:before="80"/>
      </w:pPr>
      <w:r>
        <w:rPr>
          <w:b/>
          <w:color w:val="1F4E79"/>
          <w:sz w:val="26"/>
        </w:rPr>
        <w:t>2. Appréciation de la qualité par secteur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Secteur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Préfet/Mairie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Leader PDI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Tendance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Sécurité alimentaire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Abris / BNA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Faible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WASH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Santé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Nutrition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Faible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Éducation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Absent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Faible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Cash / Transfert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Bon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Insuffisant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Moyen</w:t>
            </w:r>
          </w:p>
        </w:tc>
      </w:tr>
    </w:tbl>
    <w:p>
      <w:pPr>
        <w:spacing w:after="40" w:before="80"/>
      </w:pPr>
      <w:r>
        <w:rPr>
          <w:b/>
          <w:color w:val="1F4E79"/>
          <w:sz w:val="26"/>
        </w:rPr>
        <w:t>3. Constats qualitatifs majeurs</w:t>
      </w:r>
    </w:p>
    <w:p>
      <w:pPr>
        <w:pStyle w:val="ListBullet"/>
        <w:spacing w:after="20"/>
      </w:pPr>
      <w:r>
        <w:rPr>
          <w:sz w:val="18"/>
        </w:rPr>
        <w:t>Déplacements liés à l'insécurité (attaques, menaces, pression des GANE) en provenance d'Ezza et de la frontière nigériane ; arrivées continues de nouveaux déplacés.</w:t>
      </w:r>
    </w:p>
    <w:p>
      <w:pPr>
        <w:pStyle w:val="ListBullet"/>
        <w:spacing w:after="20"/>
      </w:pPr>
      <w:r>
        <w:rPr>
          <w:sz w:val="18"/>
        </w:rPr>
        <w:t>Cohésion sociale : relations jugées bonnes entre déplacés et communautés hôtes (partage de champs, accès à l'eau facilité).</w:t>
      </w:r>
    </w:p>
    <w:p>
      <w:pPr>
        <w:pStyle w:val="ListBullet"/>
        <w:spacing w:after="20"/>
      </w:pPr>
      <w:r>
        <w:rPr>
          <w:sz w:val="18"/>
        </w:rPr>
        <w:t>Alerte &amp; vérification : circuit fonctionnel (chef de village → mairie/autorités), vérification en 6 jours max, mais lenteurs liées au circuit administratif.</w:t>
      </w:r>
    </w:p>
    <w:p>
      <w:pPr>
        <w:pStyle w:val="ListBullet"/>
        <w:spacing w:after="20"/>
      </w:pPr>
      <w:r>
        <w:rPr>
          <w:sz w:val="18"/>
        </w:rPr>
        <w:t>Coordination : bonne coordination acteurs humanitaires – autorités – services techniques (GO RRM, cadre de concertation communal, réunions OCHA).</w:t>
      </w:r>
    </w:p>
    <w:p>
      <w:pPr>
        <w:pStyle w:val="ListBullet"/>
        <w:spacing w:after="20"/>
      </w:pPr>
      <w:r>
        <w:rPr>
          <w:sz w:val="18"/>
        </w:rPr>
        <w:t>Réponse jugée rapide, digne et équitable ; bonne disponibilité des produits sur les marchés de Bagaroua (cash adapté), mais marché local limité à Zourare Sabara (Tajaé).</w:t>
      </w:r>
    </w:p>
    <w:p>
      <w:pPr>
        <w:spacing w:after="40" w:before="80"/>
      </w:pPr>
      <w:r>
        <w:rPr>
          <w:b/>
          <w:color w:val="1F4E79"/>
          <w:sz w:val="26"/>
        </w:rPr>
        <w:t>4. Gaps &amp; recommandations</w:t>
      </w:r>
    </w:p>
    <w:p>
      <w:pPr>
        <w:pStyle w:val="ListBullet"/>
        <w:spacing w:after="20"/>
      </w:pPr>
      <w:r>
        <w:rPr>
          <w:sz w:val="18"/>
        </w:rPr>
        <w:t>Secteurs les plus faibles : Protection, Éducation (insuffisants à absents) et Abris/BNA (bâches de mauvaise qualité, nattes insuffisantes).</w:t>
      </w:r>
    </w:p>
    <w:p>
      <w:pPr>
        <w:pStyle w:val="ListBullet"/>
        <w:spacing w:after="20"/>
      </w:pPr>
      <w:r>
        <w:rPr>
          <w:sz w:val="18"/>
        </w:rPr>
        <w:t>Nouveaux déplacés non assistés à Bagaroua : Akassou (~84 mén.), Écogard (33 mén.), Fadama (40 mén.), site Moov (32 mén.) ; site de Zourare Echaffa jamais assisté.</w:t>
      </w:r>
    </w:p>
    <w:p>
      <w:pPr>
        <w:pStyle w:val="ListBullet"/>
        <w:spacing w:after="20"/>
      </w:pPr>
      <w:r>
        <w:rPr>
          <w:sz w:val="18"/>
        </w:rPr>
        <w:t>Renforcer le post-RRM (relais assuré par PAM à Bagaroua, absent ailleurs) et les solutions durables : AGR, élevage, petit commerce, cultures de contre-saison, intégration locale.</w:t>
      </w:r>
    </w:p>
    <w:p>
      <w:pPr>
        <w:pStyle w:val="ListBullet"/>
        <w:spacing w:after="20"/>
      </w:pPr>
      <w:r>
        <w:rPr>
          <w:sz w:val="18"/>
        </w:rPr>
        <w:t>Améliorer la nutrition (au-delà du seul dépistage), la santé (cliniques mobiles hebdomadaires, médicaments) et privilégier le transfert monétaire là où le marché le permet.</w:t>
      </w:r>
    </w:p>
    <w:p>
      <w:pPr>
        <w:jc w:val="right"/>
      </w:pPr>
      <w:r>
        <w:rPr>
          <w:i/>
          <w:color w:val="808080"/>
          <w:sz w:val="14"/>
        </w:rPr>
        <w:t>Source : 3 soumissions ODK – formulaire « RRM Type 1 / Informateurs clés » | Données nettoyées – ADKOUL, juin 2026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