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comments.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jc w:val="center"/>
        <w:rPr>
          <w:rFonts w:eastAsia="Times New Roman"/>
          <w:b/>
          <w:bCs/>
          <w:sz w:val="28"/>
          <w:szCs w:val="28"/>
        </w:rPr>
      </w:pPr>
      <w:r>
        <w:rPr>
          <w:rFonts w:eastAsia="Times New Roman"/>
          <w:b/>
          <w:bCs/>
          <w:sz w:val="28"/>
          <w:szCs w:val="28"/>
        </w:rPr>
        <w:t>* THIS IS A FREE PREVIEW OF THE DOCUMENT *</w:t>
      </w:r>
    </w:p>
    <w:p>
      <w:pPr>
        <w:pStyle w:val="Normal"/>
        <w:rPr/>
      </w:pPr>
      <w:commentRangeStart w:id="0"/>
      <w:r>
        <w:rPr/>
        <w:t xml:space="preserve"> </w:t>
      </w:r>
      <w:commentRangeEnd w:id="0"/>
      <w:r>
        <w:commentReference w:id="0"/>
      </w: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bookmarkStart w:id="0" w:name="_Hlk142898806"/>
      <w:bookmarkEnd w:id="0"/>
      <w:r>
        <w:rPr/>
        <w:drawing>
          <wp:inline distT="0" distB="0" distL="0" distR="0">
            <wp:extent cx="2499995" cy="2499995"/>
            <wp:effectExtent l="0" t="0" r="0" b="0"/>
            <wp:docPr id="1" name="Logo"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
                    <pic:cNvPicPr>
                      <a:picLocks noChangeAspect="1" noChangeArrowheads="1"/>
                    </pic:cNvPicPr>
                  </pic:nvPicPr>
                  <pic:blipFill>
                    <a:blip r:embed="rId2"/>
                    <a:stretch>
                      <a:fillRect/>
                    </a:stretch>
                  </pic:blipFill>
                  <pic:spPr bwMode="auto">
                    <a:xfrm>
                      <a:off x="0" y="0"/>
                      <a:ext cx="2499995" cy="2499995"/>
                    </a:xfrm>
                    <a:prstGeom prst="rect">
                      <a:avLst/>
                    </a:prstGeom>
                  </pic:spPr>
                </pic:pic>
              </a:graphicData>
            </a:graphic>
          </wp:inline>
        </w:drawing>
      </w:r>
    </w:p>
    <w:p>
      <w:pPr>
        <w:pStyle w:val="Normal"/>
        <w:jc w:val="center"/>
        <w:rPr/>
      </w:pPr>
      <w:bookmarkStart w:id="1" w:name="_Hlk142898806"/>
      <w:bookmarkEnd w:id="1"/>
      <w:r>
        <w:rPr/>
        <w:t>MHZ</w:t>
      </w:r>
    </w:p>
    <w:p>
      <w:pPr>
        <w:pStyle w:val="Normal"/>
        <w:jc w:val="center"/>
        <w:rPr/>
      </w:pPr>
      <w:r>
        <w:rPr/>
      </w:r>
    </w:p>
    <w:p>
      <w:pPr>
        <w:pStyle w:val="Normal"/>
        <w:jc w:val="center"/>
        <w:rPr/>
      </w:pPr>
      <w:r>
        <w:rPr/>
      </w:r>
    </w:p>
    <w:p>
      <w:pPr>
        <w:pStyle w:val="Normal"/>
        <w:jc w:val="center"/>
        <w:rPr>
          <w:b/>
          <w:sz w:val="32"/>
          <w:szCs w:val="32"/>
        </w:rPr>
      </w:pPr>
      <w:commentRangeStart w:id="1"/>
      <w:r>
        <w:rPr>
          <w:b/>
          <w:sz w:val="32"/>
        </w:rPr>
        <w:t>ISMS SCOPE DOCUMENT</w:t>
      </w:r>
      <w:commentRangeEnd w:id="1"/>
      <w:r>
        <w:commentReference w:id="1"/>
      </w:r>
      <w:r>
        <w:rPr>
          <w:b/>
          <w:sz w:val="32"/>
        </w:rPr>
      </w:r>
    </w:p>
    <w:p>
      <w:pPr>
        <w:pStyle w:val="Normal"/>
        <w:jc w:val="center"/>
        <w:rPr/>
      </w:pPr>
      <w:r>
        <w:rPr/>
      </w:r>
    </w:p>
    <w:tbl>
      <w:tblPr>
        <w:tblW w:w="8985" w:type="dxa"/>
        <w:jc w:val="left"/>
        <w:tblInd w:w="83" w:type="dxa"/>
        <w:tblLayout w:type="fixed"/>
        <w:tblCellMar>
          <w:top w:w="0" w:type="dxa"/>
          <w:left w:w="108" w:type="dxa"/>
          <w:bottom w:w="0" w:type="dxa"/>
          <w:right w:w="108" w:type="dxa"/>
        </w:tblCellMar>
        <w:tblLook w:val="04a0" w:noHBand="0" w:noVBand="1" w:firstColumn="1" w:lastRow="0" w:lastColumn="0" w:firstRow="1"/>
      </w:tblPr>
      <w:tblGrid>
        <w:gridCol w:w="2250"/>
        <w:gridCol w:w="6735"/>
      </w:tblGrid>
      <w:tr>
        <w:trPr/>
        <w:tc>
          <w:tcPr>
            <w:tcW w:w="2250"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Code:</w:t>
            </w:r>
          </w:p>
        </w:tc>
        <w:tc>
          <w:tcPr>
            <w:tcW w:w="673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2"/>
            <w:r>
              <w:rPr/>
              <w:t>[document code]</w:t>
            </w:r>
            <w:bookmarkStart w:id="2" w:name="_Hlk157507432"/>
            <w:bookmarkEnd w:id="2"/>
            <w:commentRangeEnd w:id="2"/>
            <w:r>
              <w:commentReference w:id="2"/>
            </w:r>
            <w:r>
              <w:rPr/>
            </w:r>
          </w:p>
        </w:tc>
      </w:tr>
      <w:tr>
        <w:trPr/>
        <w:tc>
          <w:tcPr>
            <w:tcW w:w="2250"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Version:</w:t>
            </w:r>
          </w:p>
        </w:tc>
        <w:tc>
          <w:tcPr>
            <w:tcW w:w="673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3"/>
            <w:r>
              <w:rPr/>
              <w:t>[document version number]</w:t>
            </w:r>
            <w:bookmarkStart w:id="3" w:name="_Hlk157507454"/>
            <w:bookmarkEnd w:id="3"/>
            <w:commentRangeEnd w:id="3"/>
            <w:r>
              <w:commentReference w:id="3"/>
            </w:r>
            <w:r>
              <w:rPr/>
            </w:r>
          </w:p>
        </w:tc>
      </w:tr>
      <w:tr>
        <w:trPr/>
        <w:tc>
          <w:tcPr>
            <w:tcW w:w="2250"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Date of version:</w:t>
            </w:r>
          </w:p>
        </w:tc>
        <w:tc>
          <w:tcPr>
            <w:tcW w:w="673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4"/>
            <w:r>
              <w:rPr/>
              <w:t>[version date]</w:t>
            </w:r>
            <w:bookmarkStart w:id="4" w:name="_Hlk157507548"/>
            <w:bookmarkEnd w:id="4"/>
            <w:commentRangeEnd w:id="4"/>
            <w:r>
              <w:commentReference w:id="4"/>
            </w:r>
            <w:r>
              <w:rPr/>
            </w:r>
          </w:p>
        </w:tc>
      </w:tr>
      <w:tr>
        <w:trPr/>
        <w:tc>
          <w:tcPr>
            <w:tcW w:w="2250"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Author:</w:t>
            </w:r>
          </w:p>
        </w:tc>
        <w:tc>
          <w:tcPr>
            <w:tcW w:w="673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5"/>
            <w:r>
              <w:rPr/>
              <w:t>[name of the author]</w:t>
            </w:r>
            <w:bookmarkStart w:id="5" w:name="_Hlk157507570"/>
            <w:bookmarkEnd w:id="5"/>
            <w:commentRangeEnd w:id="5"/>
            <w:r>
              <w:commentReference w:id="5"/>
            </w:r>
            <w:r>
              <w:rPr/>
            </w:r>
          </w:p>
        </w:tc>
      </w:tr>
      <w:tr>
        <w:trPr/>
        <w:tc>
          <w:tcPr>
            <w:tcW w:w="2250"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Approver:</w:t>
            </w:r>
          </w:p>
        </w:tc>
        <w:tc>
          <w:tcPr>
            <w:tcW w:w="673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6"/>
            <w:r>
              <w:rPr/>
              <w:t>CISO</w:t>
            </w:r>
            <w:bookmarkStart w:id="6" w:name="_Hlk157507591"/>
            <w:bookmarkEnd w:id="6"/>
            <w:commentRangeEnd w:id="6"/>
            <w:r>
              <w:commentReference w:id="6"/>
            </w:r>
            <w:r>
              <w:rPr/>
            </w:r>
          </w:p>
        </w:tc>
      </w:tr>
      <w:tr>
        <w:trPr/>
        <w:tc>
          <w:tcPr>
            <w:tcW w:w="2250" w:type="dxa"/>
            <w:tcBorders>
              <w:top w:val="single" w:sz="4" w:space="0" w:color="000000"/>
              <w:bottom w:val="single" w:sz="4" w:space="0" w:color="000000"/>
              <w:right w:val="single" w:sz="4" w:space="0" w:color="000000"/>
            </w:tcBorders>
          </w:tcPr>
          <w:p>
            <w:pPr>
              <w:pStyle w:val="Normal"/>
              <w:widowControl/>
              <w:bidi w:val="0"/>
              <w:spacing w:lineRule="auto" w:line="276" w:before="0" w:after="200"/>
              <w:jc w:val="left"/>
              <w:rPr/>
            </w:pPr>
            <w:r>
              <w:rPr/>
              <w:t>Confidentiality level:</w:t>
            </w:r>
          </w:p>
        </w:tc>
        <w:tc>
          <w:tcPr>
            <w:tcW w:w="6735" w:type="dxa"/>
            <w:tcBorders>
              <w:top w:val="single" w:sz="4" w:space="0" w:color="000000"/>
              <w:left w:val="single" w:sz="4" w:space="0" w:color="000000"/>
              <w:bottom w:val="single" w:sz="4" w:space="0" w:color="000000"/>
            </w:tcBorders>
          </w:tcPr>
          <w:p>
            <w:pPr>
              <w:pStyle w:val="Normal"/>
              <w:widowControl/>
              <w:bidi w:val="0"/>
              <w:spacing w:lineRule="auto" w:line="276" w:before="0" w:after="200"/>
              <w:jc w:val="left"/>
              <w:rPr/>
            </w:pPr>
            <w:commentRangeStart w:id="7"/>
            <w:r>
              <w:rPr/>
              <w:t>Top Secret</w:t>
            </w:r>
            <w:bookmarkStart w:id="7" w:name="_Hlk157507623"/>
            <w:bookmarkEnd w:id="7"/>
            <w:commentRangeEnd w:id="7"/>
            <w:r>
              <w:commentReference w:id="7"/>
            </w:r>
            <w:r>
              <w:rPr/>
            </w:r>
          </w:p>
        </w:tc>
      </w:tr>
    </w:tbl>
    <w:p>
      <w:pPr>
        <w:pStyle w:val="Normal"/>
        <w:rPr/>
      </w:pPr>
      <w:r>
        <w:rPr/>
      </w:r>
    </w:p>
    <w:p>
      <w:pPr>
        <w:pStyle w:val="Normal"/>
        <w:rPr/>
      </w:pPr>
      <w:r>
        <w:rPr/>
      </w:r>
      <w:r>
        <w:br w:type="page"/>
      </w:r>
    </w:p>
    <w:p>
      <w:pPr>
        <w:pStyle w:val="Normal"/>
        <w:spacing w:before="0" w:after="200"/>
        <w:rPr/>
      </w:pPr>
      <w:r>
        <w:rPr/>
        <w:t xml:space="preserve"> </w:t>
      </w:r>
    </w:p>
    <w:p>
      <w:pPr>
        <w:pStyle w:val="Normal"/>
        <w:rPr>
          <w:b/>
          <w:sz w:val="28"/>
          <w:szCs w:val="28"/>
        </w:rPr>
      </w:pPr>
      <w:r>
        <w:rPr>
          <w:b/>
          <w:sz w:val="28"/>
        </w:rPr>
        <w:t>Change history</w:t>
      </w:r>
    </w:p>
    <w:tbl>
      <w:tblPr>
        <w:tblW w:w="906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53"/>
        <w:gridCol w:w="990"/>
        <w:gridCol w:w="1536"/>
        <w:gridCol w:w="5182"/>
      </w:tblGrid>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Date</w:t>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Version</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Created by</w:t>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b/>
              </w:rPr>
            </w:pPr>
            <w:r>
              <w:rPr>
                <w:b/>
              </w:rPr>
              <w:t>Description of change</w:t>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0.1</w:t>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Advisera</w:t>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t>Basic document outline</w:t>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r>
        <w:trPr/>
        <w:tc>
          <w:tcPr>
            <w:tcW w:w="1353"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990"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1536"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c>
          <w:tcPr>
            <w:tcW w:w="5182" w:type="dxa"/>
            <w:tcBorders>
              <w:top w:val="single" w:sz="4" w:space="0" w:color="000000"/>
              <w:left w:val="single" w:sz="4" w:space="0" w:color="000000"/>
              <w:bottom w:val="single" w:sz="4" w:space="0" w:color="000000"/>
              <w:right w:val="single" w:sz="4" w:space="0" w:color="000000"/>
            </w:tcBorders>
          </w:tcPr>
          <w:p>
            <w:pPr>
              <w:pStyle w:val="Normal"/>
              <w:spacing w:before="0" w:after="200"/>
              <w:rPr/>
            </w:pPr>
            <w:r>
              <w:rPr/>
            </w:r>
          </w:p>
        </w:tc>
      </w:tr>
    </w:tbl>
    <w:p>
      <w:pPr>
        <w:pStyle w:val="Normal"/>
        <w:rPr/>
      </w:pPr>
      <w:r>
        <w:rPr/>
      </w:r>
    </w:p>
    <w:p>
      <w:pPr>
        <w:pStyle w:val="Normal"/>
        <w:rPr/>
      </w:pPr>
      <w:r>
        <w:rPr/>
      </w:r>
    </w:p>
    <w:p>
      <w:pPr>
        <w:pStyle w:val="Normal"/>
        <w:rPr>
          <w:b/>
          <w:sz w:val="28"/>
          <w:szCs w:val="28"/>
        </w:rPr>
      </w:pPr>
      <w:r>
        <w:rPr>
          <w:b/>
          <w:sz w:val="28"/>
        </w:rPr>
        <w:t>Table of contents</w:t>
      </w:r>
    </w:p>
    <w:sdt>
      <w:sdtPr>
        <w:docPartObj>
          <w:docPartGallery w:val="Table of Contents"/>
          <w:docPartUnique w:val="true"/>
        </w:docPartObj>
      </w:sdtPr>
      <w:sdtContent>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r>
            <w:fldChar w:fldCharType="begin"/>
          </w:r>
          <w:r>
            <w:rPr>
              <w:webHidden/>
              <w:rStyle w:val="IndexLink"/>
            </w:rPr>
            <w:instrText xml:space="preserve"> TOC \z \o "1-3" \u \h</w:instrText>
          </w:r>
          <w:r>
            <w:rPr>
              <w:webHidden/>
              <w:rStyle w:val="IndexLink"/>
            </w:rPr>
            <w:fldChar w:fldCharType="separate"/>
          </w:r>
          <w:hyperlink w:anchor="_Toc157672559">
            <w:r>
              <w:rPr>
                <w:webHidden/>
                <w:rStyle w:val="IndexLink"/>
              </w:rPr>
              <w:t>1.</w:t>
            </w:r>
            <w:r>
              <w:rPr>
                <w:rStyle w:val="IndexLink"/>
                <w:rFonts w:eastAsia="宋体" w:cs="" w:cstheme="minorBidi" w:eastAsiaTheme="minorEastAsia"/>
                <w:b w:val="false"/>
                <w:bCs w:val="false"/>
                <w:caps w:val="false"/>
                <w:smallCaps w:val="false"/>
                <w:sz w:val="22"/>
                <w:szCs w:val="22"/>
              </w:rPr>
              <w:tab/>
            </w:r>
            <w:r>
              <w:rPr>
                <w:rStyle w:val="IndexLink"/>
              </w:rPr>
              <w:t>Purpose, scope, and users</w:t>
            </w:r>
            <w:r>
              <w:rPr>
                <w:webHidden/>
              </w:rPr>
              <w:fldChar w:fldCharType="begin"/>
            </w:r>
            <w:r>
              <w:rPr>
                <w:webHidden/>
              </w:rPr>
              <w:instrText xml:space="preserve">PAGEREF _Toc157672559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2560">
            <w:r>
              <w:rPr>
                <w:webHidden/>
                <w:rStyle w:val="IndexLink"/>
              </w:rPr>
              <w:t>2.</w:t>
            </w:r>
            <w:r>
              <w:rPr>
                <w:rStyle w:val="IndexLink"/>
                <w:rFonts w:eastAsia="宋体" w:cs="" w:cstheme="minorBidi" w:eastAsiaTheme="minorEastAsia"/>
                <w:b w:val="false"/>
                <w:bCs w:val="false"/>
                <w:caps w:val="false"/>
                <w:smallCaps w:val="false"/>
                <w:sz w:val="22"/>
                <w:szCs w:val="22"/>
              </w:rPr>
              <w:tab/>
            </w:r>
            <w:r>
              <w:rPr>
                <w:rStyle w:val="IndexLink"/>
              </w:rPr>
              <w:t>Reference documents</w:t>
            </w:r>
            <w:r>
              <w:rPr>
                <w:webHidden/>
              </w:rPr>
              <w:fldChar w:fldCharType="begin"/>
            </w:r>
            <w:r>
              <w:rPr>
                <w:webHidden/>
              </w:rPr>
              <w:instrText xml:space="preserve">PAGEREF _Toc157672560 \h</w:instrText>
            </w:r>
            <w:r>
              <w:rPr>
                <w:webHidden/>
              </w:rPr>
              <w:fldChar w:fldCharType="separate"/>
            </w:r>
            <w:r>
              <w:rPr>
                <w:rStyle w:val="IndexLink"/>
                <w:vanish w:val="false"/>
              </w:rPr>
              <w:tab/>
              <w:t>3</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2561">
            <w:r>
              <w:rPr>
                <w:webHidden/>
                <w:rStyle w:val="IndexLink"/>
              </w:rPr>
              <w:t>3.</w:t>
            </w:r>
            <w:r>
              <w:rPr>
                <w:rStyle w:val="IndexLink"/>
                <w:rFonts w:eastAsia="宋体" w:cs="" w:cstheme="minorBidi" w:eastAsiaTheme="minorEastAsia"/>
                <w:b w:val="false"/>
                <w:bCs w:val="false"/>
                <w:caps w:val="false"/>
                <w:smallCaps w:val="false"/>
                <w:sz w:val="22"/>
                <w:szCs w:val="22"/>
              </w:rPr>
              <w:tab/>
            </w:r>
            <w:r>
              <w:rPr>
                <w:rStyle w:val="IndexLink"/>
              </w:rPr>
              <w:t>Definition of ISMS scope</w:t>
            </w:r>
            <w:r>
              <w:rPr>
                <w:webHidden/>
              </w:rPr>
              <w:fldChar w:fldCharType="begin"/>
            </w:r>
            <w:r>
              <w:rPr>
                <w:webHidden/>
              </w:rPr>
              <w:instrText xml:space="preserve">PAGEREF _Toc157672561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2562">
            <w:r>
              <w:rPr>
                <w:webHidden/>
                <w:rStyle w:val="IndexLink"/>
              </w:rPr>
              <w:t>3.1.</w:t>
            </w:r>
            <w:r>
              <w:rPr>
                <w:rStyle w:val="IndexLink"/>
                <w:rFonts w:eastAsia="宋体" w:cs="" w:cstheme="minorBidi" w:eastAsiaTheme="minorEastAsia"/>
                <w:caps w:val="false"/>
                <w:smallCaps w:val="false"/>
                <w:sz w:val="22"/>
                <w:szCs w:val="22"/>
              </w:rPr>
              <w:tab/>
            </w:r>
            <w:r>
              <w:rPr>
                <w:rStyle w:val="IndexLink"/>
              </w:rPr>
              <w:t>Departments</w:t>
            </w:r>
            <w:r>
              <w:rPr>
                <w:webHidden/>
              </w:rPr>
              <w:fldChar w:fldCharType="begin"/>
            </w:r>
            <w:r>
              <w:rPr>
                <w:webHidden/>
              </w:rPr>
              <w:instrText xml:space="preserve">PAGEREF _Toc157672562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2563">
            <w:r>
              <w:rPr>
                <w:webHidden/>
                <w:rStyle w:val="IndexLink"/>
              </w:rPr>
              <w:t>3.2.</w:t>
            </w:r>
            <w:r>
              <w:rPr>
                <w:rStyle w:val="IndexLink"/>
                <w:rFonts w:eastAsia="宋体" w:cs="" w:cstheme="minorBidi" w:eastAsiaTheme="minorEastAsia"/>
                <w:caps w:val="false"/>
                <w:smallCaps w:val="false"/>
                <w:sz w:val="22"/>
                <w:szCs w:val="22"/>
              </w:rPr>
              <w:tab/>
            </w:r>
            <w:r>
              <w:rPr>
                <w:rStyle w:val="IndexLink"/>
              </w:rPr>
              <w:t>Processes</w:t>
            </w:r>
            <w:r>
              <w:rPr>
                <w:webHidden/>
              </w:rPr>
              <w:fldChar w:fldCharType="begin"/>
            </w:r>
            <w:r>
              <w:rPr>
                <w:webHidden/>
              </w:rPr>
              <w:instrText xml:space="preserve">PAGEREF _Toc157672563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2564">
            <w:r>
              <w:rPr>
                <w:webHidden/>
                <w:rStyle w:val="IndexLink"/>
              </w:rPr>
              <w:t>3.3.</w:t>
            </w:r>
            <w:r>
              <w:rPr>
                <w:rStyle w:val="IndexLink"/>
                <w:rFonts w:eastAsia="宋体" w:cs="" w:cstheme="minorBidi" w:eastAsiaTheme="minorEastAsia"/>
                <w:caps w:val="false"/>
                <w:smallCaps w:val="false"/>
                <w:sz w:val="22"/>
                <w:szCs w:val="22"/>
              </w:rPr>
              <w:tab/>
            </w:r>
            <w:r>
              <w:rPr>
                <w:rStyle w:val="IndexLink"/>
              </w:rPr>
              <w:t>Locations</w:t>
            </w:r>
            <w:r>
              <w:rPr>
                <w:webHidden/>
              </w:rPr>
              <w:fldChar w:fldCharType="begin"/>
            </w:r>
            <w:r>
              <w:rPr>
                <w:webHidden/>
              </w:rPr>
              <w:instrText xml:space="preserve">PAGEREF _Toc157672564 \h</w:instrText>
            </w:r>
            <w:r>
              <w:rPr>
                <w:webHidden/>
              </w:rPr>
              <w:fldChar w:fldCharType="separate"/>
            </w:r>
            <w:r>
              <w:rPr>
                <w:rStyle w:val="IndexLink"/>
                <w:vanish w:val="false"/>
              </w:rPr>
              <w:tab/>
              <w:t>3</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2565">
            <w:r>
              <w:rPr>
                <w:webHidden/>
                <w:rStyle w:val="IndexLink"/>
              </w:rPr>
              <w:t>3.4.</w:t>
            </w:r>
            <w:r>
              <w:rPr>
                <w:rStyle w:val="IndexLink"/>
                <w:rFonts w:eastAsia="宋体" w:cs="" w:cstheme="minorBidi" w:eastAsiaTheme="minorEastAsia"/>
                <w:caps w:val="false"/>
                <w:smallCaps w:val="false"/>
                <w:sz w:val="22"/>
                <w:szCs w:val="22"/>
              </w:rPr>
              <w:tab/>
            </w:r>
            <w:r>
              <w:rPr>
                <w:rStyle w:val="IndexLink"/>
              </w:rPr>
              <w:t>IT infrastructure</w:t>
            </w:r>
            <w:r>
              <w:rPr>
                <w:webHidden/>
              </w:rPr>
              <w:fldChar w:fldCharType="begin"/>
            </w:r>
            <w:r>
              <w:rPr>
                <w:webHidden/>
              </w:rPr>
              <w:instrText xml:space="preserve">PAGEREF _Toc157672565 \h</w:instrText>
            </w:r>
            <w:r>
              <w:rPr>
                <w:webHidden/>
              </w:rPr>
              <w:fldChar w:fldCharType="separate"/>
            </w:r>
            <w:r>
              <w:rPr>
                <w:rStyle w:val="IndexLink"/>
                <w:vanish w:val="false"/>
              </w:rPr>
              <w:tab/>
              <w:t>4</w:t>
            </w:r>
            <w:r>
              <w:rPr>
                <w:webHidden/>
              </w:rPr>
              <w:fldChar w:fldCharType="end"/>
            </w:r>
          </w:hyperlink>
        </w:p>
        <w:p>
          <w:pPr>
            <w:pStyle w:val="TOC2"/>
            <w:tabs>
              <w:tab w:val="clear" w:pos="708"/>
              <w:tab w:val="left" w:pos="880" w:leader="none"/>
              <w:tab w:val="right" w:pos="9062" w:leader="dot"/>
            </w:tabs>
            <w:rPr>
              <w:rFonts w:ascii="Calibri" w:hAnsi="Calibri" w:eastAsia="宋体" w:cs="" w:asciiTheme="minorHAnsi" w:cstheme="minorBidi" w:eastAsiaTheme="minorEastAsia" w:hAnsiTheme="minorHAnsi"/>
              <w:caps w:val="false"/>
              <w:smallCaps w:val="false"/>
              <w:sz w:val="22"/>
              <w:szCs w:val="22"/>
            </w:rPr>
          </w:pPr>
          <w:hyperlink w:anchor="_Toc157672566">
            <w:r>
              <w:rPr>
                <w:webHidden/>
                <w:rStyle w:val="IndexLink"/>
              </w:rPr>
              <w:t>3.5.</w:t>
            </w:r>
            <w:r>
              <w:rPr>
                <w:rStyle w:val="IndexLink"/>
                <w:rFonts w:eastAsia="宋体" w:cs="" w:cstheme="minorBidi" w:eastAsiaTheme="minorEastAsia"/>
                <w:caps w:val="false"/>
                <w:smallCaps w:val="false"/>
                <w:sz w:val="22"/>
                <w:szCs w:val="22"/>
              </w:rPr>
              <w:tab/>
            </w:r>
            <w:r>
              <w:rPr>
                <w:rStyle w:val="IndexLink"/>
              </w:rPr>
              <w:t>Exclusions from the scope</w:t>
            </w:r>
            <w:r>
              <w:rPr>
                <w:webHidden/>
              </w:rPr>
              <w:fldChar w:fldCharType="begin"/>
            </w:r>
            <w:r>
              <w:rPr>
                <w:webHidden/>
              </w:rPr>
              <w:instrText xml:space="preserve">PAGEREF _Toc157672566 \h</w:instrText>
            </w:r>
            <w:r>
              <w:rPr>
                <w:webHidden/>
              </w:rPr>
              <w:fldChar w:fldCharType="separate"/>
            </w:r>
            <w:r>
              <w:rPr>
                <w:rStyle w:val="IndexLink"/>
                <w:vanish w:val="false"/>
              </w:rPr>
              <w:tab/>
              <w:t>4</w:t>
            </w:r>
            <w:r>
              <w:rPr>
                <w:webHidden/>
              </w:rPr>
              <w:fldChar w:fldCharType="end"/>
            </w:r>
          </w:hyperlink>
        </w:p>
        <w:p>
          <w:pPr>
            <w:pStyle w:val="TOC1"/>
            <w:tabs>
              <w:tab w:val="clear" w:pos="708"/>
              <w:tab w:val="left" w:pos="440" w:leader="none"/>
              <w:tab w:val="right" w:pos="9062" w:leader="dot"/>
            </w:tabs>
            <w:rPr>
              <w:rFonts w:ascii="Calibri" w:hAnsi="Calibri" w:eastAsia="宋体" w:cs="" w:asciiTheme="minorHAnsi" w:cstheme="minorBidi" w:eastAsiaTheme="minorEastAsia" w:hAnsiTheme="minorHAnsi"/>
              <w:b w:val="false"/>
              <w:bCs w:val="false"/>
              <w:caps w:val="false"/>
              <w:smallCaps w:val="false"/>
              <w:sz w:val="22"/>
              <w:szCs w:val="22"/>
            </w:rPr>
          </w:pPr>
          <w:hyperlink w:anchor="_Toc157672567">
            <w:r>
              <w:rPr>
                <w:webHidden/>
                <w:rStyle w:val="IndexLink"/>
              </w:rPr>
              <w:t>4.</w:t>
            </w:r>
            <w:r>
              <w:rPr>
                <w:rStyle w:val="IndexLink"/>
                <w:rFonts w:eastAsia="宋体" w:cs="" w:cstheme="minorBidi" w:eastAsiaTheme="minorEastAsia"/>
                <w:b w:val="false"/>
                <w:bCs w:val="false"/>
                <w:caps w:val="false"/>
                <w:smallCaps w:val="false"/>
                <w:sz w:val="22"/>
                <w:szCs w:val="22"/>
              </w:rPr>
              <w:tab/>
            </w:r>
            <w:r>
              <w:rPr>
                <w:rStyle w:val="IndexLink"/>
              </w:rPr>
              <w:t>Validity and document management</w:t>
            </w:r>
            <w:r>
              <w:rPr>
                <w:webHidden/>
              </w:rPr>
              <w:fldChar w:fldCharType="begin"/>
            </w:r>
            <w:r>
              <w:rPr>
                <w:webHidden/>
              </w:rPr>
              <w:instrText xml:space="preserve">PAGEREF _Toc157672567 \h</w:instrText>
            </w:r>
            <w:r>
              <w:rPr>
                <w:webHidden/>
              </w:rPr>
              <w:fldChar w:fldCharType="separate"/>
            </w:r>
            <w:r>
              <w:rPr>
                <w:rStyle w:val="IndexLink"/>
                <w:vanish w:val="false"/>
              </w:rPr>
              <w:tab/>
              <w:t>4</w:t>
            </w:r>
            <w:r>
              <w:rPr>
                <w:webHidden/>
              </w:rPr>
              <w:fldChar w:fldCharType="end"/>
            </w:r>
          </w:hyperlink>
          <w:r>
            <w:rPr>
              <w:rStyle w:val="IndexLink"/>
              <w:vanish w:val="false"/>
            </w:rPr>
            <w:fldChar w:fldCharType="end"/>
          </w:r>
        </w:p>
      </w:sdtContent>
    </w:sdt>
    <w:p>
      <w:pPr>
        <w:pStyle w:val="Normal"/>
        <w:widowControl/>
        <w:bidi w:val="0"/>
        <w:spacing w:lineRule="auto" w:line="276" w:before="0" w:after="200"/>
        <w:jc w:val="left"/>
        <w:rPr>
          <w:sz w:val="22"/>
          <w:szCs w:val="22"/>
          <w:lang w:val="en-US" w:eastAsia="en-US"/>
        </w:rPr>
      </w:pPr>
      <w:r>
        <w:rPr>
          <w:sz w:val="22"/>
          <w:szCs w:val="22"/>
          <w:lang w:val="en-US" w:eastAsia="en-US"/>
        </w:rPr>
      </w:r>
      <w:r>
        <w:br w:type="page"/>
      </w:r>
    </w:p>
    <w:p>
      <w:pPr>
        <w:pStyle w:val="Heading1"/>
        <w:spacing w:before="0" w:after="200"/>
        <w:ind w:hanging="360" w:left="360"/>
        <w:rPr/>
      </w:pPr>
      <w:bookmarkStart w:id="8" w:name="_Toc157672559"/>
      <w:bookmarkStart w:id="9" w:name="_Toc269499261"/>
      <w:r>
        <w:rPr/>
        <w:t>Purpose, scope, and users</w:t>
      </w:r>
      <w:bookmarkEnd w:id="8"/>
      <w:bookmarkEnd w:id="9"/>
    </w:p>
    <w:p>
      <w:pPr>
        <w:pStyle w:val="Normal"/>
        <w:rPr/>
      </w:pPr>
      <w:r>
        <w:rPr/>
        <w:t>The purpose of this document is to clearly define the boundaries of the Information Security Management System (ISMS) in MHZ.</w:t>
      </w:r>
    </w:p>
    <w:p>
      <w:pPr>
        <w:pStyle w:val="Normal"/>
        <w:rPr/>
      </w:pPr>
      <w:r>
        <w:rPr/>
        <w:t>This document is applied to all documentation and activities within the ISMS.</w:t>
      </w:r>
    </w:p>
    <w:p>
      <w:pPr>
        <w:pStyle w:val="Normal"/>
        <w:rPr/>
      </w:pPr>
      <w:r>
        <w:rPr/>
        <w:t xml:space="preserve">Users of this document are members of company’s management, members of the project team implementing the ISMS, and </w:t>
      </w:r>
      <w:commentRangeStart w:id="8"/>
      <w:r>
        <w:rPr/>
        <w:t>[job titles of employees to access the ISMS Scope Document]</w:t>
      </w:r>
      <w:bookmarkStart w:id="10" w:name="_Hlk157671183"/>
      <w:bookmarkEnd w:id="10"/>
      <w:r>
        <w:rPr/>
      </w:r>
      <w:commentRangeEnd w:id="8"/>
      <w:r>
        <w:commentReference w:id="8"/>
      </w:r>
      <w:r>
        <w:rPr/>
        <w:t>.</w:t>
      </w:r>
    </w:p>
    <w:p>
      <w:pPr>
        <w:pStyle w:val="Normal"/>
        <w:rPr/>
      </w:pPr>
      <w:r>
        <w:rPr/>
      </w:r>
    </w:p>
    <w:p>
      <w:pPr>
        <w:pStyle w:val="Heading1"/>
        <w:ind w:hanging="360" w:left="360"/>
        <w:rPr/>
      </w:pPr>
      <w:bookmarkStart w:id="11" w:name="_Toc157672560"/>
      <w:bookmarkStart w:id="12" w:name="_Toc105582682"/>
      <w:bookmarkStart w:id="13" w:name="_Toc264805703"/>
      <w:r>
        <w:rPr/>
        <w:t>Reference documents</w:t>
      </w:r>
      <w:bookmarkEnd w:id="11"/>
      <w:bookmarkEnd w:id="12"/>
      <w:bookmarkEnd w:id="13"/>
    </w:p>
    <w:p>
      <w:pPr>
        <w:pStyle w:val="Normal"/>
        <w:numPr>
          <w:ilvl w:val="0"/>
          <w:numId w:val="2"/>
        </w:numPr>
        <w:spacing w:before="0" w:after="0"/>
        <w:rPr/>
      </w:pPr>
      <w:r>
        <w:rPr/>
        <w:t>ISO/IEC 27001 standard, clause 4.3</w:t>
      </w:r>
    </w:p>
    <w:p>
      <w:pPr>
        <w:pStyle w:val="Normal"/>
        <w:numPr>
          <w:ilvl w:val="0"/>
          <w:numId w:val="2"/>
        </w:numPr>
        <w:spacing w:before="0" w:after="0"/>
        <w:rPr/>
      </w:pPr>
      <w:commentRangeStart w:id="9"/>
      <w:r>
        <w:rPr/>
        <w:t>Project Plan document for ISO 27001 implementation</w:t>
      </w:r>
      <w:commentRangeEnd w:id="9"/>
      <w:r>
        <w:commentReference w:id="9"/>
      </w:r>
      <w:r>
        <w:rPr/>
      </w:r>
    </w:p>
    <w:p>
      <w:pPr>
        <w:pStyle w:val="Normal"/>
        <w:numPr>
          <w:ilvl w:val="0"/>
          <w:numId w:val="2"/>
        </w:numPr>
        <w:rPr/>
      </w:pPr>
      <w:commentRangeStart w:id="10"/>
      <w:r>
        <w:rPr/>
        <w:t>List of Legal, Regulatory, Contractual and Other Requirements</w:t>
      </w:r>
      <w:commentRangeEnd w:id="10"/>
      <w:r>
        <w:commentReference w:id="10"/>
      </w:r>
      <w:r>
        <w:rPr/>
      </w:r>
    </w:p>
    <w:p>
      <w:pPr>
        <w:pStyle w:val="Normal"/>
        <w:rPr/>
      </w:pPr>
      <w:r>
        <w:rPr/>
      </w:r>
    </w:p>
    <w:p>
      <w:pPr>
        <w:pStyle w:val="Heading1"/>
        <w:spacing w:lineRule="auto" w:line="240"/>
        <w:ind w:hanging="360" w:left="360"/>
        <w:rPr/>
      </w:pPr>
      <w:bookmarkStart w:id="14" w:name="_Toc105582683"/>
      <w:bookmarkStart w:id="15" w:name="_Toc157672561"/>
      <w:bookmarkStart w:id="16" w:name="_Toc264805704"/>
      <w:r>
        <w:rPr/>
        <w:t>Definition of ISMS scope</w:t>
      </w:r>
      <w:bookmarkEnd w:id="14"/>
      <w:bookmarkEnd w:id="15"/>
      <w:bookmarkEnd w:id="16"/>
    </w:p>
    <w:p>
      <w:pPr>
        <w:pStyle w:val="Normal"/>
        <w:rPr/>
      </w:pPr>
      <w:r>
        <w:rPr/>
        <w:t>The company needs to define the boundaries of its ISMS in order to decide which information it wants to protect. Such information will need to be protected no matter whether it is additionally stored, processed or transferred in or out of the ISMS scope. The fact that some information is available outside of the scope doesn't mean the security measures won't apply to it – this only means that the responsibility for applying the security measures will be transferred to a third party who manages that information.</w:t>
      </w:r>
    </w:p>
    <w:p>
      <w:pPr>
        <w:pStyle w:val="Normal"/>
        <w:rPr/>
      </w:pPr>
      <w:r>
        <w:rPr/>
        <w:t>Taking into account the legal, regulatory, contractual and other requirements, the ISMS scope is defined as specified in the following items:</w:t>
      </w:r>
    </w:p>
    <w:p>
      <w:pPr>
        <w:pStyle w:val="Heading2"/>
        <w:rPr/>
      </w:pPr>
      <w:bookmarkStart w:id="17" w:name="_Toc105582684"/>
      <w:bookmarkStart w:id="18" w:name="_Toc157672562"/>
      <w:r>
        <w:rPr/>
        <w:t>Departments</w:t>
      </w:r>
      <w:bookmarkEnd w:id="18"/>
    </w:p>
    <w:p>
      <w:pPr>
        <w:pStyle w:val="Normal"/>
        <w:rPr/>
      </w:pPr>
      <w:r>
        <w:rPr/>
        <w:t xml:space="preserve">The following departments are included in the ISMS scope: </w:t>
      </w:r>
      <w:commentRangeStart w:id="11"/>
      <w:r>
        <w:rPr/>
        <w:t>[departments included in ISMS scope]</w:t>
      </w:r>
      <w:bookmarkStart w:id="19" w:name="_Hlk157671266"/>
      <w:bookmarkEnd w:id="19"/>
      <w:r>
        <w:rPr/>
      </w:r>
      <w:commentRangeEnd w:id="11"/>
      <w:r>
        <w:commentReference w:id="11"/>
      </w:r>
      <w:r>
        <w:rPr/>
        <w:t>.</w:t>
      </w:r>
    </w:p>
    <w:p>
      <w:pPr>
        <w:pStyle w:val="Heading2"/>
        <w:rPr/>
      </w:pPr>
      <w:bookmarkStart w:id="20" w:name="_Toc105582684"/>
      <w:bookmarkStart w:id="21" w:name="_Toc157672563"/>
      <w:r>
        <w:rPr/>
        <w:t>Processes</w:t>
      </w:r>
      <w:bookmarkEnd w:id="20"/>
      <w:bookmarkEnd w:id="21"/>
    </w:p>
    <w:p>
      <w:pPr>
        <w:pStyle w:val="Normal"/>
        <w:rPr/>
      </w:pPr>
      <w:r>
        <w:rPr/>
        <w:t xml:space="preserve">The following processes are included in the ISMS scope: </w:t>
      </w:r>
      <w:commentRangeStart w:id="12"/>
      <w:r>
        <w:rPr/>
        <w:t>[processes and services included in the ISMS scope]</w:t>
      </w:r>
      <w:bookmarkStart w:id="22" w:name="_Hlk157671291"/>
      <w:bookmarkStart w:id="23" w:name="_GoBack"/>
      <w:bookmarkEnd w:id="22"/>
      <w:bookmarkEnd w:id="23"/>
      <w:r>
        <w:rPr/>
      </w:r>
      <w:commentRangeEnd w:id="12"/>
      <w:r>
        <w:commentReference w:id="12"/>
      </w:r>
      <w:r>
        <w:rPr/>
        <w:t>.</w:t>
      </w:r>
    </w:p>
    <w:p>
      <w:pPr>
        <w:pStyle w:val="Normal"/>
        <w:rPr/>
      </w:pPr>
      <w:r>
        <w:rPr/>
        <w:t>…</w:t>
      </w:r>
    </w:p>
    <w:p>
      <w:pPr>
        <w:pStyle w:val="Normal"/>
        <w:shd w:val="clear" w:color="auto" w:fill="C6D9F1" w:themeFill="text2" w:themeFillTint="33"/>
        <w:jc w:val="center"/>
        <w:rPr>
          <w:b/>
          <w:bCs/>
          <w:sz w:val="28"/>
          <w:szCs w:val="28"/>
        </w:rPr>
      </w:pPr>
      <w:r>
        <w:rPr>
          <w:b/>
          <w:bCs/>
          <w:sz w:val="28"/>
          <w:szCs w:val="28"/>
        </w:rPr>
        <w:t>* END OF FREE PREVIEW *</w:t>
      </w:r>
    </w:p>
    <w:p>
      <w:pPr>
        <w:pStyle w:val="Normal"/>
        <w:shd w:val="clear" w:color="auto" w:fill="C6D9F1" w:themeFill="text2" w:themeFillTint="33"/>
        <w:spacing w:before="0" w:after="200"/>
        <w:jc w:val="center"/>
        <w:rPr/>
      </w:pPr>
      <w:r>
        <w:rPr/>
        <w:t xml:space="preserve">(To access the full version of the document please purchase the ISO 27001 Documentation Toolkit </w:t>
      </w:r>
      <w:hyperlink r:id="rId3">
        <w:r>
          <w:rPr>
            <w:rStyle w:val="Hyperlink"/>
          </w:rPr>
          <w:t>https://advisera.com/27001academy/iso-27001-documentation-toolkit/</w:t>
        </w:r>
      </w:hyperlink>
      <w:r>
        <w:rPr/>
        <w:t>)</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7" w:right="1417" w:gutter="0" w:header="708" w:top="1417" w:footer="708" w:bottom="1417"/>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dvisera" w:date="2023-08-18T15:19: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All fields in this document marked by square brackets [ ] must be filled out.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Make sure you delete the square brackets after you complete the entry.</w:t>
      </w:r>
    </w:p>
  </w:comment>
  <w:comment w:id="1"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To learn how to define the ISMS scope, read this article:</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All you need to know about setting the ISO 27001 scope </w:t>
      </w:r>
      <w:hyperlink r:id="rId1">
        <w:r>
          <w:rPr>
            <w:rFonts w:ascii="Liberation Serif" w:hAnsi="Liberation Serif" w:eastAsia="DejaVu Sans" w:cs="Noto Sans Arabic UI"/>
            <w:sz w:val="24"/>
            <w:szCs w:val="24"/>
            <w:lang w:val="en-US" w:eastAsia="en-US" w:bidi="en-US"/>
          </w:rPr>
          <w:t>https://advisera.com/27001academy/knowledgebase/how-to-define-the-isms-scope/</w:t>
        </w:r>
      </w:hyperlink>
      <w:r>
        <w:rPr>
          <w:rFonts w:ascii="Liberation Serif" w:hAnsi="Liberation Serif" w:eastAsia="DejaVu Sans" w:cs="Noto Sans Arabic UI"/>
          <w:sz w:val="24"/>
          <w:szCs w:val="24"/>
          <w:lang w:val="en-US" w:eastAsia="en-US" w:bidi="en-US"/>
        </w:rPr>
        <w:t xml:space="preserve"> </w:t>
      </w:r>
    </w:p>
  </w:comment>
  <w:comment w:id="2"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unique code for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The document coding system should be in line with the company's existing system for document coding; in case such a system does not exist, this line may be deleted.</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Example of a code could be: “IS-P-001”, where:</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“IS” stands for information security</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“P” stands for policy</w:t>
      </w:r>
    </w:p>
    <w:p>
      <w:pPr>
        <w:overflowPunct w:val="false"/>
        <w:spacing w:before="0" w:after="0" w:lineRule="auto" w:line="240"/>
        <w:rPr/>
      </w:pPr>
      <w:r>
        <w:rPr>
          <w:rFonts w:ascii="Liberation Serif" w:hAnsi="Liberation Serif" w:eastAsia="DejaVu Sans" w:cs="Noto Sans Arabic UI"/>
          <w:sz w:val="24"/>
          <w:szCs w:val="24"/>
          <w:lang w:val="en-US" w:eastAsia="en-US" w:bidi="en-US"/>
        </w:rPr>
        <w:t xml:space="preserve"> “001” means the first policy in the folder (or in the sequence)</w:t>
      </w:r>
    </w:p>
  </w:comment>
  <w:comment w:id="3"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version number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can write 0.2 since version 0.1 is for the original template. Later on, change with every new version of the document.</w:t>
      </w:r>
    </w:p>
  </w:comment>
  <w:comment w:id="4"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version date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can define this once this version of the document is completed.</w:t>
      </w:r>
    </w:p>
  </w:comment>
  <w:comment w:id="5" w:author="Advisera" w:date="2023-08-18T12:0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Who is the author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You should write here the full name of the person writing the document.</w:t>
      </w:r>
    </w:p>
  </w:comment>
  <w:comment w:id="6"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name of the person to approve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This is a person with authority to sign documents, or a person specified in the Procedure for Document and Record control as the one to approve documents.</w:t>
      </w:r>
    </w:p>
  </w:comment>
  <w:comment w:id="7" w:author="Advisera" w:date="2023-08-18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is the confidentiality level of this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Use your existing classification system to label the documents; if such a system does not exist, this line may be deleted.</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Example of a label: “INTERNAL USE”.</w:t>
      </w:r>
    </w:p>
  </w:comment>
  <w:comment w:id="8" w:author="Advisera" w:date="2023-11-07T11:21: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What other job titles should have access to ISMS scope document?</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For example, employees in the IT department, Security department, Compliance department, etc.</w:t>
      </w:r>
    </w:p>
  </w:comment>
  <w:comment w:id="9" w:author="Advisera" w:date="2023-11-07T11:23: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Include this item if a Project Plan exists.</w:t>
      </w:r>
    </w:p>
  </w:comment>
  <w:comment w:id="10" w:author="Advisera" w:date="2023-11-07T11:24: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You can find a template for this document in the ISO 27001 Documentation Toolkit folder “Identification of Requirements”.</w:t>
      </w:r>
    </w:p>
  </w:comment>
  <w:comment w:id="11" w:author="Advisera" w:date="2023-11-07T11:57: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Which departments will be included in the ISMS scope?</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E.g., IT department, HR department, Sales department, etc. If your company is smaller than 50 employees, it is better to include your whole company in the scope, so you could write “All departments are included in the scope.”</w:t>
      </w:r>
    </w:p>
  </w:comment>
  <w:comment w:id="12" w:author="Advisera" w:date="2023-11-07T12:02:00Z" w:initials="A">
    <w:p>
      <w:pPr>
        <w:overflowPunct w:val="false"/>
        <w:spacing w:before="0" w:after="0" w:lineRule="auto" w:line="240"/>
        <w:rPr/>
      </w:pPr>
      <w:r>
        <w:rPr>
          <w:rFonts w:ascii="Liberation Serif" w:hAnsi="Liberation Serif" w:eastAsia="DejaVu Sans" w:cs="Noto Sans Arabic UI"/>
          <w:sz w:val="24"/>
          <w:szCs w:val="24"/>
          <w:lang w:val="en-US" w:eastAsia="en-US" w:bidi="en-US"/>
        </w:rPr>
        <w:t>Which processes will be included in the ISMS scope?</w:t>
      </w:r>
    </w:p>
    <w:p>
      <w:pPr>
        <w:overflowPunct w:val="false"/>
        <w:spacing w:before="0" w:after="0" w:lineRule="auto" w:line="240"/>
        <w:rPr/>
      </w:pPr>
      <w:r>
        <w:rPr>
          <w:rFonts w:ascii="Liberation Serif" w:hAnsi="Liberation Serif" w:eastAsia="DejaVu Sans" w:cs="Noto Sans Arabic UI"/>
          <w:sz w:val="24"/>
          <w:szCs w:val="24"/>
          <w:lang w:val="en-US" w:eastAsia="en-US" w:bidi="en-US"/>
        </w:rPr>
      </w:r>
    </w:p>
    <w:p>
      <w:pPr>
        <w:overflowPunct w:val="false"/>
        <w:spacing w:before="0" w:after="0" w:lineRule="auto" w:line="240"/>
        <w:rPr/>
      </w:pPr>
      <w:r>
        <w:rPr>
          <w:rFonts w:ascii="Liberation Serif" w:hAnsi="Liberation Serif" w:eastAsia="DejaVu Sans" w:cs="Noto Sans Arabic UI"/>
          <w:sz w:val="24"/>
          <w:szCs w:val="24"/>
          <w:lang w:val="en-US" w:eastAsia="en-US" w:bidi="en-US"/>
        </w:rPr>
        <w:t>E.g., maintenance of production server process, software development process, training process, sales call process, etc. If your company is smaller than 50 employees, it is better to include your whole company in the scope, so you could write “All processes are included in the scope.”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8"/>
      <w:gridCol w:w="4536"/>
      <w:gridCol w:w="1418"/>
    </w:tblGrid>
    <w:tr>
      <w:trPr/>
      <w:tc>
        <w:tcPr>
          <w:tcW w:w="3118" w:type="dxa"/>
          <w:tcBorders>
            <w:top w:val="single" w:sz="4" w:space="0" w:color="000000"/>
          </w:tcBorders>
        </w:tcPr>
        <w:p>
          <w:pPr>
            <w:pStyle w:val="Footer"/>
            <w:spacing w:before="0" w:after="200"/>
            <w:rPr>
              <w:sz w:val="18"/>
              <w:szCs w:val="18"/>
            </w:rPr>
          </w:pPr>
          <w:r>
            <w:rPr>
              <w:sz w:val="18"/>
            </w:rPr>
            <w:t>ISMS Scope Document</w:t>
          </w:r>
        </w:p>
      </w:tc>
      <w:tc>
        <w:tcPr>
          <w:tcW w:w="4536" w:type="dxa"/>
          <w:tcBorders>
            <w:top w:val="single" w:sz="4" w:space="0" w:color="000000"/>
          </w:tcBorders>
        </w:tcPr>
        <w:p>
          <w:pPr>
            <w:pStyle w:val="Footer"/>
            <w:spacing w:before="0" w:after="200"/>
            <w:rPr>
              <w:sz w:val="18"/>
              <w:szCs w:val="18"/>
            </w:rPr>
          </w:pPr>
          <w:r>
            <w:rPr>
              <w:sz w:val="18"/>
            </w:rPr>
            <w:t>ver [document version number] from [version date]</w:t>
          </w:r>
        </w:p>
      </w:tc>
      <w:tc>
        <w:tcPr>
          <w:tcW w:w="1418" w:type="dxa"/>
          <w:tcBorders>
            <w:top w:val="single" w:sz="4" w:space="0" w:color="000000"/>
          </w:tcBorders>
        </w:tcPr>
        <w:p>
          <w:pPr>
            <w:pStyle w:val="Footer"/>
            <w:spacing w:before="0" w:after="200"/>
            <w:jc w:val="right"/>
            <w:rPr>
              <w:b/>
              <w:sz w:val="18"/>
              <w:szCs w:val="18"/>
            </w:rPr>
          </w:pPr>
          <w:r>
            <w:rPr>
              <w:sz w:val="18"/>
            </w:rPr>
            <w:t xml:space="preserve">Page </w:t>
          </w:r>
          <w:r>
            <w:rPr>
              <w:b/>
              <w:sz w:val="18"/>
            </w:rPr>
            <w:fldChar w:fldCharType="begin"/>
          </w:r>
          <w:r>
            <w:rPr>
              <w:sz w:val="18"/>
              <w:b/>
            </w:rPr>
            <w:instrText xml:space="preserve"> PAGE </w:instrText>
          </w:r>
          <w:r>
            <w:rPr>
              <w:sz w:val="18"/>
              <w:b/>
            </w:rPr>
            <w:fldChar w:fldCharType="separate"/>
          </w:r>
          <w:r>
            <w:rPr>
              <w:sz w:val="18"/>
              <w:b/>
            </w:rPr>
            <w:t>5</w:t>
          </w:r>
          <w:r>
            <w:rPr>
              <w:sz w:val="18"/>
              <w:b/>
            </w:rPr>
            <w:fldChar w:fldCharType="end"/>
          </w:r>
          <w:r>
            <w:rPr>
              <w:sz w:val="18"/>
            </w:rPr>
            <w:t xml:space="preserve"> of </w:t>
          </w:r>
          <w:r>
            <w:rPr>
              <w:b/>
              <w:sz w:val="18"/>
            </w:rPr>
            <w:fldChar w:fldCharType="begin"/>
          </w:r>
          <w:r>
            <w:rPr>
              <w:sz w:val="18"/>
              <w:b/>
            </w:rPr>
            <w:instrText xml:space="preserve"> NUMPAGES </w:instrText>
          </w:r>
          <w:r>
            <w:rPr>
              <w:sz w:val="18"/>
              <w:b/>
            </w:rPr>
            <w:fldChar w:fldCharType="separate"/>
          </w:r>
          <w:r>
            <w:rPr>
              <w:sz w:val="18"/>
              <w:b/>
            </w:rPr>
            <w:t>5</w:t>
          </w:r>
          <w:r>
            <w:rPr>
              <w:sz w:val="18"/>
              <w:b/>
            </w:rPr>
            <w:fldChar w:fldCharType="end"/>
          </w:r>
        </w:p>
      </w:tc>
    </w:tr>
  </w:tbl>
  <w:p>
    <w:pPr>
      <w:pStyle w:val="Normal"/>
      <w:spacing w:before="0" w:after="0"/>
      <w:jc w:val="center"/>
      <w:rPr>
        <w:sz w:val="16"/>
        <w:szCs w:val="16"/>
      </w:rPr>
    </w:pPr>
    <w:r>
      <w:rPr>
        <w:sz w:val="16"/>
      </w:rPr>
      <w:t>© This template may be used by clients of Advisera Expert Solutions Ltd. www.advisera.com in accordance with the License Agreement.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6"/>
      </w:rPr>
      <w:t>© This template may be used by clients of Advisera Expert Solutions Ltd. www.advisera.com in accordance with the License Agreement.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88"/>
      <w:gridCol w:w="2483"/>
    </w:tblGrid>
    <w:tr>
      <w:trPr/>
      <w:tc>
        <w:tcPr>
          <w:tcW w:w="6588" w:type="dxa"/>
          <w:tcBorders>
            <w:bottom w:val="single" w:sz="4" w:space="0" w:color="000000"/>
          </w:tcBorders>
        </w:tcPr>
        <w:p>
          <w:pPr>
            <w:pStyle w:val="Header"/>
            <w:spacing w:before="0" w:after="0"/>
            <w:rPr>
              <w:sz w:val="20"/>
              <w:szCs w:val="20"/>
            </w:rPr>
          </w:pPr>
          <w:r>
            <w:rPr>
              <w:sz w:val="20"/>
            </w:rPr>
            <w:t>MHZ</w:t>
          </w:r>
        </w:p>
      </w:tc>
      <w:tc>
        <w:tcPr>
          <w:tcW w:w="2483" w:type="dxa"/>
          <w:tcBorders>
            <w:bottom w:val="single" w:sz="4" w:space="0" w:color="000000"/>
          </w:tcBorders>
        </w:tcPr>
        <w:p>
          <w:pPr>
            <w:pStyle w:val="Header"/>
            <w:spacing w:before="0" w:after="0"/>
            <w:jc w:val="right"/>
            <w:rPr>
              <w:sz w:val="20"/>
              <w:szCs w:val="20"/>
            </w:rPr>
          </w:pPr>
          <w:r>
            <w:rPr>
              <w:sz w:val="20"/>
            </w:rPr>
            <w:t>Top Secret</w:t>
          </w:r>
        </w:p>
      </w:tc>
    </w:tr>
  </w:tbl>
  <w:p>
    <w:pPr>
      <w:pStyle w:val="Header"/>
      <w:spacing w:before="0" w:after="0"/>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502" w:hanging="360"/>
      </w:pPr>
      <w:rPr/>
    </w:lvl>
    <w:lvl w:ilvl="1">
      <w:start w:val="1"/>
      <w:pStyle w:val="Heading2"/>
      <w:isLgl/>
      <w:numFmt w:val="decimal"/>
      <w:lvlText w:val="%1.%2."/>
      <w:lvlJc w:val="left"/>
      <w:pPr>
        <w:tabs>
          <w:tab w:val="num" w:pos="0"/>
        </w:tabs>
        <w:ind w:left="360" w:hanging="360"/>
      </w:pPr>
      <w:rPr/>
    </w:lvl>
    <w:lvl w:ilvl="2">
      <w:start w:val="1"/>
      <w:pStyle w:val="Heading3"/>
      <w:isLgl/>
      <w:numFmt w:val="decimal"/>
      <w:lvlText w:val="%1.%2.%3."/>
      <w:lvlJc w:val="left"/>
      <w:pPr>
        <w:tabs>
          <w:tab w:val="num" w:pos="0"/>
        </w:tabs>
        <w:ind w:left="720" w:hanging="720"/>
      </w:pPr>
      <w:rPr/>
    </w:lvl>
    <w:lvl w:ilvl="3">
      <w:start w:val="1"/>
      <w:isLgl/>
      <w:numFmt w:val="decimal"/>
      <w:lvlText w:val="%1.%2.%3.%4."/>
      <w:lvlJc w:val="left"/>
      <w:pPr>
        <w:tabs>
          <w:tab w:val="num" w:pos="0"/>
        </w:tabs>
        <w:ind w:left="720" w:hanging="720"/>
      </w:pPr>
      <w:rPr/>
    </w:lvl>
    <w:lvl w:ilvl="4">
      <w:start w:val="1"/>
      <w:isLgl/>
      <w:numFmt w:val="decimal"/>
      <w:lvlText w:val="%1.%2.%3.%4.%5."/>
      <w:lvlJc w:val="left"/>
      <w:pPr>
        <w:tabs>
          <w:tab w:val="num" w:pos="0"/>
        </w:tabs>
        <w:ind w:left="1080" w:hanging="1080"/>
      </w:pPr>
      <w:rPr/>
    </w:lvl>
    <w:lvl w:ilvl="5">
      <w:start w:val="1"/>
      <w:isLgl/>
      <w:numFmt w:val="decimal"/>
      <w:lvlText w:val="%1.%2.%3.%4.%5.%6."/>
      <w:lvlJc w:val="left"/>
      <w:pPr>
        <w:tabs>
          <w:tab w:val="num" w:pos="0"/>
        </w:tabs>
        <w:ind w:left="1080" w:hanging="1080"/>
      </w:pPr>
      <w:rPr/>
    </w:lvl>
    <w:lvl w:ilvl="6">
      <w:start w:val="1"/>
      <w:isLgl/>
      <w:numFmt w:val="decimal"/>
      <w:lvlText w:val="%1.%2.%3.%4.%5.%6.%7."/>
      <w:lvlJc w:val="left"/>
      <w:pPr>
        <w:tabs>
          <w:tab w:val="num" w:pos="0"/>
        </w:tabs>
        <w:ind w:left="1440" w:hanging="1440"/>
      </w:pPr>
      <w:rPr/>
    </w:lvl>
    <w:lvl w:ilvl="7">
      <w:start w:val="1"/>
      <w:isLgl/>
      <w:numFmt w:val="decimal"/>
      <w:lvlText w:val="%1.%2.%3.%4.%5.%6.%7.%8."/>
      <w:lvlJc w:val="left"/>
      <w:pPr>
        <w:tabs>
          <w:tab w:val="num" w:pos="0"/>
        </w:tabs>
        <w:ind w:left="1440" w:hanging="1440"/>
      </w:pPr>
      <w:rPr/>
    </w:lvl>
    <w:lvl w:ilvl="8">
      <w:start w:val="1"/>
      <w:isLgl/>
      <w:numFmt w:val="decimal"/>
      <w:lvlText w:val="%1.%2.%3.%4.%5.%6.%7.%8.%9."/>
      <w:lvlJc w:val="left"/>
      <w:pPr>
        <w:tabs>
          <w:tab w:val="num" w:pos="0"/>
        </w:tabs>
        <w:ind w:left="1800" w:hanging="180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r-HR" w:eastAsia="zh-CN" w:bidi=""/>
  <w:docVars>
    <w:docVar w:name="__Grammarly_42____i" w:val="H4sIAAAAAAAEAKtWckksSQxILCpxzi/NK1GyMqwFAAEhoTITAAAA"/>
    <w:docVar w:name="__Grammarly_42___1" w:val="H4sIAAAAAAAEAKtWcslP9kxRslIyNDY2NjMwtrQwNzI3MjCyMDFX0lEKTi0uzszPAykwNKkFAFciJD0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hr-HR" w:eastAsia="hr-HR"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3228c"/>
    <w:pPr>
      <w:widowControl/>
      <w:bidi w:val="0"/>
      <w:spacing w:lineRule="auto" w:line="276" w:before="0" w:after="200"/>
      <w:jc w:val="left"/>
    </w:pPr>
    <w:rPr>
      <w:rFonts w:ascii="Calibri" w:hAnsi="Calibri" w:eastAsia="Calibri"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db37f7"/>
    <w:pPr>
      <w:numPr>
        <w:ilvl w:val="0"/>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961e0"/>
    <w:rPr>
      <w:sz w:val="22"/>
      <w:szCs w:val="22"/>
      <w:lang w:val="en-GB" w:eastAsia="en-US"/>
    </w:rPr>
  </w:style>
  <w:style w:type="character" w:styleId="FooterChar" w:customStyle="1">
    <w:name w:val="Footer Char"/>
    <w:basedOn w:val="DefaultParagraphFont"/>
    <w:link w:val="Footer"/>
    <w:uiPriority w:val="99"/>
    <w:qFormat/>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styleId="Heading1Char" w:customStyle="1">
    <w:name w:val="Heading 1 Char"/>
    <w:basedOn w:val="DefaultParagraphFont"/>
    <w:link w:val="Heading1"/>
    <w:uiPriority w:val="9"/>
    <w:qFormat/>
    <w:rsid w:val="00db37f7"/>
    <w:rPr>
      <w:b/>
      <w:sz w:val="28"/>
      <w:szCs w:val="28"/>
      <w:lang w:val="en-GB" w:eastAsia="en-US"/>
    </w:rPr>
  </w:style>
  <w:style w:type="character" w:styleId="annotationreference">
    <w:name w:val="annotation reference"/>
    <w:basedOn w:val="DefaultParagraphFont"/>
    <w:uiPriority w:val="99"/>
    <w:unhideWhenUsed/>
    <w:qFormat/>
    <w:rsid w:val="001f328e"/>
    <w:rPr>
      <w:sz w:val="16"/>
      <w:szCs w:val="16"/>
      <w:lang w:val="en-US"/>
    </w:rPr>
  </w:style>
  <w:style w:type="character" w:styleId="CommentTextChar" w:customStyle="1">
    <w:name w:val="Comment Text Char"/>
    <w:basedOn w:val="DefaultParagraphFont"/>
    <w:link w:val="AnnotationText"/>
    <w:uiPriority w:val="99"/>
    <w:qFormat/>
    <w:rsid w:val="001f328e"/>
    <w:rPr>
      <w:lang w:val="en-US" w:eastAsia="en-US"/>
    </w:rPr>
  </w:style>
  <w:style w:type="character" w:styleId="CommentSubjectChar" w:customStyle="1">
    <w:name w:val="Comment Subject Char"/>
    <w:basedOn w:val="CommentTextChar"/>
    <w:link w:val="annotationsubject"/>
    <w:uiPriority w:val="99"/>
    <w:semiHidden/>
    <w:qFormat/>
    <w:rsid w:val="00903ed2"/>
    <w:rPr>
      <w:b/>
      <w:bCs/>
      <w:lang w:val="en-GB" w:eastAsia="en-US"/>
    </w:rPr>
  </w:style>
  <w:style w:type="character" w:styleId="BalloonTextChar" w:customStyle="1">
    <w:name w:val="Balloon Text Char"/>
    <w:basedOn w:val="DefaultParagraphFont"/>
    <w:link w:val="BalloonText"/>
    <w:uiPriority w:val="99"/>
    <w:semiHidden/>
    <w:qFormat/>
    <w:rsid w:val="00903ed2"/>
    <w:rPr>
      <w:rFonts w:ascii="Tahoma" w:hAnsi="Tahoma" w:cs="Tahoma"/>
      <w:sz w:val="16"/>
      <w:szCs w:val="16"/>
      <w:lang w:val="en-GB" w:eastAsia="en-US"/>
    </w:rPr>
  </w:style>
  <w:style w:type="character" w:styleId="Heading2Char" w:customStyle="1">
    <w:name w:val="Heading 2 Char"/>
    <w:basedOn w:val="DefaultParagraphFont"/>
    <w:link w:val="Heading2"/>
    <w:uiPriority w:val="9"/>
    <w:qFormat/>
    <w:rsid w:val="00ef7719"/>
    <w:rPr>
      <w:b/>
      <w:sz w:val="24"/>
      <w:szCs w:val="24"/>
      <w:lang w:val="en-GB" w:eastAsia="en-US"/>
    </w:rPr>
  </w:style>
  <w:style w:type="character" w:styleId="Heading3Char" w:customStyle="1">
    <w:name w:val="Heading 3 Char"/>
    <w:basedOn w:val="DefaultParagraphFont"/>
    <w:link w:val="Heading3"/>
    <w:uiPriority w:val="9"/>
    <w:qFormat/>
    <w:rsid w:val="00c73ce6"/>
    <w:rPr>
      <w:b/>
      <w:i/>
      <w:sz w:val="22"/>
      <w:szCs w:val="22"/>
      <w:lang w:val="en-GB" w:eastAsia="en-US"/>
    </w:rPr>
  </w:style>
  <w:style w:type="character" w:styleId="MenoPendente1" w:customStyle="1">
    <w:name w:val="Menção Pendente1"/>
    <w:basedOn w:val="DefaultParagraphFont"/>
    <w:uiPriority w:val="99"/>
    <w:semiHidden/>
    <w:unhideWhenUsed/>
    <w:qFormat/>
    <w:rsid w:val="002f5572"/>
    <w:rPr>
      <w:color w:val="808080"/>
      <w:shd w:fill="E6E6E6" w:val="clear"/>
    </w:rPr>
  </w:style>
  <w:style w:type="character" w:styleId="FollowedHyperlink">
    <w:name w:val="FollowedHyperlink"/>
    <w:basedOn w:val="DefaultParagraphFont"/>
    <w:uiPriority w:val="99"/>
    <w:semiHidden/>
    <w:unhideWhenUsed/>
    <w:rsid w:val="00764032"/>
    <w:rPr>
      <w:color w:themeColor="followedHyperlink" w:val="800080"/>
      <w:u w:val="single"/>
    </w:rPr>
  </w:style>
  <w:style w:type="character" w:styleId="UnresolvedMention">
    <w:name w:val="Unresolved Mention"/>
    <w:basedOn w:val="DefaultParagraphFont"/>
    <w:uiPriority w:val="99"/>
    <w:semiHidden/>
    <w:unhideWhenUsed/>
    <w:qFormat/>
    <w:rsid w:val="00e37b09"/>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f961e0"/>
    <w:pPr>
      <w:tabs>
        <w:tab w:val="clear" w:pos="708"/>
        <w:tab w:val="center" w:pos="4536" w:leader="none"/>
        <w:tab w:val="right" w:pos="9072" w:leader="none"/>
      </w:tabs>
    </w:pPr>
    <w:rPr/>
  </w:style>
  <w:style w:type="paragraph" w:styleId="Footer">
    <w:name w:val="Footer"/>
    <w:basedOn w:val="Normal"/>
    <w:link w:val="FooterChar"/>
    <w:unhideWhenUsed/>
    <w:rsid w:val="00f961e0"/>
    <w:pPr>
      <w:tabs>
        <w:tab w:val="clear" w:pos="708"/>
        <w:tab w:val="center" w:pos="4536" w:leader="none"/>
        <w:tab w:val="right" w:pos="9072" w:leader="none"/>
      </w:tabs>
    </w:pPr>
    <w:rPr/>
  </w:style>
  <w:style w:type="paragraph" w:styleId="AnnotationText">
    <w:name w:val="Annotation Text"/>
    <w:basedOn w:val="Normal"/>
    <w:link w:val="CommentTextChar"/>
    <w:uiPriority w:val="99"/>
    <w:unhideWhenUsed/>
    <w:rsid w:val="001f328e"/>
    <w:pPr/>
    <w:rPr>
      <w:sz w:val="20"/>
      <w:szCs w:val="20"/>
    </w:rPr>
  </w:style>
  <w:style w:type="paragraph" w:styleId="annotationsubject">
    <w:name w:val="annotation subject"/>
    <w:basedOn w:val="AnnotationText"/>
    <w:next w:val="AnnotationText"/>
    <w:link w:val="CommentSubjectChar"/>
    <w:uiPriority w:val="99"/>
    <w:semiHidden/>
    <w:unhideWhenUsed/>
    <w:qFormat/>
    <w:rsid w:val="00903ed2"/>
    <w:pPr/>
    <w:rPr>
      <w:b/>
      <w:bCs/>
    </w:rPr>
  </w:style>
  <w:style w:type="paragraph" w:styleId="BalloonText">
    <w:name w:val="Balloon Text"/>
    <w:basedOn w:val="Normal"/>
    <w:link w:val="BalloonTextChar"/>
    <w:uiPriority w:val="99"/>
    <w:semiHidden/>
    <w:unhideWhenUsed/>
    <w:qFormat/>
    <w:rsid w:val="00903ed2"/>
    <w:pPr>
      <w:spacing w:lineRule="auto" w:line="240" w:before="0" w:after="0"/>
    </w:pPr>
    <w:rPr>
      <w:rFonts w:ascii="Tahoma" w:hAnsi="Tahoma" w:cs="Tahoma"/>
      <w:sz w:val="16"/>
      <w:szCs w:val="16"/>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before="0" w:after="0"/>
      <w:ind w:left="220"/>
    </w:pPr>
    <w:rPr>
      <w:smallCaps/>
      <w:sz w:val="20"/>
      <w:szCs w:val="20"/>
    </w:rPr>
  </w:style>
  <w:style w:type="paragraph" w:styleId="TOC3">
    <w:name w:val="TOC 3"/>
    <w:basedOn w:val="Normal"/>
    <w:next w:val="Normal"/>
    <w:autoRedefine/>
    <w:uiPriority w:val="39"/>
    <w:unhideWhenUsed/>
    <w:rsid w:val="00d01489"/>
    <w:pPr>
      <w:spacing w:before="0" w:after="0"/>
      <w:ind w:left="440"/>
    </w:pPr>
    <w:rPr>
      <w:i/>
      <w:iCs/>
      <w:sz w:val="20"/>
      <w:szCs w:val="20"/>
    </w:rPr>
  </w:style>
  <w:style w:type="paragraph" w:styleId="TOC4">
    <w:name w:val="TOC 4"/>
    <w:basedOn w:val="Normal"/>
    <w:next w:val="Normal"/>
    <w:autoRedefine/>
    <w:uiPriority w:val="39"/>
    <w:unhideWhenUsed/>
    <w:rsid w:val="00d01489"/>
    <w:pPr>
      <w:spacing w:before="0" w:after="0"/>
      <w:ind w:left="660"/>
    </w:pPr>
    <w:rPr>
      <w:sz w:val="18"/>
      <w:szCs w:val="18"/>
    </w:rPr>
  </w:style>
  <w:style w:type="paragraph" w:styleId="TOC5">
    <w:name w:val="TOC 5"/>
    <w:basedOn w:val="Normal"/>
    <w:next w:val="Normal"/>
    <w:autoRedefine/>
    <w:uiPriority w:val="39"/>
    <w:unhideWhenUsed/>
    <w:rsid w:val="00d01489"/>
    <w:pPr>
      <w:spacing w:before="0" w:after="0"/>
      <w:ind w:left="880"/>
    </w:pPr>
    <w:rPr>
      <w:sz w:val="18"/>
      <w:szCs w:val="18"/>
    </w:rPr>
  </w:style>
  <w:style w:type="paragraph" w:styleId="TOC6">
    <w:name w:val="TOC 6"/>
    <w:basedOn w:val="Normal"/>
    <w:next w:val="Normal"/>
    <w:autoRedefine/>
    <w:uiPriority w:val="39"/>
    <w:unhideWhenUsed/>
    <w:rsid w:val="00d01489"/>
    <w:pPr>
      <w:spacing w:before="0" w:after="0"/>
      <w:ind w:left="1100"/>
    </w:pPr>
    <w:rPr>
      <w:sz w:val="18"/>
      <w:szCs w:val="18"/>
    </w:rPr>
  </w:style>
  <w:style w:type="paragraph" w:styleId="TOC7">
    <w:name w:val="TOC 7"/>
    <w:basedOn w:val="Normal"/>
    <w:next w:val="Normal"/>
    <w:autoRedefine/>
    <w:uiPriority w:val="39"/>
    <w:unhideWhenUsed/>
    <w:rsid w:val="00d01489"/>
    <w:pPr>
      <w:spacing w:before="0" w:after="0"/>
      <w:ind w:left="1320"/>
    </w:pPr>
    <w:rPr>
      <w:sz w:val="18"/>
      <w:szCs w:val="18"/>
    </w:rPr>
  </w:style>
  <w:style w:type="paragraph" w:styleId="TOC8">
    <w:name w:val="TOC 8"/>
    <w:basedOn w:val="Normal"/>
    <w:next w:val="Normal"/>
    <w:autoRedefine/>
    <w:uiPriority w:val="39"/>
    <w:unhideWhenUsed/>
    <w:rsid w:val="00d01489"/>
    <w:pPr>
      <w:spacing w:before="0" w:after="0"/>
      <w:ind w:left="1540"/>
    </w:pPr>
    <w:rPr>
      <w:sz w:val="18"/>
      <w:szCs w:val="18"/>
    </w:rPr>
  </w:style>
  <w:style w:type="paragraph" w:styleId="TOC9">
    <w:name w:val="TOC 9"/>
    <w:basedOn w:val="Normal"/>
    <w:next w:val="Normal"/>
    <w:autoRedefine/>
    <w:uiPriority w:val="39"/>
    <w:unhideWhenUsed/>
    <w:rsid w:val="00d01489"/>
    <w:pPr>
      <w:spacing w:before="0" w:after="0"/>
      <w:ind w:left="1760"/>
    </w:pPr>
    <w:rPr>
      <w:sz w:val="18"/>
      <w:szCs w:val="18"/>
    </w:rPr>
  </w:style>
  <w:style w:type="paragraph" w:styleId="Revision">
    <w:name w:val="Revision"/>
    <w:uiPriority w:val="99"/>
    <w:semiHidden/>
    <w:qFormat/>
    <w:rsid w:val="009a5f28"/>
    <w:pPr>
      <w:widowControl/>
      <w:bidi w:val="0"/>
      <w:spacing w:before="0" w:after="0"/>
      <w:jc w:val="left"/>
    </w:pPr>
    <w:rPr>
      <w:rFonts w:ascii="Calibri" w:hAnsi="Calibri" w:eastAsia="Calibri" w:cs="Times New Roman"/>
      <w:color w:val="auto"/>
      <w:kern w:val="0"/>
      <w:sz w:val="22"/>
      <w:szCs w:val="22"/>
      <w:lang w:val="en-GB" w:eastAsia="en-US" w:bidi="ar-SA"/>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c5b74"/>
    <w:pPr>
      <w:keepNext w:val="true"/>
      <w:keepLines/>
      <w:numPr>
        <w:ilvl w:val="0"/>
        <w:numId w:val="0"/>
      </w:numPr>
      <w:spacing w:before="480" w:after="0"/>
      <w:ind w:left="360"/>
      <w:outlineLvl w:val="9"/>
    </w:pPr>
    <w:rPr>
      <w:rFonts w:ascii="Cambria" w:hAnsi="Cambria" w:eastAsia="Times New Roman"/>
      <w:bCs/>
      <w:color w:val="365F91"/>
    </w:rPr>
  </w:style>
  <w:style w:type="paragraph" w:styleId="ListParagraph">
    <w:name w:val="List Paragraph"/>
    <w:basedOn w:val="Normal"/>
    <w:uiPriority w:val="34"/>
    <w:qFormat/>
    <w:rsid w:val="00ad626a"/>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af384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comments.xml.rels><?xml version="1.0" encoding="UTF-8"?>
<Relationships xmlns="http://schemas.openxmlformats.org/package/2006/relationships"><Relationship Id="rId1" Type="http://schemas.openxmlformats.org/officeDocument/2006/relationships/hyperlink" Target="https://advisera.com/27001academy/knowledgebase/how-to-define-the-isms-scope/"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dvisera.com/27001academy/iso-27001-documentation-toolki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5F949C-D529-4B11-91BE-869767CF5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5</Pages>
  <Words>413</Words>
  <Characters>2231</Characters>
  <CharactersWithSpaces>2581</CharactersWithSpaces>
  <Paragraphs>61</Paragraphs>
  <Company>Advisera Expert Solutions Ltd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2024-10-23T11:41:00Z</dcterms:created>
  <dc:creator>Advisera</dc:creator>
  <dc:description>©2023 This template may be used by clients of Advisera Expert Solutions Ltd. www.advisera.com in accordance with the License Agreement.</dc:description>
  <dc:language>en-US</dc:language>
  <cp:lastModifiedBy/>
  <dcterms:modified xsi:type="dcterms:W3CDTF">2025-08-08T20:49:22Z</dcterms:modified>
  <cp:revision>3</cp:revision>
  <dc:subject>27001-FTSCOPE-EN</dc:subject>
  <dc:title>ISMS Scope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