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📑 </w:t>
      </w:r>
      <w:r>
        <w:rPr>
          <w:rFonts w:ascii="Google Sans;sans-serif" w:hAnsi="Google Sans;sans-serif"/>
        </w:rPr>
        <w:t>Consultant Instructions Document: ISO 27001 Lead Implementer &amp; Lead Auditor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General Objective:</w:t>
      </w:r>
      <w:r>
        <w:rPr>
          <w:rFonts w:ascii="Google Sans Text;sans-serif" w:hAnsi="Google Sans Text;sans-serif"/>
        </w:rPr>
        <w:t xml:space="preserve"> To provide comprehensive guidance, oversight, and training supervision for the qualification of the candidate to achieve both the </w:t>
      </w:r>
      <w:r>
        <w:rPr>
          <w:rFonts w:ascii="Google Sans Text;sans-serif" w:hAnsi="Google Sans Text;sans-serif"/>
          <w:b/>
        </w:rPr>
        <w:t>ISO 27001 Lead Implementer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ISO 27001 Lead Auditor</w:t>
      </w:r>
      <w:r>
        <w:rPr>
          <w:rFonts w:ascii="Google Sans Text;sans-serif" w:hAnsi="Google Sans Text;sans-serif"/>
        </w:rPr>
        <w:t xml:space="preserve"> certifications, strictly adhering to the latest standard version ($ISO/IEC 27001:2022$).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General Principles &amp; Core Guidelines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Methodological Separation:</w:t>
      </w:r>
      <w:r>
        <w:rPr>
          <w:rFonts w:ascii="Google Sans Text;sans-serif" w:hAnsi="Google Sans Text;sans-serif"/>
        </w:rPr>
        <w:t xml:space="preserve"> The consultant must explain and establish the core methodologies separately. The approach for </w:t>
      </w:r>
      <w:r>
        <w:rPr>
          <w:rFonts w:ascii="Google Sans Text;sans-serif" w:hAnsi="Google Sans Text;sans-serif"/>
          <w:b/>
        </w:rPr>
        <w:t>building and operating a system (Implementation)</w:t>
      </w:r>
      <w:r>
        <w:rPr>
          <w:rFonts w:ascii="Google Sans Text;sans-serif" w:hAnsi="Google Sans Text;sans-serif"/>
        </w:rPr>
        <w:t xml:space="preserve"> fundamentally differs from the approach for </w:t>
      </w:r>
      <w:r>
        <w:rPr>
          <w:rFonts w:ascii="Google Sans Text;sans-serif" w:hAnsi="Google Sans Text;sans-serif"/>
          <w:b/>
        </w:rPr>
        <w:t>verification and evaluation (Auditing)</w:t>
      </w:r>
      <w:r>
        <w:rPr>
          <w:rFonts w:ascii="Google Sans Text;sans-serif" w:hAnsi="Google Sans Text;sans-serif"/>
        </w:rPr>
        <w:t xml:space="preserve">. This aligns with the strict governance principle: </w:t>
      </w:r>
      <w:r>
        <w:rPr>
          <w:rFonts w:ascii="Google Sans Text;sans-serif" w:hAnsi="Google Sans Text;sans-serif"/>
          <w:i/>
        </w:rPr>
        <w:t>"The builder cannot audit their own work."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Practical &amp; Hands-on Approach:</w:t>
      </w:r>
      <w:r>
        <w:rPr>
          <w:rFonts w:ascii="Google Sans Text;sans-serif" w:hAnsi="Google Sans Text;sans-serif"/>
        </w:rPr>
        <w:t xml:space="preserve"> Instruction must transcend theoretical definitions. The consultant should utilize real-world case studies, project documentation, and standard artifacts used in live deployment environments.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Focus on the 2022 Revision:</w:t>
      </w:r>
      <w:r>
        <w:rPr>
          <w:rFonts w:ascii="Google Sans Text;sans-serif" w:hAnsi="Google Sans Text;sans-serif"/>
        </w:rPr>
        <w:t xml:space="preserve"> All training must center completely on the 2022 edition, highlighting critical changes from the 2013 version (such as the restructuring of the Annex A controls into 4 consolidated themes).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Consultant Responsibilities: ISO 27001 Lead Implementer Pathway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consultant is directed to cover and qualify the candidate across the complete $PDCA$ (Plan-Do-Check-Act) lifecycle: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Planning Phase (Plan):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Guide the candidate on defining the Context of the Organization and establishing the precise ISMS Scope.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Demonstrate how to secure leadership commitment and draft an effective Information Security Policy.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Provide intensive training on </w:t>
      </w:r>
      <w:r>
        <w:rPr>
          <w:rFonts w:ascii="Google Sans Text;sans-serif" w:hAnsi="Google Sans Text;sans-serif"/>
          <w:b/>
        </w:rPr>
        <w:t>Risk Assessment and Risk Treatment methodologies</w:t>
      </w:r>
      <w:r>
        <w:rPr>
          <w:rFonts w:ascii="Google Sans Text;sans-serif" w:hAnsi="Google Sans Text;sans-serif"/>
        </w:rPr>
        <w:t>, aligned with $ISO/IEC 27005$ guidelines.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Implementation Phase (Do):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Master the drafting of the </w:t>
      </w:r>
      <w:r>
        <w:rPr>
          <w:rFonts w:ascii="Google Sans Text;sans-serif" w:hAnsi="Google Sans Text;sans-serif"/>
          <w:b/>
        </w:rPr>
        <w:t>Statement of Applicability (SoA)</w:t>
      </w:r>
      <w:r>
        <w:rPr>
          <w:rFonts w:ascii="Google Sans Text;sans-serif" w:hAnsi="Google Sans Text;sans-serif"/>
        </w:rPr>
        <w:t xml:space="preserve"> and selecting relevant controls from Annex A.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Formulate the Risk Treatment Plan (RTP) and deploy administrative, technical, physical, and organizational controls.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Structure effective Information Security Awareness programs.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Evaluation &amp; Improvement (Check &amp; Act):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Define key performance indicators (KPIs) to measure ISMS effectiveness.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Structure and conduct formal Management Reviews.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Consultant Responsibilities: ISO 27001 Lead Auditor Pathway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consultant is directed to build and refine the candidate’s auditing competencies based on the auditing guidelines of $ISO 19011$: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Audit Principles:</w:t>
      </w:r>
      <w:r>
        <w:rPr>
          <w:rFonts w:ascii="Google Sans Text;sans-serif" w:hAnsi="Google Sans Text;sans-serif"/>
        </w:rPr>
        <w:t xml:space="preserve"> Establish the fundamentals of independence, integrity, professional care, and evidence-based auditing.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Managing an Audit Program:</w:t>
      </w:r>
      <w:r>
        <w:rPr>
          <w:rFonts w:ascii="Google Sans Text;sans-serif" w:hAnsi="Google Sans Text;sans-serif"/>
        </w:rPr>
        <w:t xml:space="preserve"> Instruct on how to develop an Audit Plan, define audit objectives, and outline scopes for both internal and external audits.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Executing the Audit: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Draft comprehensive Audit Checklists.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Master interviewing techniques, sampling, and collecting objective Audit Evidence.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Properly document and classify </w:t>
      </w:r>
      <w:r>
        <w:rPr>
          <w:rFonts w:ascii="Google Sans Text;sans-serif" w:hAnsi="Google Sans Text;sans-serif"/>
          <w:b/>
        </w:rPr>
        <w:t>Non-Conformities (NCs)</w:t>
      </w:r>
      <w:r>
        <w:rPr>
          <w:rFonts w:ascii="Google Sans Text;sans-serif" w:hAnsi="Google Sans Text;sans-serif"/>
        </w:rPr>
        <w:t xml:space="preserve"> into Major and Minor findings.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Reporting &amp; Follow-up:</w:t>
      </w:r>
      <w:r>
        <w:rPr>
          <w:rFonts w:ascii="Google Sans Text;sans-serif" w:hAnsi="Google Sans Text;sans-serif"/>
        </w:rPr>
        <w:t xml:space="preserve"> Draft the final Audit Report and validate the effectiveness of proposed Corrective Actions.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Expected Deliverables from the Consultant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Style w:val="Strong"/>
          <w:rFonts w:ascii="Google Sans Text;sans-serif" w:hAnsi="Google Sans Text;sans-serif"/>
        </w:rPr>
        <w:t>1.Provide Mock Exams &amp; Question Banks:</w:t>
      </w:r>
      <w:r>
        <w:rPr>
          <w:rFonts w:ascii="Google Sans Text;sans-serif" w:hAnsi="Google Sans Text;sans-serif"/>
        </w:rPr>
        <w:t>Exam Readiness.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Supply simulation exams matching official certification bodies (e.g., PECB) and conduct thorough review sessions to analyze incorrect answers.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Style w:val="Strong"/>
          <w:rFonts w:ascii="Google Sans Text;sans-serif" w:hAnsi="Google Sans Text;sans-serif"/>
        </w:rPr>
        <w:t>2.Review &amp; Analyze Practical Templates:</w:t>
      </w:r>
      <w:r>
        <w:rPr>
          <w:rFonts w:ascii="Google Sans Text;sans-serif" w:hAnsi="Google Sans Text;sans-serif"/>
        </w:rPr>
        <w:t>Practical Application.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Provide and review live templates for key documentation, including the Risk Register, Statement of Applicability (SoA), Audit Plans, and Non-Conformity (NC) Reports.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Style w:val="Strong"/>
          <w:rFonts w:ascii="Google Sans Text;sans-serif" w:hAnsi="Google Sans Text;sans-serif"/>
        </w:rPr>
        <w:t>3.Conduct Vetting &amp; Oral Evaluation Sessions:</w:t>
      </w:r>
      <w:r>
        <w:rPr>
          <w:rFonts w:ascii="Google Sans Text;sans-serif" w:hAnsi="Google Sans Text;sans-serif"/>
        </w:rPr>
        <w:t>Readiness Assessment.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Hold interactive Q&amp;A sessions to test the candidate’s ability to handle complex scenario-based questions and formal audit interviews.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/>
      </w:pPr>
      <w:r>
        <w:rPr/>
        <w:t xml:space="preserve">💡 </w:t>
      </w:r>
      <w:r>
        <w:rPr>
          <w:rFonts w:ascii="Google Sans Text;sans-serif" w:hAnsi="Google Sans Text;sans-serif"/>
          <w:b/>
        </w:rPr>
        <w:t>Important Note for the Consultant:</w:t>
      </w:r>
      <w:r>
        <w:rPr>
          <w:rFonts w:ascii="Google Sans Text;sans-serif" w:hAnsi="Google Sans Text;sans-serif"/>
        </w:rPr>
        <w:t xml:space="preserve"> Please place a heavy emphasis on "real-world" GRC scenarios where technical controls intersect with governance. The ultimate goal of this engagement is not merely passing the examinations, but ensuring the candidate is fully capable of leading end-to-end compliance and audit engagements with confidence.</w:t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3</Pages>
  <Words>554</Words>
  <Characters>3517</Characters>
  <CharactersWithSpaces>4014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