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_rels/document.xml.rels" ContentType="application/vnd.openxmlformats-package.relationships+xml"/>
  <Override PartName="/word/_rels/comments.xml.rels" ContentType="application/vnd.openxmlformats-package.relationships+xml"/>
  <Override PartName="/word/comments.xml" ContentType="application/vnd.openxmlformats-officedocument.wordprocessingml.comments+xml"/>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jc w:val="center"/>
        <w:rPr>
          <w:rFonts w:eastAsia="Times New Roman"/>
          <w:b/>
          <w:bCs/>
          <w:sz w:val="28"/>
          <w:szCs w:val="28"/>
        </w:rPr>
      </w:pPr>
      <w:r>
        <w:rPr>
          <w:rFonts w:eastAsia="Times New Roman"/>
          <w:b/>
          <w:bCs/>
          <w:sz w:val="28"/>
          <w:szCs w:val="28"/>
        </w:rPr>
        <w:t>* THIS IS A FREE PREVIEW OF THE DOCUMENT *</w:t>
      </w:r>
    </w:p>
    <w:p>
      <w:pPr>
        <w:pStyle w:val="Normal"/>
        <w:rPr/>
      </w:pPr>
      <w:commentRangeStart w:id="0"/>
      <w:r>
        <w:rPr/>
        <w:t xml:space="preserve"> </w:t>
      </w:r>
      <w:commentRangeEnd w:id="0"/>
      <w:r>
        <w:commentReference w:id="0"/>
      </w:r>
      <w:r>
        <w:rPr/>
      </w:r>
    </w:p>
    <w:p>
      <w:pPr>
        <w:pStyle w:val="Normal"/>
        <w:rPr/>
      </w:pPr>
      <w:r>
        <w:rPr/>
      </w:r>
    </w:p>
    <w:p>
      <w:pPr>
        <w:pStyle w:val="Normal"/>
        <w:rPr/>
      </w:pPr>
      <w:r>
        <w:rPr/>
      </w:r>
    </w:p>
    <w:p>
      <w:pPr>
        <w:pStyle w:val="Normal"/>
        <w:rPr/>
      </w:pPr>
      <w:r>
        <w:rPr/>
      </w:r>
    </w:p>
    <w:p>
      <w:pPr>
        <w:pStyle w:val="Normal"/>
        <w:rPr/>
      </w:pPr>
      <w:r>
        <w:rPr/>
      </w:r>
    </w:p>
    <w:p>
      <w:pPr>
        <w:pStyle w:val="Normal"/>
        <w:rPr/>
      </w:pPr>
      <w:r>
        <w:rPr/>
      </w:r>
      <w:bookmarkStart w:id="0" w:name="_Hlk157675063"/>
      <w:bookmarkStart w:id="1" w:name="_Hlk157675063"/>
      <w:bookmarkEnd w:id="1"/>
    </w:p>
    <w:p>
      <w:pPr>
        <w:pStyle w:val="Normal"/>
        <w:jc w:val="center"/>
        <w:rPr/>
      </w:pPr>
      <w:bookmarkStart w:id="2" w:name="_Hlk142898806"/>
      <w:bookmarkStart w:id="3" w:name="_Hlk157507378"/>
      <w:bookmarkEnd w:id="2"/>
      <w:bookmarkEnd w:id="3"/>
      <w:r>
        <w:rPr/>
        <w:drawing>
          <wp:inline distT="0" distB="0" distL="0" distR="0">
            <wp:extent cx="2499995" cy="2499995"/>
            <wp:effectExtent l="0" t="0" r="0" b="0"/>
            <wp:docPr id="1" name="Logo"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
                    <pic:cNvPicPr>
                      <a:picLocks noChangeAspect="1" noChangeArrowheads="1"/>
                    </pic:cNvPicPr>
                  </pic:nvPicPr>
                  <pic:blipFill>
                    <a:blip r:embed="rId2"/>
                    <a:stretch>
                      <a:fillRect/>
                    </a:stretch>
                  </pic:blipFill>
                  <pic:spPr bwMode="auto">
                    <a:xfrm>
                      <a:off x="0" y="0"/>
                      <a:ext cx="2499995" cy="2499995"/>
                    </a:xfrm>
                    <a:prstGeom prst="rect">
                      <a:avLst/>
                    </a:prstGeom>
                  </pic:spPr>
                </pic:pic>
              </a:graphicData>
            </a:graphic>
          </wp:inline>
        </w:drawing>
      </w:r>
    </w:p>
    <w:p>
      <w:pPr>
        <w:pStyle w:val="Normal"/>
        <w:jc w:val="center"/>
        <w:rPr/>
      </w:pPr>
      <w:bookmarkStart w:id="4" w:name="_Hlk142898806"/>
      <w:bookmarkStart w:id="5" w:name="_Hlk157507417"/>
      <w:bookmarkEnd w:id="4"/>
      <w:bookmarkEnd w:id="5"/>
      <w:r>
        <w:rPr/>
        <w:t>MHZ</w:t>
      </w:r>
    </w:p>
    <w:p>
      <w:pPr>
        <w:pStyle w:val="Normal"/>
        <w:jc w:val="center"/>
        <w:rPr/>
      </w:pPr>
      <w:r>
        <w:rPr/>
      </w:r>
    </w:p>
    <w:p>
      <w:pPr>
        <w:pStyle w:val="Normal"/>
        <w:jc w:val="center"/>
        <w:rPr/>
      </w:pPr>
      <w:r>
        <w:rPr/>
      </w:r>
      <w:bookmarkStart w:id="6" w:name="_Hlk157675063"/>
      <w:bookmarkStart w:id="7" w:name="_Hlk157675063"/>
      <w:bookmarkEnd w:id="7"/>
    </w:p>
    <w:p>
      <w:pPr>
        <w:pStyle w:val="Normal"/>
        <w:jc w:val="center"/>
        <w:rPr>
          <w:b/>
          <w:sz w:val="32"/>
          <w:szCs w:val="32"/>
        </w:rPr>
      </w:pPr>
      <w:commentRangeStart w:id="1"/>
      <w:r>
        <w:rPr>
          <w:b/>
          <w:sz w:val="32"/>
        </w:rPr>
        <w:t>INFORMATION SECURITY POLICY</w:t>
      </w:r>
      <w:commentRangeEnd w:id="1"/>
      <w:r>
        <w:commentReference w:id="1"/>
      </w:r>
      <w:r>
        <w:rPr>
          <w:b/>
          <w:sz w:val="32"/>
        </w:rPr>
      </w:r>
    </w:p>
    <w:p>
      <w:pPr>
        <w:pStyle w:val="Normal"/>
        <w:jc w:val="center"/>
        <w:rPr/>
      </w:pPr>
      <w:r>
        <w:rPr/>
      </w:r>
    </w:p>
    <w:tbl>
      <w:tblPr>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46"/>
        <w:gridCol w:w="6725"/>
      </w:tblGrid>
      <w:tr>
        <w:trPr/>
        <w:tc>
          <w:tcPr>
            <w:tcW w:w="2346" w:type="dxa"/>
            <w:tcBorders>
              <w:top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Code:</w:t>
            </w:r>
          </w:p>
        </w:tc>
        <w:tc>
          <w:tcPr>
            <w:tcW w:w="6725" w:type="dxa"/>
            <w:tcBorders>
              <w:top w:val="single" w:sz="4" w:space="0" w:color="000000"/>
              <w:left w:val="single" w:sz="4" w:space="0" w:color="000000"/>
              <w:bottom w:val="single" w:sz="4" w:space="0" w:color="000000"/>
            </w:tcBorders>
          </w:tcPr>
          <w:p>
            <w:pPr>
              <w:pStyle w:val="Normal"/>
              <w:widowControl/>
              <w:bidi w:val="0"/>
              <w:spacing w:lineRule="auto" w:line="276" w:before="0" w:after="200"/>
              <w:jc w:val="left"/>
              <w:rPr/>
            </w:pPr>
            <w:commentRangeStart w:id="2"/>
            <w:r>
              <w:rPr/>
              <w:t>[document code]</w:t>
            </w:r>
            <w:bookmarkStart w:id="8" w:name="_Hlk157507432"/>
            <w:bookmarkEnd w:id="8"/>
            <w:commentRangeEnd w:id="2"/>
            <w:r>
              <w:commentReference w:id="2"/>
            </w:r>
            <w:r>
              <w:rPr/>
            </w:r>
          </w:p>
        </w:tc>
      </w:tr>
      <w:tr>
        <w:trPr/>
        <w:tc>
          <w:tcPr>
            <w:tcW w:w="2346" w:type="dxa"/>
            <w:tcBorders>
              <w:top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Version:</w:t>
            </w:r>
          </w:p>
        </w:tc>
        <w:tc>
          <w:tcPr>
            <w:tcW w:w="6725" w:type="dxa"/>
            <w:tcBorders>
              <w:top w:val="single" w:sz="4" w:space="0" w:color="000000"/>
              <w:left w:val="single" w:sz="4" w:space="0" w:color="000000"/>
              <w:bottom w:val="single" w:sz="4" w:space="0" w:color="000000"/>
            </w:tcBorders>
          </w:tcPr>
          <w:p>
            <w:pPr>
              <w:pStyle w:val="Normal"/>
              <w:widowControl/>
              <w:bidi w:val="0"/>
              <w:spacing w:lineRule="auto" w:line="276" w:before="0" w:after="200"/>
              <w:jc w:val="left"/>
              <w:rPr/>
            </w:pPr>
            <w:commentRangeStart w:id="3"/>
            <w:r>
              <w:rPr/>
              <w:t>[document version number]</w:t>
            </w:r>
            <w:bookmarkStart w:id="9" w:name="_Hlk157507454"/>
            <w:bookmarkEnd w:id="9"/>
            <w:commentRangeEnd w:id="3"/>
            <w:r>
              <w:commentReference w:id="3"/>
            </w:r>
            <w:r>
              <w:rPr/>
            </w:r>
          </w:p>
        </w:tc>
      </w:tr>
      <w:tr>
        <w:trPr/>
        <w:tc>
          <w:tcPr>
            <w:tcW w:w="2346" w:type="dxa"/>
            <w:tcBorders>
              <w:top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Date of version:</w:t>
            </w:r>
          </w:p>
        </w:tc>
        <w:tc>
          <w:tcPr>
            <w:tcW w:w="6725" w:type="dxa"/>
            <w:tcBorders>
              <w:top w:val="single" w:sz="4" w:space="0" w:color="000000"/>
              <w:left w:val="single" w:sz="4" w:space="0" w:color="000000"/>
              <w:bottom w:val="single" w:sz="4" w:space="0" w:color="000000"/>
            </w:tcBorders>
          </w:tcPr>
          <w:p>
            <w:pPr>
              <w:pStyle w:val="Normal"/>
              <w:widowControl/>
              <w:bidi w:val="0"/>
              <w:spacing w:lineRule="auto" w:line="276" w:before="0" w:after="200"/>
              <w:jc w:val="left"/>
              <w:rPr/>
            </w:pPr>
            <w:commentRangeStart w:id="4"/>
            <w:r>
              <w:rPr/>
              <w:t>[version date]</w:t>
            </w:r>
            <w:bookmarkStart w:id="10" w:name="_Hlk157507548"/>
            <w:bookmarkEnd w:id="10"/>
            <w:commentRangeEnd w:id="4"/>
            <w:r>
              <w:commentReference w:id="4"/>
            </w:r>
            <w:r>
              <w:rPr/>
            </w:r>
          </w:p>
        </w:tc>
      </w:tr>
      <w:tr>
        <w:trPr/>
        <w:tc>
          <w:tcPr>
            <w:tcW w:w="2346" w:type="dxa"/>
            <w:tcBorders>
              <w:top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Author:</w:t>
            </w:r>
          </w:p>
        </w:tc>
        <w:tc>
          <w:tcPr>
            <w:tcW w:w="6725" w:type="dxa"/>
            <w:tcBorders>
              <w:top w:val="single" w:sz="4" w:space="0" w:color="000000"/>
              <w:left w:val="single" w:sz="4" w:space="0" w:color="000000"/>
              <w:bottom w:val="single" w:sz="4" w:space="0" w:color="000000"/>
            </w:tcBorders>
          </w:tcPr>
          <w:p>
            <w:pPr>
              <w:pStyle w:val="Normal"/>
              <w:widowControl/>
              <w:bidi w:val="0"/>
              <w:spacing w:lineRule="auto" w:line="276" w:before="0" w:after="200"/>
              <w:jc w:val="left"/>
              <w:rPr/>
            </w:pPr>
            <w:commentRangeStart w:id="5"/>
            <w:r>
              <w:rPr/>
              <w:t>[name of the author]</w:t>
            </w:r>
            <w:bookmarkStart w:id="11" w:name="_Hlk157507570"/>
            <w:bookmarkEnd w:id="11"/>
            <w:commentRangeEnd w:id="5"/>
            <w:r>
              <w:commentReference w:id="5"/>
            </w:r>
            <w:r>
              <w:rPr/>
            </w:r>
          </w:p>
        </w:tc>
      </w:tr>
      <w:tr>
        <w:trPr/>
        <w:tc>
          <w:tcPr>
            <w:tcW w:w="2346" w:type="dxa"/>
            <w:tcBorders>
              <w:top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Approver:</w:t>
            </w:r>
          </w:p>
        </w:tc>
        <w:tc>
          <w:tcPr>
            <w:tcW w:w="6725" w:type="dxa"/>
            <w:tcBorders>
              <w:top w:val="single" w:sz="4" w:space="0" w:color="000000"/>
              <w:left w:val="single" w:sz="4" w:space="0" w:color="000000"/>
              <w:bottom w:val="single" w:sz="4" w:space="0" w:color="000000"/>
            </w:tcBorders>
          </w:tcPr>
          <w:p>
            <w:pPr>
              <w:pStyle w:val="Normal"/>
              <w:widowControl/>
              <w:bidi w:val="0"/>
              <w:spacing w:lineRule="auto" w:line="276" w:before="0" w:after="200"/>
              <w:jc w:val="left"/>
              <w:rPr/>
            </w:pPr>
            <w:commentRangeStart w:id="6"/>
            <w:r>
              <w:rPr/>
              <w:t>CISO</w:t>
            </w:r>
            <w:bookmarkStart w:id="12" w:name="_Hlk157507591"/>
            <w:bookmarkEnd w:id="12"/>
            <w:commentRangeEnd w:id="6"/>
            <w:r>
              <w:commentReference w:id="6"/>
            </w:r>
            <w:r>
              <w:rPr/>
            </w:r>
          </w:p>
        </w:tc>
      </w:tr>
      <w:tr>
        <w:trPr/>
        <w:tc>
          <w:tcPr>
            <w:tcW w:w="2346" w:type="dxa"/>
            <w:tcBorders>
              <w:top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Confidentiality level:</w:t>
            </w:r>
          </w:p>
        </w:tc>
        <w:tc>
          <w:tcPr>
            <w:tcW w:w="6725" w:type="dxa"/>
            <w:tcBorders>
              <w:top w:val="single" w:sz="4" w:space="0" w:color="000000"/>
              <w:left w:val="single" w:sz="4" w:space="0" w:color="000000"/>
              <w:bottom w:val="single" w:sz="4" w:space="0" w:color="000000"/>
            </w:tcBorders>
          </w:tcPr>
          <w:p>
            <w:pPr>
              <w:pStyle w:val="Normal"/>
              <w:widowControl/>
              <w:bidi w:val="0"/>
              <w:spacing w:lineRule="auto" w:line="276" w:before="0" w:after="200"/>
              <w:jc w:val="left"/>
              <w:rPr/>
            </w:pPr>
            <w:commentRangeStart w:id="7"/>
            <w:r>
              <w:rPr/>
              <w:t>Top Secret</w:t>
            </w:r>
            <w:bookmarkStart w:id="13" w:name="_Hlk157507623"/>
            <w:bookmarkEnd w:id="13"/>
            <w:commentRangeEnd w:id="7"/>
            <w:r>
              <w:commentReference w:id="7"/>
            </w:r>
            <w:r>
              <w:rPr/>
            </w:r>
          </w:p>
        </w:tc>
      </w:tr>
    </w:tbl>
    <w:p>
      <w:pPr>
        <w:pStyle w:val="Normal"/>
        <w:rPr/>
      </w:pPr>
      <w:r>
        <w:rPr/>
      </w:r>
    </w:p>
    <w:p>
      <w:pPr>
        <w:pStyle w:val="Normal"/>
        <w:rPr/>
      </w:pPr>
      <w:r>
        <w:rPr/>
      </w:r>
      <w:r>
        <w:br w:type="page"/>
      </w:r>
    </w:p>
    <w:p>
      <w:pPr>
        <w:pStyle w:val="Normal"/>
        <w:spacing w:before="0" w:after="200"/>
        <w:rPr/>
      </w:pPr>
      <w:r>
        <w:rPr/>
        <w:t xml:space="preserve"> </w:t>
      </w:r>
    </w:p>
    <w:p>
      <w:pPr>
        <w:pStyle w:val="Normal"/>
        <w:rPr>
          <w:b/>
          <w:sz w:val="28"/>
          <w:szCs w:val="28"/>
        </w:rPr>
      </w:pPr>
      <w:r>
        <w:rPr>
          <w:b/>
          <w:sz w:val="28"/>
        </w:rPr>
        <w:t>Change history</w:t>
      </w:r>
    </w:p>
    <w:tbl>
      <w:tblPr>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53"/>
        <w:gridCol w:w="990"/>
        <w:gridCol w:w="1536"/>
        <w:gridCol w:w="5182"/>
      </w:tblGrid>
      <w:tr>
        <w:trPr/>
        <w:tc>
          <w:tcPr>
            <w:tcW w:w="1353" w:type="dxa"/>
            <w:tcBorders>
              <w:top w:val="single" w:sz="4" w:space="0" w:color="000000"/>
              <w:left w:val="single" w:sz="4" w:space="0" w:color="000000"/>
              <w:bottom w:val="single" w:sz="4" w:space="0" w:color="000000"/>
              <w:right w:val="single" w:sz="4" w:space="0" w:color="000000"/>
            </w:tcBorders>
          </w:tcPr>
          <w:p>
            <w:pPr>
              <w:pStyle w:val="Normal"/>
              <w:spacing w:before="0" w:after="200"/>
              <w:rPr>
                <w:b/>
              </w:rPr>
            </w:pPr>
            <w:r>
              <w:rPr>
                <w:b/>
              </w:rPr>
              <w:t>Date</w:t>
            </w:r>
          </w:p>
        </w:tc>
        <w:tc>
          <w:tcPr>
            <w:tcW w:w="990" w:type="dxa"/>
            <w:tcBorders>
              <w:top w:val="single" w:sz="4" w:space="0" w:color="000000"/>
              <w:left w:val="single" w:sz="4" w:space="0" w:color="000000"/>
              <w:bottom w:val="single" w:sz="4" w:space="0" w:color="000000"/>
              <w:right w:val="single" w:sz="4" w:space="0" w:color="000000"/>
            </w:tcBorders>
          </w:tcPr>
          <w:p>
            <w:pPr>
              <w:pStyle w:val="Normal"/>
              <w:spacing w:before="0" w:after="200"/>
              <w:rPr>
                <w:b/>
              </w:rPr>
            </w:pPr>
            <w:r>
              <w:rPr>
                <w:b/>
              </w:rPr>
              <w:t>Version</w:t>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before="0" w:after="200"/>
              <w:rPr>
                <w:b/>
              </w:rPr>
            </w:pPr>
            <w:r>
              <w:rPr>
                <w:b/>
              </w:rPr>
              <w:t>Created by</w:t>
            </w:r>
          </w:p>
        </w:tc>
        <w:tc>
          <w:tcPr>
            <w:tcW w:w="5182" w:type="dxa"/>
            <w:tcBorders>
              <w:top w:val="single" w:sz="4" w:space="0" w:color="000000"/>
              <w:left w:val="single" w:sz="4" w:space="0" w:color="000000"/>
              <w:bottom w:val="single" w:sz="4" w:space="0" w:color="000000"/>
              <w:right w:val="single" w:sz="4" w:space="0" w:color="000000"/>
            </w:tcBorders>
          </w:tcPr>
          <w:p>
            <w:pPr>
              <w:pStyle w:val="Normal"/>
              <w:spacing w:before="0" w:after="200"/>
              <w:rPr>
                <w:b/>
              </w:rPr>
            </w:pPr>
            <w:r>
              <w:rPr>
                <w:b/>
              </w:rPr>
              <w:t>Description of change</w:t>
            </w:r>
          </w:p>
        </w:tc>
      </w:tr>
      <w:tr>
        <w:trPr/>
        <w:tc>
          <w:tcPr>
            <w:tcW w:w="1353"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990"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t>0.1</w:t>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t>Abad</w:t>
            </w:r>
          </w:p>
        </w:tc>
        <w:tc>
          <w:tcPr>
            <w:tcW w:w="5182"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t>Basic document outline</w:t>
            </w:r>
          </w:p>
        </w:tc>
      </w:tr>
      <w:tr>
        <w:trPr/>
        <w:tc>
          <w:tcPr>
            <w:tcW w:w="1353"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990"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5182"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r>
      <w:tr>
        <w:trPr/>
        <w:tc>
          <w:tcPr>
            <w:tcW w:w="1353"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990"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5182"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r>
      <w:tr>
        <w:trPr/>
        <w:tc>
          <w:tcPr>
            <w:tcW w:w="1353"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990"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5182"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r>
      <w:tr>
        <w:trPr/>
        <w:tc>
          <w:tcPr>
            <w:tcW w:w="1353"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990"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5182"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r>
      <w:tr>
        <w:trPr/>
        <w:tc>
          <w:tcPr>
            <w:tcW w:w="1353"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990"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5182"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r>
      <w:tr>
        <w:trPr/>
        <w:tc>
          <w:tcPr>
            <w:tcW w:w="1353"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990"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5182"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r>
    </w:tbl>
    <w:p>
      <w:pPr>
        <w:pStyle w:val="Normal"/>
        <w:rPr/>
      </w:pPr>
      <w:r>
        <w:rPr/>
      </w:r>
    </w:p>
    <w:p>
      <w:pPr>
        <w:pStyle w:val="Normal"/>
        <w:rPr/>
      </w:pPr>
      <w:r>
        <w:rPr/>
      </w:r>
    </w:p>
    <w:p>
      <w:pPr>
        <w:pStyle w:val="Normal"/>
        <w:rPr>
          <w:b/>
          <w:sz w:val="28"/>
          <w:szCs w:val="28"/>
        </w:rPr>
      </w:pPr>
      <w:r>
        <w:rPr>
          <w:b/>
          <w:sz w:val="28"/>
        </w:rPr>
        <w:t>Table of contents</w:t>
      </w:r>
    </w:p>
    <w:sdt>
      <w:sdtPr>
        <w:docPartObj>
          <w:docPartGallery w:val="Table of Contents"/>
          <w:docPartUnique w:val="true"/>
        </w:docPartObj>
      </w:sdtPr>
      <w:sdtContent>
        <w:p>
          <w:pPr>
            <w:pStyle w:val="TOC1"/>
            <w:tabs>
              <w:tab w:val="clear" w:pos="708"/>
              <w:tab w:val="left" w:pos="440" w:leader="none"/>
              <w:tab w:val="right" w:pos="9062" w:leader="dot"/>
            </w:tabs>
            <w:rPr>
              <w:rFonts w:ascii="Calibri" w:hAnsi="Calibri" w:eastAsia="宋体" w:cs="" w:asciiTheme="minorHAnsi" w:cstheme="minorBidi" w:eastAsiaTheme="minorEastAsia" w:hAnsiTheme="minorHAnsi"/>
              <w:b w:val="false"/>
              <w:bCs w:val="false"/>
              <w:caps w:val="false"/>
              <w:smallCaps w:val="false"/>
              <w:sz w:val="22"/>
              <w:szCs w:val="22"/>
            </w:rPr>
          </w:pPr>
          <w:r>
            <w:fldChar w:fldCharType="begin"/>
          </w:r>
          <w:r>
            <w:rPr>
              <w:webHidden/>
              <w:rStyle w:val="IndexLink"/>
              <w:rFonts w:cs="Calibri"/>
              <w:lang w:val="en-US"/>
            </w:rPr>
            <w:instrText xml:space="preserve"> TOC \z \o "1-3" \u \h</w:instrText>
          </w:r>
          <w:r>
            <w:rPr>
              <w:webHidden/>
              <w:rStyle w:val="IndexLink"/>
              <w:rFonts w:cs="Calibri"/>
              <w:lang w:val="en-US"/>
            </w:rPr>
            <w:fldChar w:fldCharType="separate"/>
          </w:r>
          <w:hyperlink w:anchor="_Toc157673746">
            <w:r>
              <w:rPr>
                <w:webHidden/>
                <w:rStyle w:val="IndexLink"/>
                <w:rFonts w:cs="Calibri"/>
                <w:lang w:val="en-US"/>
              </w:rPr>
              <w:t>1.</w:t>
            </w:r>
            <w:r>
              <w:rPr>
                <w:rStyle w:val="IndexLink"/>
                <w:rFonts w:eastAsia="宋体" w:cs="" w:cstheme="minorBidi" w:eastAsiaTheme="minorEastAsia"/>
                <w:b w:val="false"/>
                <w:bCs w:val="false"/>
                <w:caps w:val="false"/>
                <w:smallCaps w:val="false"/>
                <w:sz w:val="22"/>
                <w:szCs w:val="22"/>
              </w:rPr>
              <w:tab/>
            </w:r>
            <w:r>
              <w:rPr>
                <w:rStyle w:val="IndexLink"/>
                <w:rFonts w:cs="Calibri"/>
                <w:lang w:val="en-US"/>
              </w:rPr>
              <w:t>Purpose, scope and users</w:t>
            </w:r>
            <w:r>
              <w:rPr>
                <w:webHidden/>
              </w:rPr>
              <w:fldChar w:fldCharType="begin"/>
            </w:r>
            <w:r>
              <w:rPr>
                <w:webHidden/>
              </w:rPr>
              <w:instrText xml:space="preserve">PAGEREF _Toc157673746 \h</w:instrText>
            </w:r>
            <w:r>
              <w:rPr>
                <w:webHidden/>
              </w:rPr>
              <w:fldChar w:fldCharType="separate"/>
            </w:r>
            <w:r>
              <w:rPr>
                <w:rStyle w:val="IndexLink"/>
                <w:vanish w:val="false"/>
              </w:rPr>
              <w:tab/>
              <w:t>3</w:t>
            </w:r>
            <w:r>
              <w:rPr>
                <w:webHidden/>
              </w:rPr>
              <w:fldChar w:fldCharType="end"/>
            </w:r>
          </w:hyperlink>
        </w:p>
        <w:p>
          <w:pPr>
            <w:pStyle w:val="TOC1"/>
            <w:tabs>
              <w:tab w:val="clear" w:pos="708"/>
              <w:tab w:val="left" w:pos="440" w:leader="none"/>
              <w:tab w:val="right" w:pos="9062" w:leader="dot"/>
            </w:tabs>
            <w:rPr>
              <w:rFonts w:ascii="Calibri" w:hAnsi="Calibri" w:eastAsia="宋体" w:cs="" w:asciiTheme="minorHAnsi" w:cstheme="minorBidi" w:eastAsiaTheme="minorEastAsia" w:hAnsiTheme="minorHAnsi"/>
              <w:b w:val="false"/>
              <w:bCs w:val="false"/>
              <w:caps w:val="false"/>
              <w:smallCaps w:val="false"/>
              <w:sz w:val="22"/>
              <w:szCs w:val="22"/>
            </w:rPr>
          </w:pPr>
          <w:hyperlink w:anchor="_Toc157673747">
            <w:r>
              <w:rPr>
                <w:webHidden/>
                <w:rStyle w:val="IndexLink"/>
                <w:rFonts w:cs="Calibri"/>
                <w:lang w:val="en-US"/>
              </w:rPr>
              <w:t>2.</w:t>
            </w:r>
            <w:r>
              <w:rPr>
                <w:rStyle w:val="IndexLink"/>
                <w:rFonts w:eastAsia="宋体" w:cs="" w:cstheme="minorBidi" w:eastAsiaTheme="minorEastAsia"/>
                <w:b w:val="false"/>
                <w:bCs w:val="false"/>
                <w:caps w:val="false"/>
                <w:smallCaps w:val="false"/>
                <w:sz w:val="22"/>
                <w:szCs w:val="22"/>
              </w:rPr>
              <w:tab/>
            </w:r>
            <w:r>
              <w:rPr>
                <w:rStyle w:val="IndexLink"/>
                <w:rFonts w:cs="Calibri"/>
                <w:lang w:val="en-US"/>
              </w:rPr>
              <w:t>Reference documents</w:t>
            </w:r>
            <w:r>
              <w:rPr>
                <w:webHidden/>
              </w:rPr>
              <w:fldChar w:fldCharType="begin"/>
            </w:r>
            <w:r>
              <w:rPr>
                <w:webHidden/>
              </w:rPr>
              <w:instrText xml:space="preserve">PAGEREF _Toc157673747 \h</w:instrText>
            </w:r>
            <w:r>
              <w:rPr>
                <w:webHidden/>
              </w:rPr>
              <w:fldChar w:fldCharType="separate"/>
            </w:r>
            <w:r>
              <w:rPr>
                <w:rStyle w:val="IndexLink"/>
                <w:vanish w:val="false"/>
              </w:rPr>
              <w:tab/>
              <w:t>3</w:t>
            </w:r>
            <w:r>
              <w:rPr>
                <w:webHidden/>
              </w:rPr>
              <w:fldChar w:fldCharType="end"/>
            </w:r>
          </w:hyperlink>
        </w:p>
        <w:p>
          <w:pPr>
            <w:pStyle w:val="TOC1"/>
            <w:tabs>
              <w:tab w:val="clear" w:pos="708"/>
              <w:tab w:val="left" w:pos="440" w:leader="none"/>
              <w:tab w:val="right" w:pos="9062" w:leader="dot"/>
            </w:tabs>
            <w:rPr>
              <w:rFonts w:ascii="Calibri" w:hAnsi="Calibri" w:eastAsia="宋体" w:cs="" w:asciiTheme="minorHAnsi" w:cstheme="minorBidi" w:eastAsiaTheme="minorEastAsia" w:hAnsiTheme="minorHAnsi"/>
              <w:b w:val="false"/>
              <w:bCs w:val="false"/>
              <w:caps w:val="false"/>
              <w:smallCaps w:val="false"/>
              <w:sz w:val="22"/>
              <w:szCs w:val="22"/>
            </w:rPr>
          </w:pPr>
          <w:hyperlink w:anchor="_Toc157673748">
            <w:r>
              <w:rPr>
                <w:webHidden/>
                <w:rStyle w:val="IndexLink"/>
                <w:rFonts w:cs="Calibri"/>
                <w:lang w:val="en-US"/>
              </w:rPr>
              <w:t>3.</w:t>
            </w:r>
            <w:r>
              <w:rPr>
                <w:rStyle w:val="IndexLink"/>
                <w:rFonts w:eastAsia="宋体" w:cs="" w:cstheme="minorBidi" w:eastAsiaTheme="minorEastAsia"/>
                <w:b w:val="false"/>
                <w:bCs w:val="false"/>
                <w:caps w:val="false"/>
                <w:smallCaps w:val="false"/>
                <w:sz w:val="22"/>
                <w:szCs w:val="22"/>
              </w:rPr>
              <w:tab/>
            </w:r>
            <w:r>
              <w:rPr>
                <w:rStyle w:val="IndexLink"/>
                <w:rFonts w:cs="Calibri"/>
                <w:lang w:val="en-US"/>
              </w:rPr>
              <w:t>Basic information security terminology</w:t>
            </w:r>
            <w:r>
              <w:rPr>
                <w:webHidden/>
              </w:rPr>
              <w:fldChar w:fldCharType="begin"/>
            </w:r>
            <w:r>
              <w:rPr>
                <w:webHidden/>
              </w:rPr>
              <w:instrText xml:space="preserve">PAGEREF _Toc157673748 \h</w:instrText>
            </w:r>
            <w:r>
              <w:rPr>
                <w:webHidden/>
              </w:rPr>
              <w:fldChar w:fldCharType="separate"/>
            </w:r>
            <w:r>
              <w:rPr>
                <w:rStyle w:val="IndexLink"/>
                <w:vanish w:val="false"/>
              </w:rPr>
              <w:tab/>
              <w:t>3</w:t>
            </w:r>
            <w:r>
              <w:rPr>
                <w:webHidden/>
              </w:rPr>
              <w:fldChar w:fldCharType="end"/>
            </w:r>
          </w:hyperlink>
        </w:p>
        <w:p>
          <w:pPr>
            <w:pStyle w:val="TOC1"/>
            <w:tabs>
              <w:tab w:val="clear" w:pos="708"/>
              <w:tab w:val="left" w:pos="440" w:leader="none"/>
              <w:tab w:val="right" w:pos="9062" w:leader="dot"/>
            </w:tabs>
            <w:rPr>
              <w:rFonts w:ascii="Calibri" w:hAnsi="Calibri" w:eastAsia="宋体" w:cs="" w:asciiTheme="minorHAnsi" w:cstheme="minorBidi" w:eastAsiaTheme="minorEastAsia" w:hAnsiTheme="minorHAnsi"/>
              <w:b w:val="false"/>
              <w:bCs w:val="false"/>
              <w:caps w:val="false"/>
              <w:smallCaps w:val="false"/>
              <w:sz w:val="22"/>
              <w:szCs w:val="22"/>
            </w:rPr>
          </w:pPr>
          <w:hyperlink w:anchor="_Toc157673749">
            <w:r>
              <w:rPr>
                <w:webHidden/>
                <w:rStyle w:val="IndexLink"/>
                <w:rFonts w:cs="Calibri"/>
                <w:lang w:val="en-US"/>
              </w:rPr>
              <w:t>4.</w:t>
            </w:r>
            <w:r>
              <w:rPr>
                <w:rStyle w:val="IndexLink"/>
                <w:rFonts w:eastAsia="宋体" w:cs="" w:cstheme="minorBidi" w:eastAsiaTheme="minorEastAsia"/>
                <w:b w:val="false"/>
                <w:bCs w:val="false"/>
                <w:caps w:val="false"/>
                <w:smallCaps w:val="false"/>
                <w:sz w:val="22"/>
                <w:szCs w:val="22"/>
              </w:rPr>
              <w:tab/>
            </w:r>
            <w:r>
              <w:rPr>
                <w:rStyle w:val="IndexLink"/>
                <w:rFonts w:cs="Calibri"/>
                <w:lang w:val="en-US"/>
              </w:rPr>
              <w:t>Managing the information security</w:t>
            </w:r>
            <w:r>
              <w:rPr>
                <w:webHidden/>
              </w:rPr>
              <w:fldChar w:fldCharType="begin"/>
            </w:r>
            <w:r>
              <w:rPr>
                <w:webHidden/>
              </w:rPr>
              <w:instrText xml:space="preserve">PAGEREF _Toc157673749 \h</w:instrText>
            </w:r>
            <w:r>
              <w:rPr>
                <w:webHidden/>
              </w:rPr>
              <w:fldChar w:fldCharType="separate"/>
            </w:r>
            <w:r>
              <w:rPr>
                <w:rStyle w:val="IndexLink"/>
                <w:vanish w:val="false"/>
              </w:rPr>
              <w:tab/>
              <w:t>3</w:t>
            </w:r>
            <w:r>
              <w:rPr>
                <w:webHidden/>
              </w:rPr>
              <w:fldChar w:fldCharType="end"/>
            </w:r>
          </w:hyperlink>
        </w:p>
        <w:p>
          <w:pPr>
            <w:pStyle w:val="TOC2"/>
            <w:tabs>
              <w:tab w:val="clear" w:pos="708"/>
              <w:tab w:val="left" w:pos="880" w:leader="none"/>
              <w:tab w:val="right" w:pos="9062" w:leader="dot"/>
            </w:tabs>
            <w:rPr>
              <w:rFonts w:ascii="Calibri" w:hAnsi="Calibri" w:eastAsia="宋体" w:cs="" w:asciiTheme="minorHAnsi" w:cstheme="minorBidi" w:eastAsiaTheme="minorEastAsia" w:hAnsiTheme="minorHAnsi"/>
              <w:caps w:val="false"/>
              <w:smallCaps w:val="false"/>
              <w:sz w:val="22"/>
              <w:szCs w:val="22"/>
            </w:rPr>
          </w:pPr>
          <w:hyperlink w:anchor="_Toc157673750">
            <w:r>
              <w:rPr>
                <w:webHidden/>
                <w:rStyle w:val="IndexLink"/>
                <w:rFonts w:cs="Calibri"/>
                <w:lang w:val="en-US"/>
              </w:rPr>
              <w:t>4.1.</w:t>
            </w:r>
            <w:r>
              <w:rPr>
                <w:rStyle w:val="IndexLink"/>
                <w:rFonts w:eastAsia="宋体" w:cs="" w:cstheme="minorBidi" w:eastAsiaTheme="minorEastAsia"/>
                <w:caps w:val="false"/>
                <w:smallCaps w:val="false"/>
                <w:sz w:val="22"/>
                <w:szCs w:val="22"/>
              </w:rPr>
              <w:tab/>
            </w:r>
            <w:r>
              <w:rPr>
                <w:rStyle w:val="IndexLink"/>
                <w:rFonts w:cs="Calibri"/>
                <w:lang w:val="en-US"/>
              </w:rPr>
              <w:t>Objectives and measurement</w:t>
            </w:r>
            <w:r>
              <w:rPr>
                <w:webHidden/>
              </w:rPr>
              <w:fldChar w:fldCharType="begin"/>
            </w:r>
            <w:r>
              <w:rPr>
                <w:webHidden/>
              </w:rPr>
              <w:instrText xml:space="preserve">PAGEREF _Toc157673750 \h</w:instrText>
            </w:r>
            <w:r>
              <w:rPr>
                <w:webHidden/>
              </w:rPr>
              <w:fldChar w:fldCharType="separate"/>
            </w:r>
            <w:r>
              <w:rPr>
                <w:rStyle w:val="IndexLink"/>
                <w:vanish w:val="false"/>
              </w:rPr>
              <w:tab/>
              <w:t>3</w:t>
            </w:r>
            <w:r>
              <w:rPr>
                <w:webHidden/>
              </w:rPr>
              <w:fldChar w:fldCharType="end"/>
            </w:r>
          </w:hyperlink>
        </w:p>
        <w:p>
          <w:pPr>
            <w:pStyle w:val="TOC2"/>
            <w:tabs>
              <w:tab w:val="clear" w:pos="708"/>
              <w:tab w:val="left" w:pos="880" w:leader="none"/>
              <w:tab w:val="right" w:pos="9062" w:leader="dot"/>
            </w:tabs>
            <w:rPr>
              <w:rFonts w:ascii="Calibri" w:hAnsi="Calibri" w:eastAsia="宋体" w:cs="" w:asciiTheme="minorHAnsi" w:cstheme="minorBidi" w:eastAsiaTheme="minorEastAsia" w:hAnsiTheme="minorHAnsi"/>
              <w:caps w:val="false"/>
              <w:smallCaps w:val="false"/>
              <w:sz w:val="22"/>
              <w:szCs w:val="22"/>
            </w:rPr>
          </w:pPr>
          <w:hyperlink w:anchor="_Toc157673751">
            <w:r>
              <w:rPr>
                <w:webHidden/>
                <w:rStyle w:val="IndexLink"/>
                <w:rFonts w:cs="Calibri"/>
                <w:lang w:val="en-US"/>
              </w:rPr>
              <w:t>4.2.</w:t>
            </w:r>
            <w:r>
              <w:rPr>
                <w:rStyle w:val="IndexLink"/>
                <w:rFonts w:eastAsia="宋体" w:cs="" w:cstheme="minorBidi" w:eastAsiaTheme="minorEastAsia"/>
                <w:caps w:val="false"/>
                <w:smallCaps w:val="false"/>
                <w:sz w:val="22"/>
                <w:szCs w:val="22"/>
              </w:rPr>
              <w:tab/>
            </w:r>
            <w:r>
              <w:rPr>
                <w:rStyle w:val="IndexLink"/>
                <w:rFonts w:cs="Calibri"/>
                <w:lang w:val="en-US"/>
              </w:rPr>
              <w:t>Information security requirements</w:t>
            </w:r>
            <w:r>
              <w:rPr>
                <w:webHidden/>
              </w:rPr>
              <w:fldChar w:fldCharType="begin"/>
            </w:r>
            <w:r>
              <w:rPr>
                <w:webHidden/>
              </w:rPr>
              <w:instrText xml:space="preserve">PAGEREF _Toc157673751 \h</w:instrText>
            </w:r>
            <w:r>
              <w:rPr>
                <w:webHidden/>
              </w:rPr>
              <w:fldChar w:fldCharType="separate"/>
            </w:r>
            <w:r>
              <w:rPr>
                <w:rStyle w:val="IndexLink"/>
                <w:vanish w:val="false"/>
              </w:rPr>
              <w:tab/>
              <w:t>4</w:t>
            </w:r>
            <w:r>
              <w:rPr>
                <w:webHidden/>
              </w:rPr>
              <w:fldChar w:fldCharType="end"/>
            </w:r>
          </w:hyperlink>
        </w:p>
        <w:p>
          <w:pPr>
            <w:pStyle w:val="TOC2"/>
            <w:tabs>
              <w:tab w:val="clear" w:pos="708"/>
              <w:tab w:val="left" w:pos="880" w:leader="none"/>
              <w:tab w:val="right" w:pos="9062" w:leader="dot"/>
            </w:tabs>
            <w:rPr>
              <w:rFonts w:ascii="Calibri" w:hAnsi="Calibri" w:eastAsia="宋体" w:cs="" w:asciiTheme="minorHAnsi" w:cstheme="minorBidi" w:eastAsiaTheme="minorEastAsia" w:hAnsiTheme="minorHAnsi"/>
              <w:caps w:val="false"/>
              <w:smallCaps w:val="false"/>
              <w:sz w:val="22"/>
              <w:szCs w:val="22"/>
            </w:rPr>
          </w:pPr>
          <w:hyperlink w:anchor="_Toc157673752">
            <w:r>
              <w:rPr>
                <w:webHidden/>
                <w:rStyle w:val="IndexLink"/>
                <w:lang w:val="en-US"/>
              </w:rPr>
              <w:t>4.3.</w:t>
            </w:r>
            <w:r>
              <w:rPr>
                <w:rStyle w:val="IndexLink"/>
                <w:rFonts w:eastAsia="宋体" w:cs="" w:cstheme="minorBidi" w:eastAsiaTheme="minorEastAsia"/>
                <w:caps w:val="false"/>
                <w:smallCaps w:val="false"/>
                <w:sz w:val="22"/>
                <w:szCs w:val="22"/>
              </w:rPr>
              <w:tab/>
            </w:r>
            <w:r>
              <w:rPr>
                <w:rStyle w:val="IndexLink"/>
                <w:lang w:val="en-US"/>
              </w:rPr>
              <w:t>Information security controls</w:t>
            </w:r>
            <w:r>
              <w:rPr>
                <w:webHidden/>
              </w:rPr>
              <w:fldChar w:fldCharType="begin"/>
            </w:r>
            <w:r>
              <w:rPr>
                <w:webHidden/>
              </w:rPr>
              <w:instrText xml:space="preserve">PAGEREF _Toc157673752 \h</w:instrText>
            </w:r>
            <w:r>
              <w:rPr>
                <w:webHidden/>
              </w:rPr>
              <w:fldChar w:fldCharType="separate"/>
            </w:r>
            <w:r>
              <w:rPr>
                <w:rStyle w:val="IndexLink"/>
                <w:vanish w:val="false"/>
              </w:rPr>
              <w:tab/>
              <w:t>4</w:t>
            </w:r>
            <w:r>
              <w:rPr>
                <w:webHidden/>
              </w:rPr>
              <w:fldChar w:fldCharType="end"/>
            </w:r>
          </w:hyperlink>
        </w:p>
        <w:p>
          <w:pPr>
            <w:pStyle w:val="TOC2"/>
            <w:tabs>
              <w:tab w:val="clear" w:pos="708"/>
              <w:tab w:val="left" w:pos="880" w:leader="none"/>
              <w:tab w:val="right" w:pos="9062" w:leader="dot"/>
            </w:tabs>
            <w:rPr>
              <w:rFonts w:ascii="Calibri" w:hAnsi="Calibri" w:eastAsia="宋体" w:cs="" w:asciiTheme="minorHAnsi" w:cstheme="minorBidi" w:eastAsiaTheme="minorEastAsia" w:hAnsiTheme="minorHAnsi"/>
              <w:caps w:val="false"/>
              <w:smallCaps w:val="false"/>
              <w:sz w:val="22"/>
              <w:szCs w:val="22"/>
            </w:rPr>
          </w:pPr>
          <w:hyperlink w:anchor="_Toc157673753">
            <w:r>
              <w:rPr>
                <w:webHidden/>
                <w:rStyle w:val="IndexLink"/>
                <w:rFonts w:cs="Calibri"/>
                <w:lang w:val="en-US"/>
              </w:rPr>
              <w:t>4.4.</w:t>
            </w:r>
            <w:r>
              <w:rPr>
                <w:rStyle w:val="IndexLink"/>
                <w:rFonts w:eastAsia="宋体" w:cs="" w:cstheme="minorBidi" w:eastAsiaTheme="minorEastAsia"/>
                <w:caps w:val="false"/>
                <w:smallCaps w:val="false"/>
                <w:sz w:val="22"/>
                <w:szCs w:val="22"/>
              </w:rPr>
              <w:tab/>
            </w:r>
            <w:r>
              <w:rPr>
                <w:rStyle w:val="IndexLink"/>
                <w:rFonts w:cs="Calibri"/>
                <w:lang w:val="en-US"/>
              </w:rPr>
              <w:t>Responsibilities</w:t>
            </w:r>
            <w:r>
              <w:rPr>
                <w:webHidden/>
              </w:rPr>
              <w:fldChar w:fldCharType="begin"/>
            </w:r>
            <w:r>
              <w:rPr>
                <w:webHidden/>
              </w:rPr>
              <w:instrText xml:space="preserve">PAGEREF _Toc157673753 \h</w:instrText>
            </w:r>
            <w:r>
              <w:rPr>
                <w:webHidden/>
              </w:rPr>
              <w:fldChar w:fldCharType="separate"/>
            </w:r>
            <w:r>
              <w:rPr>
                <w:rStyle w:val="IndexLink"/>
                <w:vanish w:val="false"/>
              </w:rPr>
              <w:tab/>
              <w:t>4</w:t>
            </w:r>
            <w:r>
              <w:rPr>
                <w:webHidden/>
              </w:rPr>
              <w:fldChar w:fldCharType="end"/>
            </w:r>
          </w:hyperlink>
        </w:p>
        <w:p>
          <w:pPr>
            <w:pStyle w:val="TOC2"/>
            <w:tabs>
              <w:tab w:val="clear" w:pos="708"/>
              <w:tab w:val="left" w:pos="880" w:leader="none"/>
              <w:tab w:val="right" w:pos="9062" w:leader="dot"/>
            </w:tabs>
            <w:rPr>
              <w:rFonts w:ascii="Calibri" w:hAnsi="Calibri" w:eastAsia="宋体" w:cs="" w:asciiTheme="minorHAnsi" w:cstheme="minorBidi" w:eastAsiaTheme="minorEastAsia" w:hAnsiTheme="minorHAnsi"/>
              <w:caps w:val="false"/>
              <w:smallCaps w:val="false"/>
              <w:sz w:val="22"/>
              <w:szCs w:val="22"/>
            </w:rPr>
          </w:pPr>
          <w:hyperlink w:anchor="_Toc157673754">
            <w:r>
              <w:rPr>
                <w:webHidden/>
                <w:rStyle w:val="IndexLink"/>
                <w:rFonts w:cs="Calibri"/>
                <w:lang w:val="en-US"/>
              </w:rPr>
              <w:t>4.5.</w:t>
            </w:r>
            <w:r>
              <w:rPr>
                <w:rStyle w:val="IndexLink"/>
                <w:rFonts w:eastAsia="宋体" w:cs="" w:cstheme="minorBidi" w:eastAsiaTheme="minorEastAsia"/>
                <w:caps w:val="false"/>
                <w:smallCaps w:val="false"/>
                <w:sz w:val="22"/>
                <w:szCs w:val="22"/>
              </w:rPr>
              <w:tab/>
            </w:r>
            <w:r>
              <w:rPr>
                <w:rStyle w:val="IndexLink"/>
                <w:rFonts w:cs="Calibri"/>
                <w:lang w:val="en-US"/>
              </w:rPr>
              <w:t>Policy communication</w:t>
            </w:r>
            <w:r>
              <w:rPr>
                <w:webHidden/>
              </w:rPr>
              <w:fldChar w:fldCharType="begin"/>
            </w:r>
            <w:r>
              <w:rPr>
                <w:webHidden/>
              </w:rPr>
              <w:instrText xml:space="preserve">PAGEREF _Toc157673754 \h</w:instrText>
            </w:r>
            <w:r>
              <w:rPr>
                <w:webHidden/>
              </w:rPr>
              <w:fldChar w:fldCharType="separate"/>
            </w:r>
            <w:r>
              <w:rPr>
                <w:rStyle w:val="IndexLink"/>
                <w:vanish w:val="false"/>
              </w:rPr>
              <w:tab/>
              <w:t>5</w:t>
            </w:r>
            <w:r>
              <w:rPr>
                <w:webHidden/>
              </w:rPr>
              <w:fldChar w:fldCharType="end"/>
            </w:r>
          </w:hyperlink>
        </w:p>
        <w:p>
          <w:pPr>
            <w:pStyle w:val="TOC1"/>
            <w:tabs>
              <w:tab w:val="clear" w:pos="708"/>
              <w:tab w:val="left" w:pos="440" w:leader="none"/>
              <w:tab w:val="right" w:pos="9062" w:leader="dot"/>
            </w:tabs>
            <w:rPr>
              <w:rFonts w:ascii="Calibri" w:hAnsi="Calibri" w:eastAsia="宋体" w:cs="" w:asciiTheme="minorHAnsi" w:cstheme="minorBidi" w:eastAsiaTheme="minorEastAsia" w:hAnsiTheme="minorHAnsi"/>
              <w:b w:val="false"/>
              <w:bCs w:val="false"/>
              <w:caps w:val="false"/>
              <w:smallCaps w:val="false"/>
              <w:sz w:val="22"/>
              <w:szCs w:val="22"/>
            </w:rPr>
          </w:pPr>
          <w:hyperlink w:anchor="_Toc157673755">
            <w:r>
              <w:rPr>
                <w:webHidden/>
                <w:rStyle w:val="IndexLink"/>
                <w:rFonts w:cs="Calibri"/>
                <w:lang w:val="en-US"/>
              </w:rPr>
              <w:t>5.</w:t>
            </w:r>
            <w:r>
              <w:rPr>
                <w:rStyle w:val="IndexLink"/>
                <w:rFonts w:eastAsia="宋体" w:cs="" w:cstheme="minorBidi" w:eastAsiaTheme="minorEastAsia"/>
                <w:b w:val="false"/>
                <w:bCs w:val="false"/>
                <w:caps w:val="false"/>
                <w:smallCaps w:val="false"/>
                <w:sz w:val="22"/>
                <w:szCs w:val="22"/>
              </w:rPr>
              <w:tab/>
            </w:r>
            <w:r>
              <w:rPr>
                <w:rStyle w:val="IndexLink"/>
                <w:rFonts w:cs="Calibri"/>
                <w:lang w:val="en-US"/>
              </w:rPr>
              <w:t>Support for ISMS implementation</w:t>
            </w:r>
            <w:r>
              <w:rPr>
                <w:webHidden/>
              </w:rPr>
              <w:fldChar w:fldCharType="begin"/>
            </w:r>
            <w:r>
              <w:rPr>
                <w:webHidden/>
              </w:rPr>
              <w:instrText xml:space="preserve">PAGEREF _Toc157673755 \h</w:instrText>
            </w:r>
            <w:r>
              <w:rPr>
                <w:webHidden/>
              </w:rPr>
              <w:fldChar w:fldCharType="separate"/>
            </w:r>
            <w:r>
              <w:rPr>
                <w:rStyle w:val="IndexLink"/>
                <w:vanish w:val="false"/>
              </w:rPr>
              <w:tab/>
              <w:t>5</w:t>
            </w:r>
            <w:r>
              <w:rPr>
                <w:webHidden/>
              </w:rPr>
              <w:fldChar w:fldCharType="end"/>
            </w:r>
          </w:hyperlink>
        </w:p>
        <w:p>
          <w:pPr>
            <w:pStyle w:val="TOC1"/>
            <w:tabs>
              <w:tab w:val="clear" w:pos="708"/>
              <w:tab w:val="left" w:pos="440" w:leader="none"/>
              <w:tab w:val="right" w:pos="9062" w:leader="dot"/>
            </w:tabs>
            <w:rPr>
              <w:rFonts w:ascii="Calibri" w:hAnsi="Calibri" w:eastAsia="宋体" w:cs="" w:asciiTheme="minorHAnsi" w:cstheme="minorBidi" w:eastAsiaTheme="minorEastAsia" w:hAnsiTheme="minorHAnsi"/>
              <w:b w:val="false"/>
              <w:bCs w:val="false"/>
              <w:caps w:val="false"/>
              <w:smallCaps w:val="false"/>
              <w:sz w:val="22"/>
              <w:szCs w:val="22"/>
            </w:rPr>
          </w:pPr>
          <w:hyperlink w:anchor="_Toc157673756">
            <w:r>
              <w:rPr>
                <w:webHidden/>
                <w:rStyle w:val="IndexLink"/>
                <w:lang w:val="en-US"/>
              </w:rPr>
              <w:t>6.</w:t>
            </w:r>
            <w:r>
              <w:rPr>
                <w:rStyle w:val="IndexLink"/>
                <w:rFonts w:eastAsia="宋体" w:cs="" w:cstheme="minorBidi" w:eastAsiaTheme="minorEastAsia"/>
                <w:b w:val="false"/>
                <w:bCs w:val="false"/>
                <w:caps w:val="false"/>
                <w:smallCaps w:val="false"/>
                <w:sz w:val="22"/>
                <w:szCs w:val="22"/>
              </w:rPr>
              <w:tab/>
            </w:r>
            <w:r>
              <w:rPr>
                <w:rStyle w:val="IndexLink"/>
                <w:lang w:val="en-US"/>
              </w:rPr>
              <w:t>Validity and document management</w:t>
            </w:r>
            <w:r>
              <w:rPr>
                <w:webHidden/>
              </w:rPr>
              <w:fldChar w:fldCharType="begin"/>
            </w:r>
            <w:r>
              <w:rPr>
                <w:webHidden/>
              </w:rPr>
              <w:instrText xml:space="preserve">PAGEREF _Toc157673756 \h</w:instrText>
            </w:r>
            <w:r>
              <w:rPr>
                <w:webHidden/>
              </w:rPr>
              <w:fldChar w:fldCharType="separate"/>
            </w:r>
            <w:r>
              <w:rPr>
                <w:rStyle w:val="IndexLink"/>
                <w:vanish w:val="false"/>
              </w:rPr>
              <w:tab/>
              <w:t>5</w:t>
            </w:r>
            <w:r>
              <w:rPr>
                <w:webHidden/>
              </w:rPr>
              <w:fldChar w:fldCharType="end"/>
            </w:r>
          </w:hyperlink>
          <w:r>
            <w:rPr>
              <w:rStyle w:val="IndexLink"/>
              <w:vanish w:val="false"/>
            </w:rPr>
            <w:fldChar w:fldCharType="end"/>
          </w:r>
        </w:p>
      </w:sdtContent>
    </w:sdt>
    <w:p>
      <w:pPr>
        <w:pStyle w:val="Normal"/>
        <w:widowControl/>
        <w:bidi w:val="0"/>
        <w:spacing w:lineRule="auto" w:line="276" w:before="0" w:after="200"/>
        <w:jc w:val="left"/>
        <w:rPr>
          <w:sz w:val="22"/>
          <w:szCs w:val="22"/>
          <w:lang w:val="en-US" w:eastAsia="en-US"/>
        </w:rPr>
      </w:pPr>
      <w:r>
        <w:rPr>
          <w:sz w:val="22"/>
          <w:szCs w:val="22"/>
          <w:lang w:val="en-US" w:eastAsia="en-US"/>
        </w:rPr>
      </w:r>
    </w:p>
    <w:p>
      <w:pPr>
        <w:pStyle w:val="Normal"/>
        <w:spacing w:lineRule="auto" w:line="240" w:before="0" w:after="0"/>
        <w:rPr/>
      </w:pPr>
      <w:r>
        <w:rPr/>
      </w:r>
      <w:bookmarkStart w:id="14" w:name="_Toc269499261"/>
      <w:bookmarkStart w:id="15" w:name="_Toc269499261"/>
      <w:bookmarkEnd w:id="15"/>
      <w:r>
        <w:br w:type="page"/>
      </w:r>
    </w:p>
    <w:p>
      <w:pPr>
        <w:pStyle w:val="Heading1"/>
        <w:spacing w:before="0" w:after="200"/>
        <w:ind w:hanging="360" w:left="360"/>
        <w:rPr>
          <w:rFonts w:cs="Calibri"/>
        </w:rPr>
      </w:pPr>
      <w:bookmarkStart w:id="16" w:name="_Toc269499261"/>
      <w:bookmarkStart w:id="17" w:name="_Toc157673746"/>
      <w:bookmarkStart w:id="18" w:name="_Toc532377040"/>
      <w:bookmarkStart w:id="19" w:name="_Toc367268359"/>
      <w:bookmarkStart w:id="20" w:name="_Toc268771266"/>
      <w:bookmarkEnd w:id="16"/>
      <w:r>
        <w:rPr>
          <w:rFonts w:cs="Calibri"/>
        </w:rPr>
        <w:t>Purpose, scope and users</w:t>
      </w:r>
      <w:bookmarkEnd w:id="17"/>
      <w:bookmarkEnd w:id="18"/>
      <w:bookmarkEnd w:id="19"/>
      <w:bookmarkEnd w:id="20"/>
    </w:p>
    <w:p>
      <w:pPr>
        <w:pStyle w:val="Normal"/>
        <w:rPr/>
      </w:pPr>
      <w:r>
        <w:rPr/>
        <w:t>The aim of this top-level Policy is to define the purpose, direction, principles and basic rules for information security management.</w:t>
      </w:r>
    </w:p>
    <w:p>
      <w:pPr>
        <w:pStyle w:val="Normal"/>
        <w:rPr>
          <w:rFonts w:cs="Calibri"/>
        </w:rPr>
      </w:pPr>
      <w:r>
        <w:rPr>
          <w:rFonts w:cs="Calibri"/>
        </w:rPr>
        <w:t>This Policy is applied to the entire Information Security Management System (ISMS), as defined in the ISMS Scope Document.</w:t>
      </w:r>
    </w:p>
    <w:p>
      <w:pPr>
        <w:pStyle w:val="Normal"/>
        <w:rPr>
          <w:rFonts w:cs="Calibri"/>
        </w:rPr>
      </w:pPr>
      <w:r>
        <w:rPr>
          <w:rFonts w:cs="Calibri"/>
        </w:rPr>
        <w:t>Users of this document are all employees of MHZ, as well as relevant external parties.</w:t>
      </w:r>
    </w:p>
    <w:p>
      <w:pPr>
        <w:pStyle w:val="Normal"/>
        <w:rPr>
          <w:rFonts w:cs="Calibri"/>
        </w:rPr>
      </w:pPr>
      <w:r>
        <w:rPr>
          <w:rFonts w:cs="Calibri"/>
        </w:rPr>
      </w:r>
    </w:p>
    <w:p>
      <w:pPr>
        <w:pStyle w:val="Heading1"/>
        <w:ind w:hanging="360" w:left="360"/>
        <w:rPr>
          <w:rFonts w:cs="Calibri"/>
        </w:rPr>
      </w:pPr>
      <w:bookmarkStart w:id="21" w:name="_Toc532377041"/>
      <w:bookmarkStart w:id="22" w:name="_Toc268771267"/>
      <w:bookmarkStart w:id="23" w:name="_Toc367268360"/>
      <w:bookmarkStart w:id="24" w:name="_Toc157673747"/>
      <w:r>
        <w:rPr>
          <w:rFonts w:cs="Calibri"/>
        </w:rPr>
        <w:t>Reference documents</w:t>
      </w:r>
      <w:bookmarkEnd w:id="21"/>
      <w:bookmarkEnd w:id="22"/>
      <w:bookmarkEnd w:id="23"/>
      <w:bookmarkEnd w:id="24"/>
    </w:p>
    <w:p>
      <w:pPr>
        <w:pStyle w:val="Normal"/>
        <w:numPr>
          <w:ilvl w:val="0"/>
          <w:numId w:val="2"/>
        </w:numPr>
        <w:spacing w:before="0" w:after="0"/>
        <w:rPr>
          <w:rFonts w:cs="Calibri"/>
        </w:rPr>
      </w:pPr>
      <w:r>
        <w:rPr>
          <w:rFonts w:cs="Calibri"/>
        </w:rPr>
        <w:t>ISO/IEC 27001 standard, clauses 5.2, 5.3, 6.2, 7.4, and control A.6.3</w:t>
      </w:r>
    </w:p>
    <w:p>
      <w:pPr>
        <w:pStyle w:val="Normal"/>
        <w:numPr>
          <w:ilvl w:val="0"/>
          <w:numId w:val="2"/>
        </w:numPr>
        <w:spacing w:before="0" w:after="0"/>
        <w:rPr>
          <w:rFonts w:cs="Calibri"/>
        </w:rPr>
      </w:pPr>
      <w:commentRangeStart w:id="8"/>
      <w:r>
        <w:rPr>
          <w:rFonts w:cs="Calibri"/>
        </w:rPr>
        <w:t>ISMS Scope Document</w:t>
      </w:r>
      <w:commentRangeEnd w:id="8"/>
      <w:r>
        <w:commentReference w:id="8"/>
      </w:r>
      <w:r>
        <w:rPr>
          <w:rFonts w:cs="Calibri"/>
        </w:rPr>
      </w:r>
    </w:p>
    <w:p>
      <w:pPr>
        <w:pStyle w:val="Normal"/>
        <w:numPr>
          <w:ilvl w:val="0"/>
          <w:numId w:val="2"/>
        </w:numPr>
        <w:spacing w:before="0" w:after="0"/>
        <w:rPr>
          <w:rFonts w:cs="Calibri"/>
        </w:rPr>
      </w:pPr>
      <w:commentRangeStart w:id="9"/>
      <w:r>
        <w:rPr>
          <w:rFonts w:cs="Calibri"/>
        </w:rPr>
        <w:t>Risk Assessment and Risk Treatment Methodology</w:t>
      </w:r>
      <w:commentRangeEnd w:id="9"/>
      <w:r>
        <w:commentReference w:id="9"/>
      </w:r>
      <w:r>
        <w:rPr>
          <w:rFonts w:cs="Calibri"/>
        </w:rPr>
      </w:r>
    </w:p>
    <w:p>
      <w:pPr>
        <w:pStyle w:val="Normal"/>
        <w:numPr>
          <w:ilvl w:val="0"/>
          <w:numId w:val="2"/>
        </w:numPr>
        <w:spacing w:before="0" w:after="0"/>
        <w:rPr>
          <w:rFonts w:cs="Calibri"/>
        </w:rPr>
      </w:pPr>
      <w:commentRangeStart w:id="10"/>
      <w:r>
        <w:rPr>
          <w:rFonts w:cs="Calibri"/>
        </w:rPr>
        <w:t>Statement of Applicability</w:t>
      </w:r>
      <w:commentRangeEnd w:id="10"/>
      <w:r>
        <w:commentReference w:id="10"/>
      </w:r>
      <w:r>
        <w:rPr>
          <w:rFonts w:cs="Calibri"/>
        </w:rPr>
      </w:r>
    </w:p>
    <w:p>
      <w:pPr>
        <w:pStyle w:val="Normal"/>
        <w:numPr>
          <w:ilvl w:val="0"/>
          <w:numId w:val="2"/>
        </w:numPr>
        <w:spacing w:before="0" w:after="0"/>
        <w:rPr>
          <w:rFonts w:cs="Calibri"/>
        </w:rPr>
      </w:pPr>
      <w:commentRangeStart w:id="11"/>
      <w:r>
        <w:rPr>
          <w:rFonts w:cs="Calibri"/>
        </w:rPr>
        <w:t>List of Legal, Regulatory, Contractual and Other Requirements</w:t>
      </w:r>
      <w:commentRangeEnd w:id="11"/>
      <w:r>
        <w:commentReference w:id="11"/>
      </w:r>
      <w:r>
        <w:rPr>
          <w:rFonts w:cs="Calibri"/>
        </w:rPr>
      </w:r>
    </w:p>
    <w:p>
      <w:pPr>
        <w:pStyle w:val="Normal"/>
        <w:numPr>
          <w:ilvl w:val="0"/>
          <w:numId w:val="2"/>
        </w:numPr>
        <w:spacing w:before="0" w:after="0"/>
        <w:rPr>
          <w:rFonts w:cs="Calibri"/>
        </w:rPr>
      </w:pPr>
      <w:commentRangeStart w:id="12"/>
      <w:r>
        <w:rPr>
          <w:rFonts w:cs="Calibri"/>
        </w:rPr>
        <w:t>Incident Management Procedure</w:t>
      </w:r>
      <w:commentRangeEnd w:id="12"/>
      <w:r>
        <w:commentReference w:id="12"/>
      </w:r>
      <w:r>
        <w:rPr>
          <w:rFonts w:cs="Calibri"/>
        </w:rPr>
      </w:r>
    </w:p>
    <w:p>
      <w:pPr>
        <w:pStyle w:val="Normal"/>
        <w:numPr>
          <w:ilvl w:val="0"/>
          <w:numId w:val="2"/>
        </w:numPr>
        <w:rPr>
          <w:rFonts w:cs="Calibri"/>
        </w:rPr>
      </w:pPr>
      <w:commentRangeStart w:id="13"/>
      <w:r>
        <w:rPr>
          <w:rFonts w:cs="Calibri"/>
        </w:rPr>
        <w:t>[other relevant documents]</w:t>
      </w:r>
      <w:bookmarkStart w:id="25" w:name="_Hlk157672801"/>
      <w:bookmarkEnd w:id="25"/>
      <w:commentRangeEnd w:id="13"/>
      <w:r>
        <w:commentReference w:id="13"/>
      </w:r>
      <w:r>
        <w:rPr>
          <w:rFonts w:cs="Calibri"/>
        </w:rPr>
      </w:r>
    </w:p>
    <w:p>
      <w:pPr>
        <w:pStyle w:val="Normal"/>
        <w:rPr>
          <w:rFonts w:cs="Calibri"/>
        </w:rPr>
      </w:pPr>
      <w:r>
        <w:rPr>
          <w:rFonts w:cs="Calibri"/>
        </w:rPr>
      </w:r>
    </w:p>
    <w:p>
      <w:pPr>
        <w:pStyle w:val="Heading1"/>
        <w:ind w:hanging="360" w:left="360"/>
        <w:rPr>
          <w:rFonts w:cs="Calibri"/>
        </w:rPr>
      </w:pPr>
      <w:bookmarkStart w:id="26" w:name="_Toc268771268"/>
      <w:bookmarkStart w:id="27" w:name="_Toc157673748"/>
      <w:bookmarkStart w:id="28" w:name="_Toc367268361"/>
      <w:bookmarkStart w:id="29" w:name="_Toc532377042"/>
      <w:r>
        <w:rPr>
          <w:rFonts w:cs="Calibri"/>
        </w:rPr>
        <w:t>Basic information security terminology</w:t>
      </w:r>
      <w:bookmarkEnd w:id="26"/>
      <w:bookmarkEnd w:id="27"/>
      <w:bookmarkEnd w:id="28"/>
      <w:bookmarkEnd w:id="29"/>
    </w:p>
    <w:p>
      <w:pPr>
        <w:pStyle w:val="Normal"/>
        <w:rPr>
          <w:rFonts w:cs="Calibri"/>
        </w:rPr>
      </w:pPr>
      <w:r>
        <w:rPr>
          <w:rFonts w:cs="Calibri"/>
          <w:b/>
        </w:rPr>
        <w:t>Confidentiality</w:t>
      </w:r>
      <w:r>
        <w:rPr>
          <w:rFonts w:cs="Calibri"/>
        </w:rPr>
        <w:t xml:space="preserve"> – characteristic of the information by which it is available only to authorized persons or systems.</w:t>
      </w:r>
    </w:p>
    <w:p>
      <w:pPr>
        <w:pStyle w:val="Normal"/>
        <w:rPr>
          <w:rFonts w:cs="Calibri"/>
        </w:rPr>
      </w:pPr>
      <w:r>
        <w:rPr>
          <w:rFonts w:cs="Calibri"/>
          <w:b/>
        </w:rPr>
        <w:t>Integrity</w:t>
      </w:r>
      <w:r>
        <w:rPr>
          <w:rFonts w:cs="Calibri"/>
        </w:rPr>
        <w:t xml:space="preserve"> – </w:t>
      </w:r>
      <w:r>
        <w:rPr>
          <w:rFonts w:cs="Calibri"/>
          <w:lang w:eastAsia="hr-HR"/>
        </w:rPr>
        <w:t>characteristic of the information by which it is changed only by authorized persons or systems in an allowed way.</w:t>
      </w:r>
    </w:p>
    <w:p>
      <w:pPr>
        <w:pStyle w:val="Normal"/>
        <w:rPr>
          <w:rFonts w:cs="Calibri"/>
        </w:rPr>
      </w:pPr>
      <w:r>
        <w:rPr>
          <w:rFonts w:cs="Calibri"/>
          <w:b/>
        </w:rPr>
        <w:t>Availability</w:t>
      </w:r>
      <w:r>
        <w:rPr>
          <w:rFonts w:cs="Calibri"/>
        </w:rPr>
        <w:t xml:space="preserve"> – </w:t>
      </w:r>
      <w:r>
        <w:rPr>
          <w:rFonts w:cs="Calibri"/>
          <w:lang w:eastAsia="hr-HR"/>
        </w:rPr>
        <w:t>characteristic of the information by which it can be accessed by authorized persons when it is needed.</w:t>
      </w:r>
    </w:p>
    <w:p>
      <w:pPr>
        <w:pStyle w:val="Normal"/>
        <w:rPr>
          <w:rFonts w:cs="Calibri"/>
        </w:rPr>
      </w:pPr>
      <w:r>
        <w:rPr>
          <w:rFonts w:cs="Calibri"/>
          <w:b/>
        </w:rPr>
        <w:t>Information security</w:t>
      </w:r>
      <w:r>
        <w:rPr>
          <w:rFonts w:cs="Calibri"/>
        </w:rPr>
        <w:t xml:space="preserve"> – </w:t>
      </w:r>
      <w:r>
        <w:rPr>
          <w:rFonts w:cs="Calibri"/>
          <w:lang w:eastAsia="hr-HR"/>
        </w:rPr>
        <w:t>preservation of confidentiality, integrity and availability of information.</w:t>
      </w:r>
    </w:p>
    <w:p>
      <w:pPr>
        <w:pStyle w:val="Normal"/>
        <w:rPr>
          <w:rFonts w:cs="Calibri"/>
        </w:rPr>
      </w:pPr>
      <w:r>
        <w:rPr>
          <w:rFonts w:cs="Calibri"/>
          <w:b/>
        </w:rPr>
        <w:t xml:space="preserve">Information Security Management System </w:t>
      </w:r>
      <w:r>
        <w:rPr>
          <w:rFonts w:cs="Calibri"/>
        </w:rPr>
        <w:t>–</w:t>
      </w:r>
      <w:r>
        <w:rPr>
          <w:rFonts w:cs="Calibri"/>
          <w:b/>
        </w:rPr>
        <w:t xml:space="preserve"> </w:t>
      </w:r>
      <w:r>
        <w:rPr>
          <w:rFonts w:cs="Calibri"/>
        </w:rPr>
        <w:t>part of overall management processes that takes care of planning, implementing, maintaining, reviewing, and improving the information security.</w:t>
      </w:r>
    </w:p>
    <w:p>
      <w:pPr>
        <w:pStyle w:val="Normal"/>
        <w:rPr>
          <w:rFonts w:cs="Calibri"/>
        </w:rPr>
      </w:pPr>
      <w:r>
        <w:rPr>
          <w:rFonts w:cs="Calibri"/>
        </w:rPr>
      </w:r>
    </w:p>
    <w:p>
      <w:pPr>
        <w:pStyle w:val="Heading1"/>
        <w:ind w:hanging="360" w:left="360"/>
        <w:rPr>
          <w:rFonts w:cs="Calibri"/>
        </w:rPr>
      </w:pPr>
      <w:bookmarkStart w:id="30" w:name="_Toc157673749"/>
      <w:bookmarkStart w:id="31" w:name="_Toc367268362"/>
      <w:bookmarkStart w:id="32" w:name="_Toc268771269"/>
      <w:bookmarkStart w:id="33" w:name="_Toc532377043"/>
      <w:r>
        <w:rPr>
          <w:rFonts w:cs="Calibri"/>
        </w:rPr>
        <w:t>Managing the information security</w:t>
      </w:r>
      <w:bookmarkEnd w:id="30"/>
      <w:bookmarkEnd w:id="31"/>
      <w:bookmarkEnd w:id="32"/>
      <w:bookmarkEnd w:id="33"/>
    </w:p>
    <w:p>
      <w:pPr>
        <w:pStyle w:val="Heading2"/>
        <w:rPr>
          <w:rFonts w:cs="Calibri"/>
        </w:rPr>
      </w:pPr>
      <w:bookmarkStart w:id="34" w:name="_Toc157673750"/>
      <w:bookmarkStart w:id="35" w:name="_Toc532377044"/>
      <w:bookmarkStart w:id="36" w:name="_Toc367268363"/>
      <w:bookmarkStart w:id="37" w:name="_Toc268771270"/>
      <w:r>
        <w:rPr>
          <w:rFonts w:cs="Calibri"/>
        </w:rPr>
        <w:t>Objectives</w:t>
      </w:r>
      <w:bookmarkEnd w:id="36"/>
      <w:bookmarkEnd w:id="37"/>
      <w:r>
        <w:rPr>
          <w:rFonts w:cs="Calibri"/>
        </w:rPr>
        <w:t xml:space="preserve"> and measurement</w:t>
      </w:r>
      <w:bookmarkEnd w:id="34"/>
      <w:bookmarkEnd w:id="35"/>
    </w:p>
    <w:p>
      <w:pPr>
        <w:pStyle w:val="Normal"/>
        <w:rPr>
          <w:rFonts w:cs="Calibri"/>
        </w:rPr>
      </w:pPr>
      <w:r>
        <w:rPr>
          <w:rFonts w:cs="Calibri"/>
        </w:rPr>
        <w:t xml:space="preserve">General objectives for the information security management system are the following: </w:t>
      </w:r>
      <w:commentRangeStart w:id="14"/>
      <w:r>
        <w:rPr>
          <w:rFonts w:cs="Calibri"/>
        </w:rPr>
        <w:t>[general security objectives]</w:t>
      </w:r>
      <w:bookmarkStart w:id="38" w:name="_Hlk157672862"/>
      <w:bookmarkEnd w:id="38"/>
      <w:r>
        <w:rPr>
          <w:rFonts w:cs="Calibri"/>
        </w:rPr>
      </w:r>
      <w:commentRangeEnd w:id="14"/>
      <w:r>
        <w:commentReference w:id="14"/>
      </w:r>
      <w:r>
        <w:rPr>
          <w:rFonts w:cs="Calibri"/>
        </w:rPr>
        <w:t xml:space="preserve">. </w:t>
      </w:r>
      <w:commentRangeStart w:id="15"/>
      <w:r>
        <w:rPr>
          <w:rFonts w:cs="Calibri"/>
        </w:rPr>
        <w:t>[job title for setting general security objectives</w:t>
      </w:r>
      <w:bookmarkStart w:id="39" w:name="_Hlk157672890"/>
      <w:r>
        <w:rPr>
          <w:rFonts w:cs="Calibri"/>
        </w:rPr>
        <w:t>]</w:t>
      </w:r>
      <w:bookmarkEnd w:id="39"/>
      <w:r>
        <w:rPr>
          <w:rFonts w:cs="Calibri"/>
        </w:rPr>
      </w:r>
      <w:commentRangeEnd w:id="15"/>
      <w:r>
        <w:commentReference w:id="15"/>
      </w:r>
      <w:r>
        <w:rPr>
          <w:rFonts w:cs="Calibri"/>
        </w:rPr>
        <w:t xml:space="preserve"> is responsible for reviewing these general ISMS objectives and setting new ones.</w:t>
      </w:r>
    </w:p>
    <w:p>
      <w:pPr>
        <w:pStyle w:val="Normal"/>
        <w:rPr>
          <w:rFonts w:cs="Calibri"/>
        </w:rPr>
      </w:pPr>
      <w:commentRangeStart w:id="16"/>
      <w:r>
        <w:rPr>
          <w:rFonts w:cs="Calibri"/>
        </w:rPr>
        <w:t>Objectives for individual security controls or groups of controls</w:t>
      </w:r>
      <w:r>
        <w:rPr>
          <w:rFonts w:cs="Calibri"/>
        </w:rPr>
      </w:r>
      <w:commentRangeEnd w:id="16"/>
      <w:r>
        <w:commentReference w:id="16"/>
      </w:r>
      <w:r>
        <w:rPr>
          <w:rFonts w:cs="Calibri"/>
        </w:rPr>
        <w:t xml:space="preserve"> are </w:t>
      </w:r>
      <w:commentRangeStart w:id="17"/>
      <w:r>
        <w:rPr>
          <w:rFonts w:cs="Calibri"/>
        </w:rPr>
        <w:t>proposed by heads of departments</w:t>
      </w:r>
      <w:r>
        <w:rPr>
          <w:rFonts w:cs="Calibri"/>
        </w:rPr>
      </w:r>
      <w:commentRangeEnd w:id="17"/>
      <w:r>
        <w:commentReference w:id="17"/>
      </w:r>
      <w:r>
        <w:rPr>
          <w:rFonts w:cs="Calibri"/>
        </w:rPr>
        <w:t xml:space="preserve">, and approved by </w:t>
      </w:r>
      <w:commentRangeStart w:id="18"/>
      <w:r>
        <w:rPr>
          <w:rFonts w:cs="Calibri"/>
        </w:rPr>
        <w:t>[job title for security manager</w:t>
      </w:r>
      <w:bookmarkStart w:id="40" w:name="_Hlk157672926"/>
      <w:r>
        <w:rPr>
          <w:rFonts w:cs="Calibri"/>
        </w:rPr>
        <w:t>]</w:t>
      </w:r>
      <w:bookmarkEnd w:id="40"/>
      <w:r>
        <w:rPr>
          <w:rFonts w:cs="Calibri"/>
        </w:rPr>
      </w:r>
      <w:commentRangeEnd w:id="18"/>
      <w:r>
        <w:commentReference w:id="18"/>
      </w:r>
      <w:r>
        <w:rPr>
          <w:rFonts w:cs="Calibri"/>
        </w:rPr>
        <w:t>.</w:t>
      </w:r>
    </w:p>
    <w:p>
      <w:pPr>
        <w:pStyle w:val="Normal"/>
        <w:rPr>
          <w:rFonts w:cs="Calibri"/>
        </w:rPr>
      </w:pPr>
      <w:r>
        <w:rPr>
          <w:rFonts w:cs="Calibri"/>
        </w:rPr>
        <w:t xml:space="preserve">All the objectives must be reviewed at least </w:t>
      </w:r>
      <w:commentRangeStart w:id="19"/>
      <w:r>
        <w:rPr>
          <w:rFonts w:cs="Calibri"/>
        </w:rPr>
        <w:t>once a year</w:t>
      </w:r>
      <w:r>
        <w:rPr>
          <w:rFonts w:cs="Calibri"/>
        </w:rPr>
      </w:r>
      <w:commentRangeEnd w:id="19"/>
      <w:r>
        <w:commentReference w:id="19"/>
      </w:r>
      <w:r>
        <w:rPr>
          <w:rFonts w:cs="Calibri"/>
        </w:rPr>
        <w:t>.</w:t>
      </w:r>
    </w:p>
    <w:p>
      <w:pPr>
        <w:pStyle w:val="Normal"/>
        <w:rPr>
          <w:rFonts w:cs="Calibri"/>
        </w:rPr>
      </w:pPr>
      <w:r>
        <w:rPr>
          <w:rFonts w:cs="Calibri"/>
        </w:rPr>
        <w:t>MHZ will measure the fulfillment of all the objectives:</w:t>
      </w:r>
    </w:p>
    <w:p>
      <w:pPr>
        <w:pStyle w:val="ListParagraph"/>
        <w:numPr>
          <w:ilvl w:val="0"/>
          <w:numId w:val="3"/>
        </w:numPr>
        <w:rPr>
          <w:rFonts w:cs="Calibri"/>
        </w:rPr>
      </w:pPr>
      <w:bookmarkStart w:id="41" w:name="_Hlk158747786"/>
      <w:commentRangeStart w:id="20"/>
      <w:r>
        <w:rPr>
          <w:rFonts w:cs="Calibri"/>
        </w:rPr>
        <w:t>[job title for measurement methodology]</w:t>
      </w:r>
      <w:bookmarkStart w:id="42" w:name="_Hlk157672972"/>
      <w:bookmarkEnd w:id="41"/>
      <w:bookmarkEnd w:id="42"/>
      <w:r>
        <w:rPr>
          <w:rFonts w:cs="Calibri"/>
        </w:rPr>
      </w:r>
      <w:commentRangeEnd w:id="20"/>
      <w:r>
        <w:commentReference w:id="20"/>
      </w:r>
      <w:r>
        <w:rPr>
          <w:rFonts w:cs="Calibri"/>
        </w:rPr>
        <w:t xml:space="preserve"> is responsible for setting the methods for measuring the achievement of the objectives.</w:t>
      </w:r>
    </w:p>
    <w:p>
      <w:pPr>
        <w:pStyle w:val="ListParagraph"/>
        <w:numPr>
          <w:ilvl w:val="0"/>
          <w:numId w:val="3"/>
        </w:numPr>
        <w:rPr>
          <w:rFonts w:cs="Calibri"/>
        </w:rPr>
      </w:pPr>
      <w:r>
        <w:rPr>
          <w:rFonts w:cs="Calibri"/>
        </w:rPr>
        <w:t xml:space="preserve">The measurements will be performed at least once a year. </w:t>
      </w:r>
    </w:p>
    <w:p>
      <w:pPr>
        <w:pStyle w:val="ListParagraph"/>
        <w:numPr>
          <w:ilvl w:val="0"/>
          <w:numId w:val="3"/>
        </w:numPr>
        <w:rPr>
          <w:rFonts w:cs="Calibri"/>
        </w:rPr>
      </w:pPr>
      <w:commentRangeStart w:id="21"/>
      <w:r>
        <w:rPr>
          <w:rFonts w:cs="Calibri"/>
        </w:rPr>
        <w:t>[job title for reporting measurement results]</w:t>
      </w:r>
      <w:bookmarkStart w:id="43" w:name="_Hlk157673012"/>
      <w:bookmarkEnd w:id="43"/>
      <w:r>
        <w:rPr>
          <w:rFonts w:cs="Calibri"/>
        </w:rPr>
      </w:r>
      <w:commentRangeEnd w:id="21"/>
      <w:r>
        <w:commentReference w:id="21"/>
      </w:r>
      <w:r>
        <w:rPr>
          <w:rFonts w:cs="Calibri"/>
        </w:rPr>
        <w:t xml:space="preserve"> will analyze and evaluate the measurement results and report them to the top management as input materials for the Management review, and will record the details about measurement methods, frequency, and results in the </w:t>
      </w:r>
      <w:commentRangeStart w:id="22"/>
      <w:r>
        <w:rPr>
          <w:rFonts w:cs="Calibri"/>
        </w:rPr>
        <w:t>Measurement Report</w:t>
      </w:r>
      <w:r>
        <w:rPr>
          <w:rFonts w:cs="Calibri"/>
        </w:rPr>
      </w:r>
      <w:commentRangeEnd w:id="22"/>
      <w:r>
        <w:commentReference w:id="22"/>
      </w:r>
      <w:r>
        <w:rPr>
          <w:rFonts w:cs="Calibri"/>
        </w:rPr>
        <w:t>.</w:t>
      </w:r>
    </w:p>
    <w:p>
      <w:pPr>
        <w:pStyle w:val="Heading2"/>
        <w:rPr>
          <w:rFonts w:cs="Calibri"/>
        </w:rPr>
      </w:pPr>
      <w:bookmarkStart w:id="44" w:name="_Toc157673751"/>
      <w:bookmarkStart w:id="45" w:name="_Toc532377045"/>
      <w:bookmarkStart w:id="46" w:name="_Toc367268364"/>
      <w:bookmarkStart w:id="47" w:name="_Toc268771271"/>
      <w:r>
        <w:rPr>
          <w:rFonts w:cs="Calibri"/>
        </w:rPr>
        <w:t>Information security requirements</w:t>
      </w:r>
      <w:bookmarkEnd w:id="44"/>
      <w:bookmarkEnd w:id="45"/>
      <w:bookmarkEnd w:id="46"/>
      <w:bookmarkEnd w:id="47"/>
    </w:p>
    <w:p>
      <w:pPr>
        <w:pStyle w:val="Normal"/>
        <w:rPr>
          <w:rFonts w:cs="Calibri"/>
        </w:rPr>
      </w:pPr>
      <w:r>
        <w:rPr>
          <w:rFonts w:cs="Calibri"/>
        </w:rPr>
        <w:t xml:space="preserve">This Policy and the entire ISMS must be compliant with legal and regulatory requirements relevant to the company in the field of </w:t>
      </w:r>
      <w:commentRangeStart w:id="23"/>
      <w:r>
        <w:rPr>
          <w:rFonts w:cs="Calibri"/>
        </w:rPr>
        <w:t>information security</w:t>
      </w:r>
      <w:r>
        <w:rPr>
          <w:rFonts w:cs="Calibri"/>
        </w:rPr>
      </w:r>
      <w:commentRangeEnd w:id="23"/>
      <w:r>
        <w:commentReference w:id="23"/>
      </w:r>
      <w:r>
        <w:rPr>
          <w:rFonts w:cs="Calibri"/>
        </w:rPr>
        <w:t>, as well as with contractual obligations.</w:t>
      </w:r>
    </w:p>
    <w:p>
      <w:pPr>
        <w:pStyle w:val="Normal"/>
        <w:rPr>
          <w:rFonts w:cs="Calibri"/>
        </w:rPr>
      </w:pPr>
      <w:r>
        <w:rPr>
          <w:rFonts w:cs="Calibri"/>
        </w:rPr>
        <w:t xml:space="preserve">A detailed list of all contractual and legal requirements is provided in the </w:t>
      </w:r>
      <w:commentRangeStart w:id="24"/>
      <w:r>
        <w:rPr>
          <w:rFonts w:cs="Calibri"/>
        </w:rPr>
        <w:t>List of Legal, Regulatory and Contractual Obligations</w:t>
      </w:r>
      <w:r>
        <w:rPr>
          <w:rFonts w:cs="Calibri"/>
        </w:rPr>
      </w:r>
      <w:commentRangeEnd w:id="24"/>
      <w:r>
        <w:commentReference w:id="24"/>
      </w:r>
      <w:r>
        <w:rPr>
          <w:rFonts w:cs="Calibri"/>
        </w:rPr>
        <w:t>.</w:t>
      </w:r>
    </w:p>
    <w:p>
      <w:pPr>
        <w:pStyle w:val="Heading2"/>
        <w:rPr/>
      </w:pPr>
      <w:bookmarkStart w:id="48" w:name="_Toc157673752"/>
      <w:bookmarkStart w:id="49" w:name="_Toc532377046"/>
      <w:r>
        <w:rPr/>
        <w:t>Information security controls</w:t>
      </w:r>
      <w:bookmarkEnd w:id="48"/>
      <w:bookmarkEnd w:id="49"/>
    </w:p>
    <w:p>
      <w:pPr>
        <w:pStyle w:val="Normal"/>
        <w:rPr/>
      </w:pPr>
      <w:r>
        <w:rPr/>
        <w:t>The process of selecting the controls (safeguards) is defined in the Risk Assessment and Risk Treatment Methodology.</w:t>
      </w:r>
    </w:p>
    <w:p>
      <w:pPr>
        <w:pStyle w:val="Normal"/>
        <w:rPr/>
      </w:pPr>
      <w:r>
        <w:rPr/>
        <w:t>The selected controls and their implementation status are listed in the Statement of Applicability.</w:t>
      </w:r>
    </w:p>
    <w:p>
      <w:pPr>
        <w:pStyle w:val="Heading2"/>
        <w:rPr>
          <w:rFonts w:cs="Calibri"/>
        </w:rPr>
      </w:pPr>
      <w:bookmarkStart w:id="50" w:name="_Toc157673753"/>
      <w:bookmarkStart w:id="51" w:name="_Toc532377047"/>
      <w:bookmarkStart w:id="52" w:name="_Toc367268368"/>
      <w:bookmarkStart w:id="53" w:name="_Toc268771275"/>
      <w:commentRangeStart w:id="25"/>
      <w:r>
        <w:rPr>
          <w:rFonts w:cs="Calibri"/>
        </w:rPr>
        <w:t>Responsibilities</w:t>
      </w:r>
      <w:bookmarkEnd w:id="50"/>
      <w:bookmarkEnd w:id="51"/>
      <w:bookmarkEnd w:id="52"/>
      <w:bookmarkEnd w:id="53"/>
      <w:commentRangeEnd w:id="25"/>
      <w:r>
        <w:commentReference w:id="25"/>
      </w:r>
      <w:r>
        <w:rPr>
          <w:rFonts w:cs="Calibri"/>
        </w:rPr>
      </w:r>
    </w:p>
    <w:p>
      <w:pPr>
        <w:pStyle w:val="Normal"/>
        <w:rPr/>
      </w:pPr>
      <w:r>
        <w:rPr/>
        <w:t>…</w:t>
      </w:r>
    </w:p>
    <w:p>
      <w:pPr>
        <w:pStyle w:val="Normal"/>
        <w:rPr/>
      </w:pPr>
      <w:r>
        <w:rPr/>
      </w:r>
      <w:bookmarkStart w:id="54" w:name="_GoBack"/>
      <w:bookmarkStart w:id="55" w:name="_GoBack"/>
      <w:bookmarkEnd w:id="55"/>
    </w:p>
    <w:p>
      <w:pPr>
        <w:pStyle w:val="Normal"/>
        <w:shd w:val="clear" w:color="auto" w:fill="C6D9F1" w:themeFill="text2" w:themeFillTint="33"/>
        <w:jc w:val="center"/>
        <w:rPr>
          <w:b/>
          <w:bCs/>
          <w:sz w:val="28"/>
          <w:szCs w:val="28"/>
        </w:rPr>
      </w:pPr>
      <w:r>
        <w:rPr>
          <w:b/>
          <w:bCs/>
          <w:sz w:val="28"/>
          <w:szCs w:val="28"/>
        </w:rPr>
        <w:t>* END OF FREE PREVIEW *</w:t>
      </w:r>
    </w:p>
    <w:p>
      <w:pPr>
        <w:pStyle w:val="Normal"/>
        <w:shd w:val="clear" w:color="auto" w:fill="C6D9F1" w:themeFill="text2" w:themeFillTint="33"/>
        <w:spacing w:before="0" w:after="200"/>
        <w:jc w:val="center"/>
        <w:rPr>
          <w:rFonts w:cs="Calibri"/>
        </w:rPr>
      </w:pPr>
      <w:r>
        <w:rPr/>
        <w:t xml:space="preserve">(To access the full version of the document please purchase the ISO 27001 Documentation Toolkit </w:t>
      </w:r>
      <w:hyperlink r:id="rId3">
        <w:r>
          <w:rPr>
            <w:rStyle w:val="Hyperlink"/>
          </w:rPr>
          <w:t>https://advisera.com/27001academy/iso-27001-documentation-toolkit/</w:t>
        </w:r>
      </w:hyperlink>
      <w:r>
        <w:rPr/>
        <w:t>)</w:t>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17" w:right="1417" w:gutter="0" w:header="708" w:top="1417" w:footer="708" w:bottom="1417"/>
      <w:pgNumType w:fmt="decimal"/>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dvisera" w:date="2023-08-18T15:19: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 xml:space="preserve">All fields in this document marked by square brackets [ ] must be filled out. </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Make sure you delete the square brackets after you complete the entry.</w:t>
      </w:r>
    </w:p>
  </w:comment>
  <w:comment w:id="1" w:author="Advisera" w:date="2023-08-18T12:02: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This article will help you understand the purpose of Information Security Policy:</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 xml:space="preserve">Information security policy – how detailed should it be? </w:t>
      </w:r>
      <w:hyperlink r:id="rId1">
        <w:r>
          <w:rPr>
            <w:rFonts w:ascii="Liberation Serif" w:hAnsi="Liberation Serif" w:eastAsia="DejaVu Sans" w:cs="Noto Sans Arabic UI"/>
            <w:sz w:val="24"/>
            <w:szCs w:val="24"/>
            <w:lang w:val="en-US" w:eastAsia="en-US" w:bidi="en-US"/>
          </w:rPr>
          <w:t>https://advisera.com/27001academy/blog/2010/05/26/information-security-policy-how-detailed-should-it-be/</w:t>
        </w:r>
      </w:hyperlink>
    </w:p>
  </w:comment>
  <w:comment w:id="2" w:author="Advisera" w:date="2023-08-18T12:01: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What is the unique code for this document?</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The document coding system should be in line with the company's existing system for document coding; in case such a system does not exist, this line may be deleted.</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Example of a code could be: “IS-P-001”, where:</w:t>
      </w:r>
    </w:p>
    <w:p>
      <w:pPr>
        <w:overflowPunct w:val="false"/>
        <w:spacing w:before="0" w:after="0" w:lineRule="auto" w:line="240"/>
        <w:rPr/>
      </w:pPr>
      <w:r>
        <w:rPr>
          <w:rFonts w:ascii="Liberation Serif" w:hAnsi="Liberation Serif" w:eastAsia="DejaVu Sans" w:cs="Noto Sans Arabic UI"/>
          <w:sz w:val="24"/>
          <w:szCs w:val="24"/>
          <w:lang w:val="en-US" w:eastAsia="en-US" w:bidi="en-US"/>
        </w:rPr>
        <w:t xml:space="preserve"> “IS” stands for information security</w:t>
      </w:r>
    </w:p>
    <w:p>
      <w:pPr>
        <w:overflowPunct w:val="false"/>
        <w:spacing w:before="0" w:after="0" w:lineRule="auto" w:line="240"/>
        <w:rPr/>
      </w:pPr>
      <w:r>
        <w:rPr>
          <w:rFonts w:ascii="Liberation Serif" w:hAnsi="Liberation Serif" w:eastAsia="DejaVu Sans" w:cs="Noto Sans Arabic UI"/>
          <w:sz w:val="24"/>
          <w:szCs w:val="24"/>
          <w:lang w:val="en-US" w:eastAsia="en-US" w:bidi="en-US"/>
        </w:rPr>
        <w:t xml:space="preserve"> “P” stands for policy</w:t>
      </w:r>
    </w:p>
    <w:p>
      <w:pPr>
        <w:overflowPunct w:val="false"/>
        <w:spacing w:before="0" w:after="0" w:lineRule="auto" w:line="240"/>
        <w:rPr/>
      </w:pPr>
      <w:r>
        <w:rPr>
          <w:rFonts w:ascii="Liberation Serif" w:hAnsi="Liberation Serif" w:eastAsia="DejaVu Sans" w:cs="Noto Sans Arabic UI"/>
          <w:sz w:val="24"/>
          <w:szCs w:val="24"/>
          <w:lang w:val="en-US" w:eastAsia="en-US" w:bidi="en-US"/>
        </w:rPr>
        <w:t xml:space="preserve"> “001” means the first policy in the folder (or in the sequence)</w:t>
      </w:r>
    </w:p>
  </w:comment>
  <w:comment w:id="3" w:author="Advisera" w:date="2023-08-18T12:01: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What is the version number of this document?</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You can write 0.2 since version 0.1 is for the original template. Later on, change with every new version of the document.</w:t>
      </w:r>
    </w:p>
  </w:comment>
  <w:comment w:id="4" w:author="Advisera" w:date="2023-08-18T12:01: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What is the version date of this document?</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You can define this once this version of the document is completed.</w:t>
      </w:r>
    </w:p>
  </w:comment>
  <w:comment w:id="5" w:author="Advisera" w:date="2023-08-18T12:01: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 xml:space="preserve">Who is the author of this document? </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You should write here the full name of the person writing the document.</w:t>
      </w:r>
    </w:p>
  </w:comment>
  <w:comment w:id="6" w:author="Advisera" w:date="2023-08-18T12:02: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What is the name of the person to approve this document?</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This is a person with authority to sign documents, or a person specified in the Procedure for Document and Record control as the one to approve documents.</w:t>
      </w:r>
    </w:p>
  </w:comment>
  <w:comment w:id="7" w:author="Advisera" w:date="2023-08-18T12:02: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What is the confidentiality level of this document?</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Use your existing classification system to label the documents; if such a system does not exist, this line may be deleted.</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Example of a label: “INTERNAL USE”.</w:t>
      </w:r>
    </w:p>
  </w:comment>
  <w:comment w:id="8" w:author="Advisera" w:date="2023-11-09T10:39: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You can find a template for this document in the ISO 27001 Documentation Toolkit folder “ISMS Scope”.</w:t>
      </w:r>
    </w:p>
  </w:comment>
  <w:comment w:id="9" w:author="Advisera" w:date="2023-11-09T10:39: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You can find a template for this document in the ISO 27001 Documentation Toolkit folder “Risk Assessment and Risk Treatment”.</w:t>
      </w:r>
    </w:p>
  </w:comment>
  <w:comment w:id="10" w:author="Advisera" w:date="2023-11-09T10:39: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You can find a template for this document in the ISO 27001 Documentation Toolkit folder “Applicability of Controls”.</w:t>
      </w:r>
    </w:p>
  </w:comment>
  <w:comment w:id="11" w:author="Advisera" w:date="2023-11-09T10:39: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You can find a template for this document in the ISO 27001 Documentation Toolkit folder “Identification of Requirements”.</w:t>
      </w:r>
    </w:p>
  </w:comment>
  <w:comment w:id="12" w:author="Advisera" w:date="2023-11-09T10:40: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You can find a template for this document in the ISO 27001 Documentation Toolkit folder “Annex A Security Controls”.</w:t>
      </w:r>
    </w:p>
  </w:comment>
  <w:comment w:id="13" w:author="Advisera" w:date="2023-11-09T10:40: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List other internal documents of the company associated with this Policy - for example, strategic development plan, business plan, document on strategic risk management, etc.</w:t>
      </w:r>
    </w:p>
  </w:comment>
  <w:comment w:id="14" w:author="Advisera" w:date="2023-11-09T15:06: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What are the top-level security objectives for your whole ISMS?</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 xml:space="preserve">For example, you could have objective like: </w:t>
      </w:r>
    </w:p>
    <w:p>
      <w:pPr>
        <w:overflowPunct w:val="false"/>
        <w:spacing w:before="0" w:after="0" w:lineRule="auto" w:line="240"/>
        <w:rPr/>
      </w:pPr>
      <w:r>
        <w:rPr>
          <w:rFonts w:ascii="Liberation Serif" w:hAnsi="Liberation Serif" w:eastAsia="DejaVu Sans" w:cs="Noto Sans Arabic UI"/>
          <w:sz w:val="24"/>
          <w:szCs w:val="24"/>
          <w:lang w:val="en-US" w:eastAsia="en-US" w:bidi="en-US"/>
        </w:rPr>
        <w:t>- “Decrease the number of incidents by 20% during the next 12 months.”</w:t>
      </w:r>
    </w:p>
    <w:p>
      <w:pPr>
        <w:overflowPunct w:val="false"/>
        <w:spacing w:before="0" w:after="0" w:lineRule="auto" w:line="240"/>
        <w:rPr/>
      </w:pPr>
      <w:r>
        <w:rPr>
          <w:rFonts w:ascii="Liberation Serif" w:hAnsi="Liberation Serif" w:eastAsia="DejaVu Sans" w:cs="Noto Sans Arabic UI"/>
          <w:sz w:val="24"/>
          <w:szCs w:val="24"/>
          <w:lang w:val="en-US" w:eastAsia="en-US" w:bidi="en-US"/>
        </w:rPr>
        <w:t>- “Increase the revenues in the next year by 5% because of ISO 27001 certification.”</w:t>
      </w:r>
    </w:p>
  </w:comment>
  <w:comment w:id="15" w:author="Advisera" w:date="2023-11-09T15:09: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Who is in charge of reviewing general security objectives?</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For example, this could be the Chief Information Security Officer (CISO), or someone else that is in charge of security.</w:t>
      </w:r>
    </w:p>
  </w:comment>
  <w:comment w:id="16" w:author="Advisera" w:date="2023-11-09T15:10: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For information about the importance of control objectives, see this article:</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 xml:space="preserve">ISO 27001 control objectives – Why are they important? </w:t>
      </w:r>
      <w:hyperlink r:id="rId2">
        <w:r>
          <w:rPr>
            <w:rFonts w:ascii="Liberation Serif" w:hAnsi="Liberation Serif" w:eastAsia="DejaVu Sans" w:cs="Noto Sans Arabic UI"/>
            <w:sz w:val="24"/>
            <w:szCs w:val="24"/>
            <w:lang w:val="en-US" w:eastAsia="en-US" w:bidi="en-US"/>
          </w:rPr>
          <w:t>https://advisera.com/27001academy/blog/2012/04/10/iso-27001-control-objectives-why-are-they-important/</w:t>
        </w:r>
      </w:hyperlink>
    </w:p>
  </w:comment>
  <w:comment w:id="17" w:author="Advisera" w:date="2023-11-09T15:12: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Adapt to the process of setting other types of objectives in your company.</w:t>
      </w:r>
    </w:p>
  </w:comment>
  <w:comment w:id="18" w:author="Advisera" w:date="2023-11-09T15:12: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What is the job title of the person in charge of managing security in your company?</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You might have a dedicated Chief Information Security Officer (CISO) or Security Officer, or you might have some other person acting as a security manager – e.g., Chief Technology Officer (CTO), Chief Information Officer (CIO), etc.</w:t>
      </w:r>
    </w:p>
  </w:comment>
  <w:comment w:id="19" w:author="Advisera" w:date="2023-11-09T15:13: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Change if you think this frequency is not appropriate.</w:t>
      </w:r>
    </w:p>
  </w:comment>
  <w:comment w:id="20" w:author="Advisera" w:date="2023-11-09T14:51: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 xml:space="preserve">Who is in charge of setting the measurement methodology? </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For example, this could be the Chief Financial Officer (CFO), Chief Information Security Officer (CISO), or some other similar role.</w:t>
      </w:r>
    </w:p>
  </w:comment>
  <w:comment w:id="21" w:author="Advisera" w:date="2023-11-09T14:54: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Who is in charge or reporting the achievement of objectives?</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This could be the job of the Chief Information Security Officer (CISO), security analyst, or some other similar role.</w:t>
      </w:r>
    </w:p>
  </w:comment>
  <w:comment w:id="22" w:author="Advisera" w:date="2023-11-09T13:12: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You can find a template for this document in the ISO 27001 Documentation Toolkit folder “Management Review”.</w:t>
      </w:r>
    </w:p>
  </w:comment>
  <w:comment w:id="23" w:author="Advisera" w:date="2023-11-09T13:13: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List also other fields which are regulated by the local legislation - e.g. data secrecy, business continuity, personal data protection, etc.</w:t>
      </w:r>
    </w:p>
  </w:comment>
  <w:comment w:id="24" w:author="Advisera" w:date="2023-11-09T13:13: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You can find a template for this document in the ISO 27001 Documentation Toolkit folder “Identification of Requirements”.</w:t>
      </w:r>
    </w:p>
  </w:comment>
  <w:comment w:id="25" w:author="Advisera" w:date="2023-11-09T12:50: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To get a better understanding of top management responsibilities, see this article:</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 xml:space="preserve">Roles and responsibilities of top management in ISO 27001 and ISO 22301 </w:t>
      </w:r>
      <w:hyperlink r:id="rId3">
        <w:r>
          <w:rPr>
            <w:rFonts w:ascii="Liberation Serif" w:hAnsi="Liberation Serif" w:eastAsia="DejaVu Sans" w:cs="Noto Sans Arabic UI"/>
            <w:sz w:val="24"/>
            <w:szCs w:val="24"/>
            <w:lang w:val="en-US" w:eastAsia="en-US" w:bidi="en-US"/>
          </w:rPr>
          <w:t>https://advisera.com/27001academy/blog/2014/06/09/roles-and-responsibilities-of-top-management-in-iso-27001-and-iso-22301/</w:t>
        </w:r>
      </w:hyperlink>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 w:name="Cambri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4536"/>
      <w:gridCol w:w="1418"/>
    </w:tblGrid>
    <w:tr>
      <w:trPr/>
      <w:tc>
        <w:tcPr>
          <w:tcW w:w="3118" w:type="dxa"/>
          <w:tcBorders>
            <w:top w:val="single" w:sz="4" w:space="0" w:color="000000"/>
          </w:tcBorders>
        </w:tcPr>
        <w:p>
          <w:pPr>
            <w:pStyle w:val="Footer"/>
            <w:spacing w:before="0" w:after="200"/>
            <w:rPr>
              <w:sz w:val="18"/>
              <w:szCs w:val="18"/>
            </w:rPr>
          </w:pPr>
          <w:r>
            <w:rPr>
              <w:sz w:val="18"/>
            </w:rPr>
            <w:t>Information Security Policy</w:t>
          </w:r>
        </w:p>
      </w:tc>
      <w:tc>
        <w:tcPr>
          <w:tcW w:w="4536" w:type="dxa"/>
          <w:tcBorders>
            <w:top w:val="single" w:sz="4" w:space="0" w:color="000000"/>
          </w:tcBorders>
        </w:tcPr>
        <w:p>
          <w:pPr>
            <w:pStyle w:val="Footer"/>
            <w:spacing w:before="0" w:after="200"/>
            <w:rPr>
              <w:sz w:val="18"/>
              <w:szCs w:val="18"/>
            </w:rPr>
          </w:pPr>
          <w:r>
            <w:rPr>
              <w:sz w:val="18"/>
            </w:rPr>
            <w:t>ver [document version number] from [version date]</w:t>
          </w:r>
        </w:p>
      </w:tc>
      <w:tc>
        <w:tcPr>
          <w:tcW w:w="1418" w:type="dxa"/>
          <w:tcBorders>
            <w:top w:val="single" w:sz="4" w:space="0" w:color="000000"/>
          </w:tcBorders>
        </w:tcPr>
        <w:p>
          <w:pPr>
            <w:pStyle w:val="Footer"/>
            <w:spacing w:before="0" w:after="200"/>
            <w:jc w:val="right"/>
            <w:rPr>
              <w:b/>
              <w:sz w:val="18"/>
              <w:szCs w:val="18"/>
            </w:rPr>
          </w:pPr>
          <w:r>
            <w:rPr>
              <w:sz w:val="18"/>
            </w:rPr>
            <w:t xml:space="preserve">Page </w:t>
          </w:r>
          <w:r>
            <w:rPr>
              <w:b/>
              <w:sz w:val="18"/>
            </w:rPr>
            <w:fldChar w:fldCharType="begin"/>
          </w:r>
          <w:r>
            <w:rPr>
              <w:sz w:val="18"/>
              <w:b/>
            </w:rPr>
            <w:instrText xml:space="preserve"> PAGE </w:instrText>
          </w:r>
          <w:r>
            <w:rPr>
              <w:sz w:val="18"/>
              <w:b/>
            </w:rPr>
            <w:fldChar w:fldCharType="separate"/>
          </w:r>
          <w:r>
            <w:rPr>
              <w:sz w:val="18"/>
              <w:b/>
            </w:rPr>
            <w:t>6</w:t>
          </w:r>
          <w:r>
            <w:rPr>
              <w:sz w:val="18"/>
              <w:b/>
            </w:rPr>
            <w:fldChar w:fldCharType="end"/>
          </w:r>
          <w:r>
            <w:rPr>
              <w:sz w:val="18"/>
            </w:rPr>
            <w:t xml:space="preserve"> of </w:t>
          </w:r>
          <w:r>
            <w:rPr>
              <w:b/>
              <w:sz w:val="18"/>
            </w:rPr>
            <w:fldChar w:fldCharType="begin"/>
          </w:r>
          <w:r>
            <w:rPr>
              <w:sz w:val="18"/>
              <w:b/>
            </w:rPr>
            <w:instrText xml:space="preserve"> NUMPAGES </w:instrText>
          </w:r>
          <w:r>
            <w:rPr>
              <w:sz w:val="18"/>
              <w:b/>
            </w:rPr>
            <w:fldChar w:fldCharType="separate"/>
          </w:r>
          <w:r>
            <w:rPr>
              <w:sz w:val="18"/>
              <w:b/>
            </w:rPr>
            <w:t>6</w:t>
          </w:r>
          <w:r>
            <w:rPr>
              <w:sz w:val="18"/>
              <w:b/>
            </w:rPr>
            <w:fldChar w:fldCharType="end"/>
          </w:r>
        </w:p>
      </w:tc>
    </w:tr>
  </w:tbl>
  <w:p>
    <w:pPr>
      <w:pStyle w:val="Normal"/>
      <w:spacing w:before="0" w:after="0"/>
      <w:jc w:val="center"/>
      <w:rPr>
        <w:sz w:val="16"/>
        <w:szCs w:val="16"/>
      </w:rPr>
    </w:pPr>
    <w:r>
      <w:rPr>
        <w:sz w:val="16"/>
      </w:rPr>
      <w:t>© This template may be used by clients of Advisera Expert Solutions Ltd. www.advisera.com in accordance with the License Agreement.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sz w:val="16"/>
      </w:rPr>
      <w:t>© This template may be used by clients of Advisera Expert Solutions Ltd. www.advisera.com in accordance with the License Agreement.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88"/>
      <w:gridCol w:w="2483"/>
    </w:tblGrid>
    <w:tr>
      <w:trPr/>
      <w:tc>
        <w:tcPr>
          <w:tcW w:w="6588" w:type="dxa"/>
          <w:tcBorders>
            <w:bottom w:val="single" w:sz="4" w:space="0" w:color="000000"/>
          </w:tcBorders>
        </w:tcPr>
        <w:p>
          <w:pPr>
            <w:pStyle w:val="Header"/>
            <w:spacing w:before="0" w:after="0"/>
            <w:rPr>
              <w:sz w:val="20"/>
              <w:szCs w:val="20"/>
            </w:rPr>
          </w:pPr>
          <w:r>
            <w:rPr>
              <w:sz w:val="20"/>
            </w:rPr>
            <w:t>MHZ</w:t>
          </w:r>
        </w:p>
      </w:tc>
      <w:tc>
        <w:tcPr>
          <w:tcW w:w="2483" w:type="dxa"/>
          <w:tcBorders>
            <w:bottom w:val="single" w:sz="4" w:space="0" w:color="000000"/>
          </w:tcBorders>
        </w:tcPr>
        <w:p>
          <w:pPr>
            <w:pStyle w:val="Header"/>
            <w:spacing w:before="0" w:after="0"/>
            <w:jc w:val="right"/>
            <w:rPr>
              <w:sz w:val="20"/>
              <w:szCs w:val="20"/>
            </w:rPr>
          </w:pPr>
          <w:r>
            <w:rPr>
              <w:sz w:val="20"/>
            </w:rPr>
            <w:t>Top Secret</w:t>
          </w:r>
        </w:p>
      </w:tc>
    </w:tr>
  </w:tbl>
  <w:p>
    <w:pPr>
      <w:pStyle w:val="Header"/>
      <w:spacing w:before="0" w:after="0"/>
      <w:rPr>
        <w:sz w:val="20"/>
        <w:szCs w:val="20"/>
      </w:rPr>
    </w:pPr>
    <w:r>
      <w:rPr>
        <w:sz w:val="20"/>
        <w:szCs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502" w:hanging="360"/>
      </w:pPr>
      <w:rPr/>
    </w:lvl>
    <w:lvl w:ilvl="1">
      <w:start w:val="1"/>
      <w:pStyle w:val="Heading2"/>
      <w:isLgl/>
      <w:numFmt w:val="decimal"/>
      <w:lvlText w:val="%1.%2."/>
      <w:lvlJc w:val="left"/>
      <w:pPr>
        <w:tabs>
          <w:tab w:val="num" w:pos="0"/>
        </w:tabs>
        <w:ind w:left="360" w:hanging="360"/>
      </w:pPr>
      <w:rPr/>
    </w:lvl>
    <w:lvl w:ilvl="2">
      <w:start w:val="1"/>
      <w:pStyle w:val="Heading3"/>
      <w:isLgl/>
      <w:numFmt w:val="decimal"/>
      <w:lvlText w:val="%1.%2.%3."/>
      <w:lvlJc w:val="left"/>
      <w:pPr>
        <w:tabs>
          <w:tab w:val="num" w:pos="0"/>
        </w:tabs>
        <w:ind w:left="720" w:hanging="720"/>
      </w:pPr>
      <w:rPr/>
    </w:lvl>
    <w:lvl w:ilvl="3">
      <w:start w:val="1"/>
      <w:isLgl/>
      <w:numFmt w:val="decimal"/>
      <w:lvlText w:val="%1.%2.%3.%4."/>
      <w:lvlJc w:val="left"/>
      <w:pPr>
        <w:tabs>
          <w:tab w:val="num" w:pos="0"/>
        </w:tabs>
        <w:ind w:left="720" w:hanging="720"/>
      </w:pPr>
      <w:rPr/>
    </w:lvl>
    <w:lvl w:ilvl="4">
      <w:start w:val="1"/>
      <w:isLgl/>
      <w:numFmt w:val="decimal"/>
      <w:lvlText w:val="%1.%2.%3.%4.%5."/>
      <w:lvlJc w:val="left"/>
      <w:pPr>
        <w:tabs>
          <w:tab w:val="num" w:pos="0"/>
        </w:tabs>
        <w:ind w:left="1080" w:hanging="1080"/>
      </w:pPr>
      <w:rPr/>
    </w:lvl>
    <w:lvl w:ilvl="5">
      <w:start w:val="1"/>
      <w:isLgl/>
      <w:numFmt w:val="decimal"/>
      <w:lvlText w:val="%1.%2.%3.%4.%5.%6."/>
      <w:lvlJc w:val="left"/>
      <w:pPr>
        <w:tabs>
          <w:tab w:val="num" w:pos="0"/>
        </w:tabs>
        <w:ind w:left="1080" w:hanging="1080"/>
      </w:pPr>
      <w:rPr/>
    </w:lvl>
    <w:lvl w:ilvl="6">
      <w:start w:val="1"/>
      <w:isLgl/>
      <w:numFmt w:val="decimal"/>
      <w:lvlText w:val="%1.%2.%3.%4.%5.%6.%7."/>
      <w:lvlJc w:val="left"/>
      <w:pPr>
        <w:tabs>
          <w:tab w:val="num" w:pos="0"/>
        </w:tabs>
        <w:ind w:left="1440" w:hanging="1440"/>
      </w:pPr>
      <w:rPr/>
    </w:lvl>
    <w:lvl w:ilvl="7">
      <w:start w:val="1"/>
      <w:isLgl/>
      <w:numFmt w:val="decimal"/>
      <w:lvlText w:val="%1.%2.%3.%4.%5.%6.%7.%8."/>
      <w:lvlJc w:val="left"/>
      <w:pPr>
        <w:tabs>
          <w:tab w:val="num" w:pos="0"/>
        </w:tabs>
        <w:ind w:left="1440" w:hanging="1440"/>
      </w:pPr>
      <w:rPr/>
    </w:lvl>
    <w:lvl w:ilvl="8">
      <w:start w:val="1"/>
      <w:isLgl/>
      <w:numFmt w:val="decimal"/>
      <w:lvlText w:val="%1.%2.%3.%4.%5.%6.%7.%8.%9."/>
      <w:lvlJc w:val="left"/>
      <w:pPr>
        <w:tabs>
          <w:tab w:val="num" w:pos="0"/>
        </w:tabs>
        <w:ind w:left="1800" w:hanging="180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hr-HR" w:eastAsia="zh-CN" w:bidi=""/>
  <w:docVars>
    <w:docVar w:name="__Grammarly_42____i" w:val="H4sIAAAAAAAEAKtWckksSQxILCpxzi/NK1GyMqwFAAEhoTITAAAA"/>
    <w:docVar w:name="__Grammarly_42___1" w:val="H4sIAAAAAAAEAKtWcslP9kxRslIyNDY2NjMwtrQwNzI3MjCyMDFX0lEKTi0uzszPAykwNK0FABYTPyQt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hr-HR" w:eastAsia="hr-HR"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267258"/>
    <w:pPr>
      <w:widowControl/>
      <w:bidi w:val="0"/>
      <w:spacing w:lineRule="auto" w:line="276" w:before="0" w:after="200"/>
      <w:jc w:val="left"/>
    </w:pPr>
    <w:rPr>
      <w:rFonts w:ascii="Calibri" w:hAnsi="Calibri" w:eastAsia="Calibri" w:cs="Times New Roman"/>
      <w:color w:val="auto"/>
      <w:kern w:val="0"/>
      <w:sz w:val="22"/>
      <w:szCs w:val="22"/>
      <w:lang w:val="en-US" w:eastAsia="en-US" w:bidi="ar-SA"/>
    </w:rPr>
  </w:style>
  <w:style w:type="paragraph" w:styleId="Heading1">
    <w:name w:val="Heading 1"/>
    <w:basedOn w:val="Normal"/>
    <w:next w:val="Normal"/>
    <w:link w:val="Heading1Char"/>
    <w:uiPriority w:val="9"/>
    <w:qFormat/>
    <w:rsid w:val="00db37f7"/>
    <w:pPr>
      <w:numPr>
        <w:ilvl w:val="0"/>
        <w:numId w:val="1"/>
      </w:numPr>
      <w:ind w:left="360"/>
      <w:outlineLvl w:val="0"/>
    </w:pPr>
    <w:rPr>
      <w:b/>
      <w:sz w:val="28"/>
      <w:szCs w:val="28"/>
    </w:rPr>
  </w:style>
  <w:style w:type="paragraph" w:styleId="Heading2">
    <w:name w:val="Heading 2"/>
    <w:basedOn w:val="Normal"/>
    <w:next w:val="Normal"/>
    <w:link w:val="Heading2Char"/>
    <w:uiPriority w:val="9"/>
    <w:unhideWhenUsed/>
    <w:qFormat/>
    <w:rsid w:val="00ef7719"/>
    <w:pPr>
      <w:numPr>
        <w:ilvl w:val="1"/>
        <w:numId w:val="1"/>
      </w:numPr>
      <w:outlineLvl w:val="1"/>
    </w:pPr>
    <w:rPr>
      <w:b/>
      <w:sz w:val="24"/>
      <w:szCs w:val="24"/>
    </w:rPr>
  </w:style>
  <w:style w:type="paragraph" w:styleId="Heading3">
    <w:name w:val="Heading 3"/>
    <w:basedOn w:val="Normal"/>
    <w:next w:val="Normal"/>
    <w:link w:val="Heading3Char"/>
    <w:uiPriority w:val="9"/>
    <w:unhideWhenUsed/>
    <w:qFormat/>
    <w:rsid w:val="00c73ce6"/>
    <w:pPr>
      <w:numPr>
        <w:ilvl w:val="2"/>
        <w:numId w:val="1"/>
      </w:numPr>
      <w:outlineLvl w:val="2"/>
    </w:pPr>
    <w:rPr>
      <w:b/>
      <w:i/>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f961e0"/>
    <w:rPr>
      <w:sz w:val="22"/>
      <w:szCs w:val="22"/>
      <w:lang w:val="en-GB" w:eastAsia="en-US"/>
    </w:rPr>
  </w:style>
  <w:style w:type="character" w:styleId="FooterChar" w:customStyle="1">
    <w:name w:val="Footer Char"/>
    <w:basedOn w:val="DefaultParagraphFont"/>
    <w:link w:val="Footer"/>
    <w:uiPriority w:val="99"/>
    <w:qFormat/>
    <w:rsid w:val="00f961e0"/>
    <w:rPr>
      <w:sz w:val="22"/>
      <w:szCs w:val="22"/>
      <w:lang w:val="en-GB" w:eastAsia="en-US"/>
    </w:rPr>
  </w:style>
  <w:style w:type="character" w:styleId="Hyperlink">
    <w:name w:val="Hyperlink"/>
    <w:basedOn w:val="DefaultParagraphFont"/>
    <w:uiPriority w:val="99"/>
    <w:unhideWhenUsed/>
    <w:rsid w:val="00f961e0"/>
    <w:rPr>
      <w:color w:val="0000FF"/>
      <w:u w:val="single"/>
      <w:lang w:val="en-GB"/>
    </w:rPr>
  </w:style>
  <w:style w:type="character" w:styleId="Heading1Char" w:customStyle="1">
    <w:name w:val="Heading 1 Char"/>
    <w:basedOn w:val="DefaultParagraphFont"/>
    <w:link w:val="Heading1"/>
    <w:uiPriority w:val="9"/>
    <w:qFormat/>
    <w:rsid w:val="00db37f7"/>
    <w:rPr>
      <w:b/>
      <w:sz w:val="28"/>
      <w:szCs w:val="28"/>
      <w:lang w:val="en-GB" w:eastAsia="en-US"/>
    </w:rPr>
  </w:style>
  <w:style w:type="character" w:styleId="annotationreference">
    <w:name w:val="annotation reference"/>
    <w:basedOn w:val="DefaultParagraphFont"/>
    <w:uiPriority w:val="99"/>
    <w:unhideWhenUsed/>
    <w:qFormat/>
    <w:rsid w:val="001f328e"/>
    <w:rPr>
      <w:sz w:val="16"/>
      <w:szCs w:val="16"/>
      <w:lang w:val="en-US"/>
    </w:rPr>
  </w:style>
  <w:style w:type="character" w:styleId="CommentTextChar" w:customStyle="1">
    <w:name w:val="Comment Text Char"/>
    <w:basedOn w:val="DefaultParagraphFont"/>
    <w:link w:val="AnnotationText"/>
    <w:uiPriority w:val="99"/>
    <w:qFormat/>
    <w:rsid w:val="001f328e"/>
    <w:rPr>
      <w:lang w:val="en-US" w:eastAsia="en-US"/>
    </w:rPr>
  </w:style>
  <w:style w:type="character" w:styleId="CommentSubjectChar" w:customStyle="1">
    <w:name w:val="Comment Subject Char"/>
    <w:basedOn w:val="CommentTextChar"/>
    <w:link w:val="annotationsubject"/>
    <w:uiPriority w:val="99"/>
    <w:semiHidden/>
    <w:qFormat/>
    <w:rsid w:val="00903ed2"/>
    <w:rPr>
      <w:b/>
      <w:bCs/>
      <w:lang w:val="en-GB" w:eastAsia="en-US"/>
    </w:rPr>
  </w:style>
  <w:style w:type="character" w:styleId="BalloonTextChar" w:customStyle="1">
    <w:name w:val="Balloon Text Char"/>
    <w:basedOn w:val="DefaultParagraphFont"/>
    <w:link w:val="BalloonText"/>
    <w:uiPriority w:val="99"/>
    <w:semiHidden/>
    <w:qFormat/>
    <w:rsid w:val="00903ed2"/>
    <w:rPr>
      <w:rFonts w:ascii="Tahoma" w:hAnsi="Tahoma" w:cs="Tahoma"/>
      <w:sz w:val="16"/>
      <w:szCs w:val="16"/>
      <w:lang w:val="en-GB" w:eastAsia="en-US"/>
    </w:rPr>
  </w:style>
  <w:style w:type="character" w:styleId="Heading2Char" w:customStyle="1">
    <w:name w:val="Heading 2 Char"/>
    <w:basedOn w:val="DefaultParagraphFont"/>
    <w:link w:val="Heading2"/>
    <w:uiPriority w:val="9"/>
    <w:qFormat/>
    <w:rsid w:val="00ef7719"/>
    <w:rPr>
      <w:b/>
      <w:sz w:val="24"/>
      <w:szCs w:val="24"/>
      <w:lang w:val="en-GB" w:eastAsia="en-US"/>
    </w:rPr>
  </w:style>
  <w:style w:type="character" w:styleId="Heading3Char" w:customStyle="1">
    <w:name w:val="Heading 3 Char"/>
    <w:basedOn w:val="DefaultParagraphFont"/>
    <w:link w:val="Heading3"/>
    <w:uiPriority w:val="9"/>
    <w:qFormat/>
    <w:rsid w:val="00c73ce6"/>
    <w:rPr>
      <w:b/>
      <w:i/>
      <w:sz w:val="22"/>
      <w:szCs w:val="22"/>
      <w:lang w:val="en-GB" w:eastAsia="en-US"/>
    </w:rPr>
  </w:style>
  <w:style w:type="character" w:styleId="MenoPendente1" w:customStyle="1">
    <w:name w:val="Menção Pendente1"/>
    <w:basedOn w:val="DefaultParagraphFont"/>
    <w:uiPriority w:val="99"/>
    <w:semiHidden/>
    <w:unhideWhenUsed/>
    <w:qFormat/>
    <w:rsid w:val="002f5572"/>
    <w:rPr>
      <w:color w:val="808080"/>
      <w:shd w:fill="E6E6E6" w:val="clear"/>
    </w:rPr>
  </w:style>
  <w:style w:type="character" w:styleId="FollowedHyperlink">
    <w:name w:val="FollowedHyperlink"/>
    <w:basedOn w:val="DefaultParagraphFont"/>
    <w:uiPriority w:val="99"/>
    <w:semiHidden/>
    <w:unhideWhenUsed/>
    <w:rsid w:val="00764032"/>
    <w:rPr>
      <w:color w:themeColor="followedHyperlink" w:val="8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f961e0"/>
    <w:pPr>
      <w:tabs>
        <w:tab w:val="clear" w:pos="708"/>
        <w:tab w:val="center" w:pos="4536" w:leader="none"/>
        <w:tab w:val="right" w:pos="9072" w:leader="none"/>
      </w:tabs>
    </w:pPr>
    <w:rPr/>
  </w:style>
  <w:style w:type="paragraph" w:styleId="Footer">
    <w:name w:val="Footer"/>
    <w:basedOn w:val="Normal"/>
    <w:link w:val="FooterChar"/>
    <w:unhideWhenUsed/>
    <w:rsid w:val="00f961e0"/>
    <w:pPr>
      <w:tabs>
        <w:tab w:val="clear" w:pos="708"/>
        <w:tab w:val="center" w:pos="4536" w:leader="none"/>
        <w:tab w:val="right" w:pos="9072" w:leader="none"/>
      </w:tabs>
    </w:pPr>
    <w:rPr/>
  </w:style>
  <w:style w:type="paragraph" w:styleId="AnnotationText">
    <w:name w:val="Annotation Text"/>
    <w:basedOn w:val="Normal"/>
    <w:link w:val="CommentTextChar"/>
    <w:uiPriority w:val="99"/>
    <w:unhideWhenUsed/>
    <w:rsid w:val="001f328e"/>
    <w:pPr/>
    <w:rPr>
      <w:sz w:val="20"/>
      <w:szCs w:val="20"/>
    </w:rPr>
  </w:style>
  <w:style w:type="paragraph" w:styleId="annotationsubject">
    <w:name w:val="annotation subject"/>
    <w:basedOn w:val="AnnotationText"/>
    <w:next w:val="AnnotationText"/>
    <w:link w:val="CommentSubjectChar"/>
    <w:uiPriority w:val="99"/>
    <w:semiHidden/>
    <w:unhideWhenUsed/>
    <w:qFormat/>
    <w:rsid w:val="00903ed2"/>
    <w:pPr/>
    <w:rPr>
      <w:b/>
      <w:bCs/>
    </w:rPr>
  </w:style>
  <w:style w:type="paragraph" w:styleId="BalloonText">
    <w:name w:val="Balloon Text"/>
    <w:basedOn w:val="Normal"/>
    <w:link w:val="BalloonTextChar"/>
    <w:uiPriority w:val="99"/>
    <w:semiHidden/>
    <w:unhideWhenUsed/>
    <w:qFormat/>
    <w:rsid w:val="00903ed2"/>
    <w:pPr>
      <w:spacing w:lineRule="auto" w:line="240" w:before="0" w:after="0"/>
    </w:pPr>
    <w:rPr>
      <w:rFonts w:ascii="Tahoma" w:hAnsi="Tahoma" w:cs="Tahoma"/>
      <w:sz w:val="16"/>
      <w:szCs w:val="16"/>
    </w:rPr>
  </w:style>
  <w:style w:type="paragraph" w:styleId="TOC1">
    <w:name w:val="TOC 1"/>
    <w:basedOn w:val="Normal"/>
    <w:next w:val="Normal"/>
    <w:autoRedefine/>
    <w:uiPriority w:val="39"/>
    <w:unhideWhenUsed/>
    <w:rsid w:val="00d01489"/>
    <w:pPr>
      <w:spacing w:before="120" w:after="120"/>
    </w:pPr>
    <w:rPr>
      <w:b/>
      <w:bCs/>
      <w:caps/>
      <w:sz w:val="20"/>
      <w:szCs w:val="20"/>
    </w:rPr>
  </w:style>
  <w:style w:type="paragraph" w:styleId="TOC2">
    <w:name w:val="TOC 2"/>
    <w:basedOn w:val="Normal"/>
    <w:next w:val="Normal"/>
    <w:autoRedefine/>
    <w:uiPriority w:val="39"/>
    <w:unhideWhenUsed/>
    <w:rsid w:val="00d01489"/>
    <w:pPr>
      <w:spacing w:before="0" w:after="0"/>
      <w:ind w:left="220"/>
    </w:pPr>
    <w:rPr>
      <w:smallCaps/>
      <w:sz w:val="20"/>
      <w:szCs w:val="20"/>
    </w:rPr>
  </w:style>
  <w:style w:type="paragraph" w:styleId="TOC3">
    <w:name w:val="TOC 3"/>
    <w:basedOn w:val="Normal"/>
    <w:next w:val="Normal"/>
    <w:autoRedefine/>
    <w:uiPriority w:val="39"/>
    <w:unhideWhenUsed/>
    <w:rsid w:val="00d01489"/>
    <w:pPr>
      <w:spacing w:before="0" w:after="0"/>
      <w:ind w:left="440"/>
    </w:pPr>
    <w:rPr>
      <w:i/>
      <w:iCs/>
      <w:sz w:val="20"/>
      <w:szCs w:val="20"/>
    </w:rPr>
  </w:style>
  <w:style w:type="paragraph" w:styleId="TOC4">
    <w:name w:val="TOC 4"/>
    <w:basedOn w:val="Normal"/>
    <w:next w:val="Normal"/>
    <w:autoRedefine/>
    <w:uiPriority w:val="39"/>
    <w:unhideWhenUsed/>
    <w:rsid w:val="00d01489"/>
    <w:pPr>
      <w:spacing w:before="0" w:after="0"/>
      <w:ind w:left="660"/>
    </w:pPr>
    <w:rPr>
      <w:sz w:val="18"/>
      <w:szCs w:val="18"/>
    </w:rPr>
  </w:style>
  <w:style w:type="paragraph" w:styleId="TOC5">
    <w:name w:val="TOC 5"/>
    <w:basedOn w:val="Normal"/>
    <w:next w:val="Normal"/>
    <w:autoRedefine/>
    <w:uiPriority w:val="39"/>
    <w:unhideWhenUsed/>
    <w:rsid w:val="00d01489"/>
    <w:pPr>
      <w:spacing w:before="0" w:after="0"/>
      <w:ind w:left="880"/>
    </w:pPr>
    <w:rPr>
      <w:sz w:val="18"/>
      <w:szCs w:val="18"/>
    </w:rPr>
  </w:style>
  <w:style w:type="paragraph" w:styleId="TOC6">
    <w:name w:val="TOC 6"/>
    <w:basedOn w:val="Normal"/>
    <w:next w:val="Normal"/>
    <w:autoRedefine/>
    <w:uiPriority w:val="39"/>
    <w:unhideWhenUsed/>
    <w:rsid w:val="00d01489"/>
    <w:pPr>
      <w:spacing w:before="0" w:after="0"/>
      <w:ind w:left="1100"/>
    </w:pPr>
    <w:rPr>
      <w:sz w:val="18"/>
      <w:szCs w:val="18"/>
    </w:rPr>
  </w:style>
  <w:style w:type="paragraph" w:styleId="TOC7">
    <w:name w:val="TOC 7"/>
    <w:basedOn w:val="Normal"/>
    <w:next w:val="Normal"/>
    <w:autoRedefine/>
    <w:uiPriority w:val="39"/>
    <w:unhideWhenUsed/>
    <w:rsid w:val="00d01489"/>
    <w:pPr>
      <w:spacing w:before="0" w:after="0"/>
      <w:ind w:left="1320"/>
    </w:pPr>
    <w:rPr>
      <w:sz w:val="18"/>
      <w:szCs w:val="18"/>
    </w:rPr>
  </w:style>
  <w:style w:type="paragraph" w:styleId="TOC8">
    <w:name w:val="TOC 8"/>
    <w:basedOn w:val="Normal"/>
    <w:next w:val="Normal"/>
    <w:autoRedefine/>
    <w:uiPriority w:val="39"/>
    <w:unhideWhenUsed/>
    <w:rsid w:val="00d01489"/>
    <w:pPr>
      <w:spacing w:before="0" w:after="0"/>
      <w:ind w:left="1540"/>
    </w:pPr>
    <w:rPr>
      <w:sz w:val="18"/>
      <w:szCs w:val="18"/>
    </w:rPr>
  </w:style>
  <w:style w:type="paragraph" w:styleId="TOC9">
    <w:name w:val="TOC 9"/>
    <w:basedOn w:val="Normal"/>
    <w:next w:val="Normal"/>
    <w:autoRedefine/>
    <w:uiPriority w:val="39"/>
    <w:unhideWhenUsed/>
    <w:rsid w:val="00d01489"/>
    <w:pPr>
      <w:spacing w:before="0" w:after="0"/>
      <w:ind w:left="1760"/>
    </w:pPr>
    <w:rPr>
      <w:sz w:val="18"/>
      <w:szCs w:val="18"/>
    </w:rPr>
  </w:style>
  <w:style w:type="paragraph" w:styleId="Revision">
    <w:name w:val="Revision"/>
    <w:uiPriority w:val="99"/>
    <w:semiHidden/>
    <w:qFormat/>
    <w:rsid w:val="009a5f28"/>
    <w:pPr>
      <w:widowControl/>
      <w:bidi w:val="0"/>
      <w:spacing w:before="0" w:after="0"/>
      <w:jc w:val="left"/>
    </w:pPr>
    <w:rPr>
      <w:rFonts w:ascii="Calibri" w:hAnsi="Calibri" w:eastAsia="Calibri" w:cs="Times New Roman"/>
      <w:color w:val="auto"/>
      <w:kern w:val="0"/>
      <w:sz w:val="22"/>
      <w:szCs w:val="22"/>
      <w:lang w:val="en-GB" w:eastAsia="en-US" w:bidi="ar-SA"/>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0c5b74"/>
    <w:pPr>
      <w:keepNext w:val="true"/>
      <w:keepLines/>
      <w:numPr>
        <w:ilvl w:val="0"/>
        <w:numId w:val="0"/>
      </w:numPr>
      <w:spacing w:before="480" w:after="0"/>
      <w:ind w:left="360"/>
      <w:outlineLvl w:val="9"/>
    </w:pPr>
    <w:rPr>
      <w:rFonts w:ascii="Cambria" w:hAnsi="Cambria" w:eastAsia="Times New Roman"/>
      <w:bCs/>
      <w:color w:val="365F91"/>
    </w:rPr>
  </w:style>
  <w:style w:type="paragraph" w:styleId="ListParagraph">
    <w:name w:val="List Paragraph"/>
    <w:basedOn w:val="Normal"/>
    <w:uiPriority w:val="34"/>
    <w:qFormat/>
    <w:rsid w:val="00ad626a"/>
    <w:pPr>
      <w:spacing w:before="0" w:after="20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af3843"/>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comments.xml.rels><?xml version="1.0" encoding="UTF-8"?>
<Relationships xmlns="http://schemas.openxmlformats.org/package/2006/relationships"><Relationship Id="rId1" Type="http://schemas.openxmlformats.org/officeDocument/2006/relationships/hyperlink" Target="https://advisera.com/27001academy/blog/2010/05/26/information-security-policy-how-detailed-should-it-be/" TargetMode="External"/><Relationship Id="rId2" Type="http://schemas.openxmlformats.org/officeDocument/2006/relationships/hyperlink" Target="https://advisera.com/27001academy/blog/2012/04/10/iso-27001-control-objectives-why-are-they-important/" TargetMode="External"/><Relationship Id="rId3" Type="http://schemas.openxmlformats.org/officeDocument/2006/relationships/hyperlink" Target="https://advisera.com/27001academy/blog/2014/06/09/roles-and-responsibilities-of-top-management-in-iso-27001-and-iso-22301/" TargetMode="External"/>
</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advisera.com/27001academy/iso-27001-documentation-toolkit/"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comments" Target="comment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A80739-B7D3-46E4-BA29-E86A4C168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6</Pages>
  <Words>636</Words>
  <Characters>3725</Characters>
  <CharactersWithSpaces>4272</CharactersWithSpaces>
  <Paragraphs>82</Paragraphs>
  <Company>Advisera Expert Solutions Ltd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2024-10-23T11:39:00Z</dcterms:created>
  <dc:creator>Advisera</dc:creator>
  <dc:description>©2024 This template may be used by clients of Advisera Expert Solutions Ltd. www.advisera.com in accordance with the License Agreement.</dc:description>
  <dc:language>en-US</dc:language>
  <cp:lastModifiedBy/>
  <dcterms:modified xsi:type="dcterms:W3CDTF">2025-07-16T21:12:47Z</dcterms:modified>
  <cp:revision>4</cp:revision>
  <dc:subject>27001-FTPOLINFOSEC-EN</dc:subject>
  <dc:title>Information Security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385e87c6fe80659fc37699788face0637e0e9f4cddfa2611207008b6fe6bc0ec</vt:lpwstr>
  </property>
</Properties>
</file>