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it is not known whether the same script receives the same mark twice,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2024a). The task is a highly constrained, rubric-bound writing task in the qualification, it is taught in both Grade 9 and Grade 10, and its component skills transfer to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It is not known whether the same script receives the same mark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high-divergence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high-divergence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The study treats this as the ecological condition under which teachers use these tools, not as a methodological choice.</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L2 summarising adds proficiency-related copying.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2024b).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assessed skill; a scorer that penalises such phrasing while crediting a more fluent but less faithful alternative misrepresents the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assesses vocabulary and reliance on source wording,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essays 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Jiao et al. (2025)</w:t>
            </w:r>
          </w:p>
        </w:tc>
        <w:tc>
          <w:tcPr>
            <w:tcW w:type="dxa" w:w="2300"/>
            <w:vAlign w:val="center"/>
          </w:tcPr>
          <w:p>
            <w:pPr>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Jin et al. (2025)</w:t>
            </w:r>
          </w:p>
        </w:tc>
        <w:tc>
          <w:tcPr>
            <w:tcW w:type="dxa" w:w="2300"/>
            <w:vAlign w:val="center"/>
          </w:tcPr>
          <w:p>
            <w:pPr>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Sawaki et al. (2025)</w:t>
            </w:r>
          </w:p>
        </w:tc>
        <w:tc>
          <w:tcPr>
            <w:tcW w:type="dxa" w:w="2300"/>
            <w:vAlign w:val="center"/>
          </w:tcPr>
          <w:p>
            <w:pPr>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Liu et al. (2026)</w:t>
            </w:r>
          </w:p>
        </w:tc>
        <w:tc>
          <w:tcPr>
            <w:tcW w:type="dxa" w:w="2300"/>
            <w:vAlign w:val="center"/>
          </w:tcPr>
          <w:p>
            <w:pPr>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Wu et al. (2026)</w:t>
            </w:r>
          </w:p>
        </w:tc>
        <w:tc>
          <w:tcPr>
            <w:tcW w:type="dxa" w:w="2300"/>
            <w:vAlign w:val="center"/>
          </w:tcPr>
          <w:p>
            <w:pPr>
              <w:spacing w:after="60"/>
            </w:pPr>
            <w:r>
              <w:rPr>
                <w:rFonts w:ascii="Times New Roman" w:cs="Times New Roman" w:eastAsia="Times New Roman" w:hAnsi="Times New Roman"/>
                <w:sz w:val="22"/>
                <w:szCs w:val="22"/>
              </w:rPr>
              <w:t xml:space="preserve">University L2 essays (n = 181); GPT-based scorer vs 20 human raters</w:t>
            </w:r>
          </w:p>
        </w:tc>
        <w:tc>
          <w:tcPr>
            <w:tcW w:type="dxa" w:w="2600"/>
            <w:vAlign w:val="center"/>
          </w:tcPr>
          <w:p>
            <w:pPr>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spacing w:after="60"/>
            </w:pPr>
            <w:r>
              <w:rPr>
                <w:rFonts w:ascii="Times New Roman" w:cs="Times New Roman" w:eastAsia="Times New Roman" w:hAnsi="Times New Roman"/>
                <w:sz w:val="22"/>
                <w:szCs w:val="22"/>
              </w:rPr>
              <w:t xml:space="preserve">Essay task with no source text; no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Present study</w:t>
            </w:r>
          </w:p>
        </w:tc>
        <w:tc>
          <w:tcPr>
            <w:tcW w:type="dxa" w:w="2300"/>
            <w:vAlign w:val="center"/>
          </w:tcPr>
          <w:p>
            <w:pPr>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spacing w:after="60"/>
            </w:pPr>
            <w:r>
              <w:rPr>
                <w:rFonts w:ascii="Times New Roman" w:cs="Times New Roman" w:eastAsia="Times New Roman" w:hAnsi="Times New Roman"/>
                <w:sz w:val="22"/>
                <w:szCs w:val="22"/>
              </w:rPr>
              <w:t xml:space="preserve">To be established</w:t>
            </w:r>
          </w:p>
        </w:tc>
        <w:tc>
          <w:tcPr>
            <w:tcW w:type="dxa" w:w="2600"/>
            <w:vAlign w:val="center"/>
          </w:tcPr>
          <w:p>
            <w:pPr>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study data are collected,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so that neither the candidate nor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2024a),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degree to which the candidate demonstrates understanding, selects relevant ideas rather than transcribing indiscriminately, focuses on the specified aspect of the passage, and shows evidence of an overview. Each band covers two marks (for example, Level 5: 9–10; Level 4: 7–8).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level-descriptor bands, as in the Q2(a) mark scheme.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The pilot (Section 3.6) will confirm the time per submission; if the main scoring cannot be completed within ten working days, the window will be extended by up to five further working days and the extension logged.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variance than the writing scale for estimation of agreement statistics. The writing mark (/5) is analysed as a secondary criterion: its 6-point scale (0–5) compresses variance and limits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Within each passage,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that of script 1 (AI under-scoring if script 1 shows over-scoring, and vice versa). If no such script exists,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 agreement: the script with the smallest maximum absolute proportional gap across both tools and both criteria.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 AI fails to penalise near-copying under a descriptor that penalises reliance on source wording</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applies a level descriptor to the wrong criterion—for example, using fluent prose to justify a reading mark without supporting content-point evidence,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of whether the claim is supported, unsupported or ambiguous given the textual evidence.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assess whether the combined evidence supports a discrepancy-review workflow. For each tool/passage combination, the synthesis reports: (a) pass-to-pass consistency (from RQ1); (b) agreement with human raters and the direction and magnitude of the correction gap (from RQ2); and (c) the qualitative patterns that explain high-divergence cases (from RQ3). The synthesis identifies which tool/passage/criterion combinations have the strongest evidence base and which carry the greatest risk of construct-irrelevant scoring.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is more consistent with human judgement than prior literature might suggest.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ten-working-day window, extendable by up to five days); anchor checks; apply model-change decision rule if applicable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1</w:t>
            </w:r>
          </w:p>
        </w:tc>
        <w:tc>
          <w:tcPr>
            <w:tcW w:type="dxa" w:w="36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2</w:t>
            </w:r>
          </w:p>
        </w:tc>
        <w:tc>
          <w:tcPr>
            <w:tcW w:type="dxa" w:w="36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3</w:t>
            </w:r>
          </w:p>
        </w:tc>
        <w:tc>
          <w:tcPr>
            <w:tcW w:type="dxa" w:w="36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four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spacing w:after="120" w:line="360"/>
        <w:jc w:val="both"/>
      </w:pPr>
      <w:r>
        <w:rPr>
          <w:rFonts w:ascii="Times New Roman" w:cs="Times New Roman" w:eastAsia="Times New Roman" w:hAnsi="Times New Roman"/>
          <w:sz w:val="24"/>
          <w:szCs w:val="24"/>
        </w:rPr>
        <w:t xml:space="preserve">Fourth, the frozen, de-identified corpus will be documented for replication and, subject to ethics and data policy, made available for rescoring by future models.</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not quoted. The final mapping will be completed once the study rubric is written, and each row will be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the passage</w:t>
            </w:r>
          </w:p>
        </w:tc>
        <w:tc>
          <w:tcPr>
            <w:tcW w:type="dxa" w:w="1900"/>
            <w:vAlign w:val="center"/>
          </w:tcPr>
          <w:p>
            <w:pPr>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spacing w:after="60"/>
            </w:pPr>
            <w:r>
              <w:rPr>
                <w:rFonts w:ascii="Times New Roman" w:cs="Times New Roman" w:eastAsia="Times New Roman" w:hAnsi="Times New Roman"/>
                <w:sz w:val="22"/>
                <w:szCs w:val="22"/>
              </w:rPr>
              <w:t xml:space="preserve">Bands describe how accurately the summary represents the source meaning; the reading key lists the content points the passage offers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rather than indiscriminate transcription</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distinguish selective coverage of relevant points from copying of whole sections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specified aspect of the passage</w:t>
            </w:r>
          </w:p>
        </w:tc>
        <w:tc>
          <w:tcPr>
            <w:tcW w:type="dxa" w:w="1900"/>
            <w:vAlign w:val="center"/>
          </w:tcPr>
          <w:p>
            <w:pPr>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evidence of an overview</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Upper bands require points to be grouped or connected, not merely listed</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spacing w:after="60"/>
            </w:pPr>
            <w:r>
              <w:rPr>
                <w:rFonts w:ascii="Times New Roman" w:cs="Times New Roman" w:eastAsia="Times New Roman" w:hAnsi="Times New Roman"/>
                <w:sz w:val="22"/>
                <w:szCs w:val="22"/>
              </w:rPr>
              <w:t xml:space="preserve">Five two-mark bands</w:t>
            </w:r>
          </w:p>
        </w:tc>
        <w:tc>
          <w:tcPr>
            <w:tcW w:type="dxa" w:w="3000"/>
            <w:vAlign w:val="center"/>
          </w:tcPr>
          <w:p>
            <w:pPr>
              <w:spacing w:after="60"/>
            </w:pPr>
            <w:r>
              <w:rPr>
                <w:rFonts w:ascii="Times New Roman" w:cs="Times New Roman" w:eastAsia="Times New Roman" w:hAnsi="Times New Roman"/>
                <w:sz w:val="22"/>
                <w:szCs w:val="22"/>
              </w:rPr>
              <w:t xml:space="preserve">Same band structure and holistic approach; the reading key guides but is not converted into a point count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clarity and fluency of expression</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of the summary</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logical sequencing and linking of ideas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use of own words and avoidance of reliance on source wording</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reward transformation of source language and penalise lifting of source phrases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precision and range of vocabulary</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precise word choice appropriate to summary</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bl>
    <w:p>
      <w:pPr>
        <w:spacing w:after="200" w:before="200" w:line="360"/>
        <w:jc w:val="center"/>
      </w:pPr>
      <w:r>
        <w:rPr>
          <w:rFonts w:ascii="Times New Roman" w:cs="Times New Roman" w:eastAsia="Times New Roman" w:hAnsi="Times New Roman"/>
          <w:sz w:val="24"/>
          <w:szCs w:val="24"/>
        </w:rPr>
        <w:t xml:space="preserve">—</w:t>
      </w:r>
    </w:p>
    <w:p>
      <w:pPr>
        <w:pStyle w:val="Heading1"/>
        <w:pageBreakBefore/>
        <w:spacing w:after="120" w:before="0" w:line="360"/>
      </w:pPr>
      <w:r>
        <w:rPr>
          <w:rFonts w:ascii="Times New Roman" w:cs="Times New Roman" w:eastAsia="Times New Roman" w:hAnsi="Times New Roman"/>
          <w:b/>
          <w:bCs/>
          <w:sz w:val="32"/>
          <w:szCs w:val="32"/>
        </w:rPr>
        <w:t xml:space="preserve">References</w:t>
      </w:r>
    </w:p>
    <w:p>
      <w:pPr>
        <w:spacing w:after="80" w:line="276"/>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80" w:line="276"/>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spacing w:after="80" w:line="276"/>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spacing w:after="80" w:line="276"/>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spacing w:after="80" w:line="276"/>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spacing w:after="80" w:line="276"/>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spacing w:after="80" w:line="276"/>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spacing w:after="80" w:line="276"/>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spacing w:after="80" w:line="276"/>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spacing w:after="80" w:line="276"/>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spacing w:after="80" w:line="276"/>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spacing w:after="80" w:line="276"/>
        <w:ind w:left="720" w:hanging="720"/>
        <w:jc w:val="left"/>
      </w:pPr>
      <w:r>
        <w:rPr>
          <w:rFonts w:ascii="Times New Roman" w:cs="Times New Roman" w:eastAsia="Times New Roman" w:hAnsi="Times New Roman"/>
          <w:sz w:val="22"/>
          <w:szCs w:val="22"/>
        </w:rPr>
        <w:t xml:space="preserve">Cambridge International Education. (2024a). Cambridge IGCSE First Language English 0500: Syllabus for examination in 2027, 2028 and 2029 (Version 1).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Cambridge International Education. (2024b). 0990 First Language English (9–1) June 2024: Principal examiner report for teachers. Cambridge University Press &amp; Assessment.</w:t>
      </w:r>
    </w:p>
    <w:p>
      <w:pPr>
        <w:spacing w:after="80" w:line="276"/>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spacing w:after="80" w:line="276"/>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spacing w:after="80" w:line="276"/>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spacing w:after="80" w:line="276"/>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spacing w:after="80" w:line="276"/>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spacing w:after="80" w:line="276"/>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spacing w:after="80" w:line="276"/>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spacing w:after="80" w:line="276"/>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spacing w:after="80" w:line="276"/>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spacing w:after="80" w:line="276"/>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spacing w:after="80" w:line="276"/>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spacing w:after="80" w:line="276"/>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spacing w:after="80" w:line="276"/>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spacing w:after="80" w:line="276"/>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spacing w:after="80" w:line="276"/>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spacing w:after="80" w:line="276"/>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spacing w:after="80" w:line="276"/>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spacing w:after="80" w:line="276"/>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spacing w:after="80" w:line="276"/>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spacing w:after="80" w:line="276"/>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spacing w:after="80" w:line="276"/>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spacing w:after="80" w:line="276"/>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spacing w:after="80" w:line="276"/>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spacing w:after="80" w:line="276"/>
        <w:ind w:left="720" w:hanging="720"/>
        <w:jc w:val="left"/>
      </w:pPr>
      <w:r>
        <w:rPr>
          <w:rFonts w:ascii="Times New Roman" w:cs="Times New Roman" w:eastAsia="Times New Roman" w:hAnsi="Times New Roman"/>
          <w:sz w:val="22"/>
          <w:szCs w:val="22"/>
        </w:rPr>
        <w:t xml:space="preserve">McNamara, T. F. (1996). Measuring second language performance. Longman.</w:t>
      </w:r>
    </w:p>
    <w:p>
      <w:pPr>
        <w:spacing w:after="80" w:line="276"/>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spacing w:after="80" w:line="276"/>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spacing w:after="80" w:line="276"/>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spacing w:after="80" w:line="276"/>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spacing w:after="80" w:line="276"/>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spacing w:after="80" w:line="276"/>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spacing w:after="80" w:line="276"/>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spacing w:after="80" w:line="276"/>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spacing w:after="80" w:line="276"/>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spacing w:after="80" w:line="276"/>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spacing w:after="80" w:line="276"/>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spacing w:after="80" w:line="276"/>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spacing w:after="80" w:line="276"/>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spacing w:after="80" w:line="276"/>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spacing w:after="80" w:line="276"/>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spacing w:after="80" w:line="276"/>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spacing w:after="80" w:line="276"/>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spacing w:after="80" w:line="276"/>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spacing w:after="80" w:line="276"/>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spacing w:after="80" w:line="276"/>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spacing w:after="80" w:line="276"/>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spacing w:after="80" w:line="276"/>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2026-10-10T15:41:19.541Z</dcterms:created>
  <dcterms:modified xsi:type="dcterms:W3CDTF">2026-10-10T15:41:19.542Z</dcterms:modified>
</cp:coreProperties>
</file>

<file path=docProps/custom.xml><?xml version="1.0" encoding="utf-8"?>
<Properties xmlns="http://schemas.openxmlformats.org/officeDocument/2006/custom-properties" xmlns:vt="http://schemas.openxmlformats.org/officeDocument/2006/docPropsVTypes"/>
</file>