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60" w:line="360"/>
        <w:jc w:val="center"/>
      </w:pPr>
      <w:r>
        <w:rPr>
          <w:rFonts w:ascii="Times New Roman" w:cs="Times New Roman" w:eastAsia="Times New Roman" w:hAnsi="Times New Roman"/>
          <w:b/>
          <w:bCs/>
          <w:sz w:val="36"/>
          <w:szCs w:val="36"/>
        </w:rPr>
        <w:t xml:space="preserve">Consumer AI Scoring of IGCSE Summary Writing:</w:t>
      </w:r>
    </w:p>
    <w:p>
      <w:pPr>
        <w:spacing w:after="400" w:line="360"/>
        <w:jc w:val="center"/>
      </w:pPr>
      <w:r>
        <w:rPr>
          <w:rFonts w:ascii="Times New Roman" w:cs="Times New Roman" w:eastAsia="Times New Roman" w:hAnsi="Times New Roman"/>
          <w:b/>
          <w:bCs/>
          <w:sz w:val="36"/>
          <w:szCs w:val="36"/>
        </w:rPr>
        <w:t xml:space="preserve">Consistency, Agreement and Construct Validity for Multilingual Learners</w:t>
      </w:r>
    </w:p>
    <w:p>
      <w:pPr>
        <w:spacing w:after="60"/>
        <w:jc w:val="center"/>
      </w:pPr>
      <w:r>
        <w:rPr>
          <w:rFonts w:ascii="Times New Roman" w:cs="Times New Roman" w:eastAsia="Times New Roman" w:hAnsi="Times New Roman"/>
          <w:sz w:val="28"/>
          <w:szCs w:val="28"/>
        </w:rPr>
        <w:t xml:space="preserve">Universiti Sains Malaysia</w:t>
      </w:r>
    </w:p>
    <w:p>
      <w:pPr>
        <w:spacing w:after="200"/>
        <w:jc w:val="center"/>
      </w:pPr>
      <w:r>
        <w:rPr>
          <w:rFonts w:ascii="Times New Roman" w:cs="Times New Roman" w:eastAsia="Times New Roman" w:hAnsi="Times New Roman"/>
          <w:sz w:val="28"/>
          <w:szCs w:val="28"/>
        </w:rPr>
        <w:t xml:space="preserve">School of Languages, Literacies and Translation</w:t>
      </w:r>
    </w:p>
    <w:p>
      <w:pPr>
        <w:spacing w:after="400"/>
        <w:jc w:val="center"/>
      </w:pPr>
      <w:r>
        <w:rPr>
          <w:rFonts w:ascii="Times New Roman" w:cs="Times New Roman" w:eastAsia="Times New Roman" w:hAnsi="Times New Roman"/>
          <w:i/>
          <w:iCs/>
          <w:sz w:val="24"/>
          <w:szCs w:val="24"/>
        </w:rPr>
        <w:t xml:space="preserve">PhD research proposal for supervisory review</w:t>
      </w:r>
    </w:p>
    <w:p>
      <w:pPr>
        <w:spacing w:after="120"/>
        <w:jc w:val="center"/>
      </w:pPr>
      <w:r>
        <w:rPr>
          <w:rFonts w:ascii="Times New Roman" w:cs="Times New Roman" w:eastAsia="Times New Roman" w:hAnsi="Times New Roman"/>
          <w:b/>
          <w:bCs/>
          <w:sz w:val="28"/>
          <w:szCs w:val="28"/>
        </w:rPr>
        <w:t xml:space="preserve">Ehab Hourani</w:t>
      </w:r>
    </w:p>
    <w:p>
      <w:pPr>
        <w:spacing w:after="120"/>
        <w:jc w:val="center"/>
      </w:pPr>
      <w:r>
        <w:rPr>
          <w:rFonts w:ascii="Times New Roman" w:cs="Times New Roman" w:eastAsia="Times New Roman" w:hAnsi="Times New Roman"/>
          <w:sz w:val="24"/>
          <w:szCs w:val="24"/>
        </w:rPr>
        <w:t xml:space="preserve">Doctor of Philosophy (Language Studies), by research</w:t>
      </w:r>
    </w:p>
    <w:p>
      <w:pPr>
        <w:spacing w:after="200"/>
        <w:jc w:val="center"/>
      </w:pPr>
      <w:r>
        <w:rPr>
          <w:rFonts w:ascii="Times New Roman" w:cs="Times New Roman" w:eastAsia="Times New Roman" w:hAnsi="Times New Roman"/>
          <w:sz w:val="24"/>
          <w:szCs w:val="24"/>
        </w:rPr>
        <w:t xml:space="preserve">Proposed candidature: September 2027 to August 2031</w:t>
      </w:r>
    </w:p>
    <w:p>
      <w:pPr>
        <w:spacing w:after="120"/>
        <w:jc w:val="center"/>
      </w:pPr>
      <w:r>
        <w:rPr>
          <w:rFonts w:ascii="Times New Roman" w:cs="Times New Roman" w:eastAsia="Times New Roman" w:hAnsi="Times New Roman"/>
          <w:sz w:val="24"/>
          <w:szCs w:val="24"/>
        </w:rPr>
        <w:t xml:space="preserve">October 2026</w:t>
      </w:r>
    </w:p>
    <w:p>
      <w:pPr>
        <w:pStyle w:val="Heading1"/>
        <w:pageBreakBefore/>
        <w:spacing w:after="120" w:before="0" w:line="360"/>
      </w:pPr>
      <w:r>
        <w:rPr>
          <w:rFonts w:ascii="Times New Roman" w:cs="Times New Roman" w:eastAsia="Times New Roman" w:hAnsi="Times New Roman"/>
          <w:b/>
          <w:bCs/>
          <w:sz w:val="32"/>
          <w:szCs w:val="32"/>
        </w:rPr>
        <w:t xml:space="preserve">Abstract</w:t>
      </w:r>
    </w:p>
    <w:p>
      <w:pPr>
        <w:spacing w:after="120" w:line="360"/>
        <w:jc w:val="both"/>
      </w:pPr>
      <w:r>
        <w:rPr>
          <w:rFonts w:ascii="Times New Roman" w:cs="Times New Roman" w:eastAsia="Times New Roman" w:hAnsi="Times New Roman"/>
          <w:sz w:val="24"/>
          <w:szCs w:val="24"/>
        </w:rPr>
        <w:t xml:space="preserve">Teachers increasingly paste student writing into consumer AI chat applications and ask for a mark, yet under subscription access they cannot control sampling or see when the underlying model changes. For an adolescent, source-based task marked separately for reading and writing, it is not known how consistently these tools mark the same script, where their marks diverge from human judgement, or whether the reasons they give are supported by the text and the rubric.</w:t>
      </w:r>
    </w:p>
    <w:p>
      <w:pPr>
        <w:spacing w:after="120" w:line="360"/>
        <w:jc w:val="both"/>
      </w:pPr>
      <w:r>
        <w:rPr>
          <w:rFonts w:ascii="Times New Roman" w:cs="Times New Roman" w:eastAsia="Times New Roman" w:hAnsi="Times New Roman"/>
          <w:sz w:val="24"/>
          <w:szCs w:val="24"/>
        </w:rPr>
        <w:t xml:space="preserve">This study addresses these questions for the selective summary task of Cambridge IGCSE First Language English (0500, Paper 1, Question 2(a); reading /10, writing /5). Students in four IGCSE classes at a school in Erbil, Kurdistan Region of Iraq (expected n = 65–80), who use Kurdish and/or Arabic at home, will each summarise two original passages (130–160 scripts). Two experienced raters will mark the anonymised, typed scripts independently and blind; each script will then be scored three times by ChatGPT and three times by Claude through paid subscriptions within a ten-working-day window. RQ1 estimates pass-to-pass consistency; RQ2 estimates human–AI agreement (quadratic weighted kappa, intraclass correlations) and the criterion-level correction gap; RQ3 checks each claim in the AI rationales for eight scripts, selected by a prespecified rule, against the source passage, the student’s summary and the rubric, with two independent coders whose agreement is reported.</w:t>
      </w:r>
    </w:p>
    <w:p>
      <w:pPr>
        <w:spacing w:after="120" w:line="360"/>
        <w:jc w:val="both"/>
      </w:pPr>
      <w:r>
        <w:rPr>
          <w:rFonts w:ascii="Times New Roman" w:cs="Times New Roman" w:eastAsia="Times New Roman" w:hAnsi="Times New Roman"/>
          <w:sz w:val="24"/>
          <w:szCs w:val="24"/>
        </w:rPr>
        <w:t xml:space="preserve">The study will contribute evidence on consumer AI scoring under the consumer-subscription conditions available to teachers, for a multilingual population absent from the literature reviewed, together with a documented audit protocol, demonstrated on these summaries and designed for adaptation to other rubric-based tasks, for checking whether AI scoring justifications are supported by the evidence and appropriate to the criterion they justify.</w:t>
      </w:r>
    </w:p>
    <w:p>
      <w:pPr>
        <w:pStyle w:val="Heading1"/>
        <w:pageBreakBefore/>
        <w:spacing w:after="120" w:before="0" w:line="360"/>
      </w:pPr>
      <w:r>
        <w:rPr>
          <w:rFonts w:ascii="Times New Roman" w:cs="Times New Roman" w:eastAsia="Times New Roman" w:hAnsi="Times New Roman"/>
          <w:b/>
          <w:bCs/>
          <w:sz w:val="32"/>
          <w:szCs w:val="32"/>
        </w:rPr>
        <w:t xml:space="preserve">Chapter 1. Introduction</w:t>
      </w:r>
    </w:p>
    <w:p>
      <w:pPr>
        <w:pStyle w:val="Heading2"/>
        <w:spacing w:after="120" w:before="240" w:line="360"/>
      </w:pPr>
      <w:r>
        <w:rPr>
          <w:rFonts w:ascii="Times New Roman" w:cs="Times New Roman" w:eastAsia="Times New Roman" w:hAnsi="Times New Roman"/>
          <w:b/>
          <w:bCs/>
          <w:sz w:val="28"/>
          <w:szCs w:val="28"/>
        </w:rPr>
        <w:t xml:space="preserve">1.1 Background</w:t>
      </w:r>
    </w:p>
    <w:p>
      <w:pPr>
        <w:spacing w:after="120" w:line="360"/>
        <w:jc w:val="both"/>
      </w:pPr>
      <w:r>
        <w:rPr>
          <w:rFonts w:ascii="Times New Roman" w:cs="Times New Roman" w:eastAsia="Times New Roman" w:hAnsi="Times New Roman"/>
          <w:sz w:val="24"/>
          <w:szCs w:val="24"/>
        </w:rPr>
        <w:t xml:space="preserve">Consumer generative AI has entered teachers’ marking. Teachers now use general-purpose chat applications for many professional tasks, including marking. In a spring 2025 survey of 2,232 United States public school teachers, 60% reported using an AI tool for their work during the 2024–25 school year, and 16% reported using AI tools to grade or provide feedback (Gallup &amp; Walton Family Foundation, 2025). An analysis of educators’ conversations with Claude found that assessing student performance accounted for about 7% of the conversations analysed, that 48.9% of grading-related conversations were automation-heavy, and that surveyed faculty rated grading as the area in which AI was least effective (Anthropic, 2025). These populations differ from teachers in Iraq or Malaysia, but the figures indicate that using a consumer chat application as a marker is an existing practice.</w:t>
      </w:r>
    </w:p>
    <w:p>
      <w:pPr>
        <w:spacing w:after="120" w:line="360"/>
        <w:jc w:val="both"/>
      </w:pPr>
      <w:r>
        <w:rPr>
          <w:rFonts w:ascii="Times New Roman" w:cs="Times New Roman" w:eastAsia="Times New Roman" w:hAnsi="Times New Roman"/>
          <w:sz w:val="24"/>
          <w:szCs w:val="24"/>
        </w:rPr>
        <w:t xml:space="preserve">Consumer access differs from the conditions studied in most scoring research. Research on large language model (LLM) scoring has largely used application programming interfaces (APIs) or controlled settings, which show what models can do with fixed versions and specified sampling parameters. A teacher with a monthly subscription can choose a named model in the model picker but cannot set sampling parameters such as temperature, pin the underlying model version or reliably know when the service behind a model name has been updated. OpenAI’s release notes, for example, record successive launches, updates and retirements of the models offered in ChatGPT (OpenAI, n.d.-a), and Chen et al. (2024) found that the behaviour of GPT-3.5 and GPT-4 changed substantially between March and June 2023. Findings established under API conditions therefore do not transfer automatically to consumer use. The present study treats consumer access not as a methodological innovation but as the condition under which teachers actually use these tools, whose scoring properties need their own evidence.</w:t>
      </w:r>
    </w:p>
    <w:p>
      <w:pPr>
        <w:spacing w:after="120" w:line="360"/>
        <w:jc w:val="both"/>
      </w:pPr>
      <w:r>
        <w:rPr>
          <w:rFonts w:ascii="Times New Roman" w:cs="Times New Roman" w:eastAsia="Times New Roman" w:hAnsi="Times New Roman"/>
          <w:sz w:val="24"/>
          <w:szCs w:val="24"/>
        </w:rPr>
        <w:t xml:space="preserve">The IGCSE selective summary is a suitable test case. In the 0500 syllabus for examination in 2027–2029, Paper 1 Question 2(a) is a selective summary written in the candidate’s own words, as continuous writing of no more than 120 words, carrying 10 reading marks and 5 writing marks (Cambridge International Education, 2024c). The task is a highly constrained, rubric-bound writing task within the qualification. In the study school it is taught in both Grade 9 and Grade 10, and its component skills overlap with those required in English for Academic Purposes (EAP), IELTS, A-Level and IB contexts. Because it rewards both the selection of relevant content points and the quality of the writing, it cannot be marked without the source passage. This makes it a demanding but transparent test case for studying the consistency and human–AI agreement of AI scoring under consumer-use conditions. To examine whether AI scoring behaviour varies across passages within the same task type, the study uses two passages rather than one.</w:t>
      </w:r>
    </w:p>
    <w:p>
      <w:pPr>
        <w:spacing w:after="120" w:line="360"/>
        <w:jc w:val="both"/>
      </w:pPr>
      <w:r>
        <w:rPr>
          <w:rFonts w:ascii="Times New Roman" w:cs="Times New Roman" w:eastAsia="Times New Roman" w:hAnsi="Times New Roman"/>
          <w:sz w:val="24"/>
          <w:szCs w:val="24"/>
        </w:rPr>
        <w:t xml:space="preserve">Second-language learners sitting a first-language examination present a distinctive scoring challenge. The participants use Kurdish and/or Arabic at home and attend a private English-medium school in Erbil. Private English-medium schooling is significant in the region (Hassun, 2022), and second-language learners in such programmes are often assessed against first-language expectations (Carder, 2007). In a first-language examination the language is the construct, so a scorer—human or AI—must distinguish between language that is incorrect and language that is communicatively effective even where it shows features observable in multilingual writers’ prose. An AI scorer that credits reading on the strength of fluent prose, or penalises meaningful phrasing on grounds the rubric does not support, would misrepresent the construct each mark is meant to measure (Messick, 1989; see Section 2.2). Whether consumer AI tools exhibit either tendency when scoring summaries by multilingual adolescents has not, to the author’s knowledge, been addressed in the published literature reviewed in Chapter 2.</w:t>
      </w:r>
    </w:p>
    <w:p>
      <w:pPr>
        <w:spacing w:after="120" w:line="360"/>
        <w:jc w:val="both"/>
      </w:pPr>
      <w:r>
        <w:rPr>
          <w:rFonts w:ascii="Times New Roman" w:cs="Times New Roman" w:eastAsia="Times New Roman" w:hAnsi="Times New Roman"/>
          <w:sz w:val="24"/>
          <w:szCs w:val="24"/>
        </w:rPr>
        <w:t xml:space="preserve">The study’s setting contributes to geographic diversity in AI scoring research. Virtually all empirical studies of LLM scoring of second-language writing reviewed in Chapter 2 use East Asian populations (Chinese, Japanese, Korean) or, less frequently, Latin American or European learners. Kurdish–Arabic–English multilingual adolescents are absent from this literature. The Kurdistan Region of Iraq, where private English-medium schooling has expanded significantly (Hassun, 2022), represents a growing population of multilingual learners sitting first-language examinations under conditions that have not been studied. The study does not claim generalisability from one school to the region, but it addresses a population underrepresented in the AI scoring literature reviewed in Chapter 2.</w:t>
      </w:r>
    </w:p>
    <w:p>
      <w:pPr>
        <w:spacing w:after="120" w:line="360"/>
        <w:jc w:val="both"/>
      </w:pPr>
      <w:r>
        <w:rPr>
          <w:rFonts w:ascii="Times New Roman" w:cs="Times New Roman" w:eastAsia="Times New Roman" w:hAnsi="Times New Roman"/>
          <w:sz w:val="24"/>
          <w:szCs w:val="24"/>
        </w:rPr>
        <w:t xml:space="preserve">Score reliability matters even in classroom assessment. IGCSE summary marks inform teachers’ judgements about readiness, setting and predicted grades. If an AI mark varies between submissions, a teacher relying on it may make inconsistent decisions about the same student. Validity concerns “the degree to which evidence and theory support the interpretations of test scores for proposed uses of tests” (American Educational Research Association [AERA] et al., 2014, p. 11), and information on scoring consistency is essential to estimating score precision (AERA et al., 2014, p. 92). A teacher who accepts an AI mark makes such an interpretation, usually without evidence.</w:t>
      </w:r>
    </w:p>
    <w:p>
      <w:pPr>
        <w:pStyle w:val="Heading2"/>
        <w:spacing w:after="120" w:before="240" w:line="360"/>
      </w:pPr>
      <w:r>
        <w:rPr>
          <w:rFonts w:ascii="Times New Roman" w:cs="Times New Roman" w:eastAsia="Times New Roman" w:hAnsi="Times New Roman"/>
          <w:b/>
          <w:bCs/>
          <w:sz w:val="28"/>
          <w:szCs w:val="28"/>
        </w:rPr>
        <w:t xml:space="preserve">1.2 Problem statement</w:t>
      </w:r>
    </w:p>
    <w:p>
      <w:pPr>
        <w:spacing w:after="120" w:line="360"/>
        <w:jc w:val="both"/>
      </w:pPr>
      <w:r>
        <w:rPr>
          <w:rFonts w:ascii="Times New Roman" w:cs="Times New Roman" w:eastAsia="Times New Roman" w:hAnsi="Times New Roman"/>
          <w:sz w:val="24"/>
          <w:szCs w:val="24"/>
        </w:rPr>
        <w:t xml:space="preserve">Teachers who use ChatGPT or Claude through consumer subscriptions to mark student writing do so without evidence on the properties of the resulting scores. For this task, this population and this mode of use, it is not known how consistently the same script is marked when submitted repeatedly in independent sessions (pass-to-pass consistency); how closely the marks agree with trained human raters on each criterion (agreement); whether these properties hold across different passages within the same task type (passage dependence); or what the AI tool’s scoring rationale reveals in divergent and close-agreement cases, particularly for second-language learners whose writing may be penalised or credited on construct-irrelevant grounds.</w:t>
      </w:r>
    </w:p>
    <w:p>
      <w:pPr>
        <w:spacing w:after="120" w:line="360"/>
        <w:jc w:val="both"/>
      </w:pPr>
      <w:r>
        <w:rPr>
          <w:rFonts w:ascii="Times New Roman" w:cs="Times New Roman" w:eastAsia="Times New Roman" w:hAnsi="Times New Roman"/>
          <w:sz w:val="24"/>
          <w:szCs w:val="24"/>
        </w:rPr>
        <w:t xml:space="preserve">Existing studies of LLM scoring have mostly examined API or research access and essay tasks by university writers (Chapter 2). Repeated scoring, criterion-level comparison and rationale analysis have each been studied (e.g., Liu et al., 2026; Sawaki et al., 2025; Wu et al., 2026), and recent work has begun to examine LLM scoring of adolescents’ source-based writing (Choi et al., 2026) and to model the path from source comprehension to written response (Yun et al., 2026). What has not been examined, to the author’s knowledge, is whether consumer AI scoring preserves a rubric’s separate reading and writing criteria, and whether the justifications the tools give for each mark are supported by the source passage, the student text and the rubric.</w:t>
      </w:r>
    </w:p>
    <w:p>
      <w:pPr>
        <w:spacing w:after="120" w:line="360"/>
        <w:jc w:val="both"/>
      </w:pPr>
      <w:r>
        <w:rPr>
          <w:rFonts w:ascii="Times New Roman" w:cs="Times New Roman" w:eastAsia="Times New Roman" w:hAnsi="Times New Roman"/>
          <w:sz w:val="24"/>
          <w:szCs w:val="24"/>
        </w:rPr>
        <w:t xml:space="preserve">The gap has practical consequences. A teacher who accepts or overrides an AI mark currently does so without knowing whether the same script would receive the same mark in a new session, whether the tool is lenient or severe on a given criterion, or whether a plausible mark rests on reasons the rubric does not support. Because these marks feed classroom decisions (Section 1.1), unexamined AI scoring errors would affect real decisions about students; for multilingual learners, such errors would compound an existing validity concern.</w:t>
      </w:r>
    </w:p>
    <w:p>
      <w:pPr>
        <w:pStyle w:val="Heading2"/>
        <w:spacing w:after="120" w:before="240" w:line="360"/>
      </w:pPr>
      <w:r>
        <w:rPr>
          <w:rFonts w:ascii="Times New Roman" w:cs="Times New Roman" w:eastAsia="Times New Roman" w:hAnsi="Times New Roman"/>
          <w:b/>
          <w:bCs/>
          <w:sz w:val="28"/>
          <w:szCs w:val="28"/>
        </w:rPr>
        <w:t xml:space="preserve">1.3 Aim and objectives</w:t>
      </w:r>
    </w:p>
    <w:p>
      <w:pPr>
        <w:spacing w:after="120" w:line="360"/>
        <w:jc w:val="both"/>
      </w:pPr>
      <w:r>
        <w:rPr>
          <w:rFonts w:ascii="Times New Roman" w:cs="Times New Roman" w:eastAsia="Times New Roman" w:hAnsi="Times New Roman"/>
          <w:sz w:val="24"/>
          <w:szCs w:val="24"/>
        </w:rPr>
        <w:t xml:space="preserve">The aim is to evaluate the consistency and human–AI agreement of consumer AI scoring of IGCSE summary writing in a multilingual sample; to examine how well the tools’ justifications for their reading and writing marks are supported by the textual evidence and the rubric; and to document and demonstrate a reproducible procedure for auditing those justifications. The objectives are to:</w:t>
      </w:r>
    </w:p>
    <w:p>
      <w:pPr>
        <w:spacing w:after="60" w:line="360"/>
        <w:ind w:left="720" w:hanging="360"/>
        <w:jc w:val="both"/>
      </w:pPr>
      <w:r>
        <w:rPr>
          <w:rFonts w:ascii="Times New Roman" w:cs="Times New Roman" w:eastAsia="Times New Roman" w:hAnsi="Times New Roman"/>
          <w:sz w:val="24"/>
          <w:szCs w:val="24"/>
        </w:rPr>
        <w:t xml:space="preserve">1. estimate the pass-to-pass consistency of ChatGPT and Claude scores for the same summaries scored three times through consumer subscriptions, across two passages;</w:t>
      </w:r>
    </w:p>
    <w:p>
      <w:pPr>
        <w:spacing w:after="60" w:line="360"/>
        <w:ind w:left="720" w:hanging="360"/>
        <w:jc w:val="both"/>
      </w:pPr>
      <w:r>
        <w:rPr>
          <w:rFonts w:ascii="Times New Roman" w:cs="Times New Roman" w:eastAsia="Times New Roman" w:hAnsi="Times New Roman"/>
          <w:sz w:val="24"/>
          <w:szCs w:val="24"/>
        </w:rPr>
        <w:t xml:space="preserve">2. measure agreement between AI and human scores, and locate the correction gap by criterion, score level and passage;</w:t>
      </w:r>
    </w:p>
    <w:p>
      <w:pPr>
        <w:spacing w:after="60" w:line="360"/>
        <w:ind w:left="720" w:hanging="360"/>
        <w:jc w:val="both"/>
      </w:pPr>
      <w:r>
        <w:rPr>
          <w:rFonts w:ascii="Times New Roman" w:cs="Times New Roman" w:eastAsia="Times New Roman" w:hAnsi="Times New Roman"/>
          <w:sz w:val="24"/>
          <w:szCs w:val="24"/>
        </w:rPr>
        <w:t xml:space="preserve">3. analyse the scoring justifications in selected divergent and close-agreement cases, using a documented evidence-checking procedure, to examine whether each claim is supported by the textual evidence and appropriate to the criterion it justifies, with attention to source fidelity, construct-irrelevant features and the treatment of non-standard but meaningful phrasing in this multilingual sample, and to report how consistently two coders apply the procedure.</w:t>
      </w:r>
    </w:p>
    <w:p>
      <w:pPr>
        <w:spacing w:after="120" w:line="360"/>
        <w:jc w:val="both"/>
      </w:pPr>
      <w:r>
        <w:rPr>
          <w:rFonts w:ascii="Times New Roman" w:cs="Times New Roman" w:eastAsia="Times New Roman" w:hAnsi="Times New Roman"/>
          <w:sz w:val="24"/>
          <w:szCs w:val="24"/>
        </w:rPr>
        <w:t xml:space="preserve">The synthesis draws on objectives 1–3 to assemble descriptive evidence on consumer AI scoring of this task. One future application of that evidence is a discrepancy-review workflow in which a teacher uses a consumer AI tool as a second marker; the study does not test that workflow. The study is descriptive: it does not set operational thresholds or decision rules for teacher use of AI marks.</w:t>
      </w:r>
    </w:p>
    <w:p>
      <w:pPr>
        <w:pStyle w:val="Heading2"/>
        <w:spacing w:after="120" w:before="240" w:line="360"/>
      </w:pPr>
      <w:r>
        <w:rPr>
          <w:rFonts w:ascii="Times New Roman" w:cs="Times New Roman" w:eastAsia="Times New Roman" w:hAnsi="Times New Roman"/>
          <w:b/>
          <w:bCs/>
          <w:sz w:val="28"/>
          <w:szCs w:val="28"/>
        </w:rPr>
        <w:t xml:space="preserve">1.4 Research questions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6400"/>
        <w:gridCol w:w="2000"/>
      </w:tblGrid>
      <w:tr>
        <w:trPr>
          <w:tblHeader/>
        </w:trPr>
        <w:tc>
          <w:tcPr>
            <w:tcW w:type="dxa" w:w="800"/>
            <w:shd w:fill="E8E8E8" w:val="clear"/>
            <w:vAlign w:val="center"/>
          </w:tcPr>
          <w:p>
            <w:pPr>
              <w:keepNext w:val="false"/>
              <w:spacing w:after="60"/>
            </w:pPr>
            <w:r>
              <w:rPr>
                <w:rFonts w:ascii="Times New Roman" w:cs="Times New Roman" w:eastAsia="Times New Roman" w:hAnsi="Times New Roman"/>
                <w:b/>
                <w:bCs/>
                <w:sz w:val="22"/>
                <w:szCs w:val="22"/>
              </w:rPr>
              <w:t xml:space="preserve">RQ</w:t>
            </w:r>
          </w:p>
        </w:tc>
        <w:tc>
          <w:tcPr>
            <w:tcW w:type="dxa" w:w="6400"/>
            <w:shd w:fill="E8E8E8" w:val="clear"/>
            <w:vAlign w:val="center"/>
          </w:tcPr>
          <w:p>
            <w:pPr>
              <w:keepNext w:val="false"/>
              <w:spacing w:after="60"/>
            </w:pPr>
            <w:r>
              <w:rPr>
                <w:rFonts w:ascii="Times New Roman" w:cs="Times New Roman" w:eastAsia="Times New Roman" w:hAnsi="Times New Roman"/>
                <w:b/>
                <w:bCs/>
                <w:sz w:val="22"/>
                <w:szCs w:val="22"/>
              </w:rPr>
              <w:t xml:space="preserve">Question</w:t>
            </w:r>
          </w:p>
        </w:tc>
        <w:tc>
          <w:tcPr>
            <w:tcW w:type="dxa" w:w="2000"/>
            <w:shd w:fill="E8E8E8" w:val="clear"/>
            <w:vAlign w:val="center"/>
          </w:tcPr>
          <w:p>
            <w:pPr>
              <w:keepNext w:val="false"/>
              <w:spacing w:after="60"/>
            </w:pPr>
            <w:r>
              <w:rPr>
                <w:rFonts w:ascii="Times New Roman" w:cs="Times New Roman" w:eastAsia="Times New Roman" w:hAnsi="Times New Roman"/>
                <w:b/>
                <w:bCs/>
                <w:sz w:val="22"/>
                <w:szCs w:val="22"/>
              </w:rPr>
              <w:t xml:space="preserve">Layer</w:t>
            </w:r>
          </w:p>
        </w:tc>
      </w:tr>
      <w:tr>
        <w:trPr>
          <w:cantSplit/>
        </w:trPr>
        <w:tc>
          <w:tcPr>
            <w:tcW w:type="dxa" w:w="800"/>
            <w:vAlign w:val="center"/>
          </w:tcPr>
          <w:p>
            <w:pPr>
              <w:keepNext w:val="false"/>
              <w:keepLines w:val="false"/>
              <w:spacing w:after="60"/>
            </w:pPr>
            <w:r>
              <w:rPr>
                <w:rFonts w:ascii="Times New Roman" w:cs="Times New Roman" w:eastAsia="Times New Roman" w:hAnsi="Times New Roman"/>
                <w:sz w:val="22"/>
                <w:szCs w:val="22"/>
              </w:rPr>
              <w:t xml:space="preserve">RQ1</w:t>
            </w:r>
          </w:p>
        </w:tc>
        <w:tc>
          <w:tcPr>
            <w:tcW w:type="dxa" w:w="6400"/>
            <w:vAlign w:val="center"/>
          </w:tcPr>
          <w:p>
            <w:pPr>
              <w:keepNext w:val="false"/>
              <w:keepLines w:val="false"/>
              <w:spacing w:after="60"/>
            </w:pPr>
            <w:r>
              <w:rPr>
                <w:rFonts w:ascii="Times New Roman" w:cs="Times New Roman" w:eastAsia="Times New Roman" w:hAnsi="Times New Roman"/>
                <w:sz w:val="22"/>
                <w:szCs w:val="22"/>
              </w:rPr>
              <w:t xml:space="preserve">To what extent do ChatGPT and Claude, used through consumer subscriptions, give consistent scores to the same summary when it is scored three times in independent sessions, and does consistency differ across passages?</w:t>
            </w:r>
          </w:p>
        </w:tc>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Pass-to-pass consistency</w:t>
            </w:r>
          </w:p>
        </w:tc>
      </w:tr>
      <w:tr>
        <w:trPr>
          <w:cantSplit/>
        </w:trPr>
        <w:tc>
          <w:tcPr>
            <w:tcW w:type="dxa" w:w="800"/>
            <w:vAlign w:val="center"/>
          </w:tcPr>
          <w:p>
            <w:pPr>
              <w:keepNext w:val="false"/>
              <w:keepLines w:val="false"/>
              <w:spacing w:after="60"/>
            </w:pPr>
            <w:r>
              <w:rPr>
                <w:rFonts w:ascii="Times New Roman" w:cs="Times New Roman" w:eastAsia="Times New Roman" w:hAnsi="Times New Roman"/>
                <w:sz w:val="22"/>
                <w:szCs w:val="22"/>
              </w:rPr>
              <w:t xml:space="preserve">RQ2</w:t>
            </w:r>
          </w:p>
        </w:tc>
        <w:tc>
          <w:tcPr>
            <w:tcW w:type="dxa" w:w="6400"/>
            <w:vAlign w:val="center"/>
          </w:tcPr>
          <w:p>
            <w:pPr>
              <w:keepNext w:val="false"/>
              <w:keepLines w:val="false"/>
              <w:spacing w:after="60"/>
            </w:pPr>
            <w:r>
              <w:rPr>
                <w:rFonts w:ascii="Times New Roman" w:cs="Times New Roman" w:eastAsia="Times New Roman" w:hAnsi="Times New Roman"/>
                <w:sz w:val="22"/>
                <w:szCs w:val="22"/>
              </w:rPr>
              <w:t xml:space="preserve">How closely do AI scores agree with those of two experienced human raters, and where (by criterion, score level and passage) do they diverge?</w:t>
            </w:r>
          </w:p>
        </w:tc>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Agreement and correction gap</w:t>
            </w:r>
          </w:p>
        </w:tc>
      </w:tr>
      <w:tr>
        <w:trPr>
          <w:cantSplit/>
        </w:trPr>
        <w:tc>
          <w:tcPr>
            <w:tcW w:type="dxa" w:w="800"/>
            <w:vAlign w:val="center"/>
          </w:tcPr>
          <w:p>
            <w:pPr>
              <w:keepNext w:val="false"/>
              <w:keepLines w:val="false"/>
              <w:spacing w:after="60"/>
            </w:pPr>
            <w:r>
              <w:rPr>
                <w:rFonts w:ascii="Times New Roman" w:cs="Times New Roman" w:eastAsia="Times New Roman" w:hAnsi="Times New Roman"/>
                <w:sz w:val="22"/>
                <w:szCs w:val="22"/>
              </w:rPr>
              <w:t xml:space="preserve">RQ3</w:t>
            </w:r>
          </w:p>
        </w:tc>
        <w:tc>
          <w:tcPr>
            <w:tcW w:type="dxa" w:w="6400"/>
            <w:vAlign w:val="center"/>
          </w:tcPr>
          <w:p>
            <w:pPr>
              <w:keepNext w:val="false"/>
              <w:keepLines w:val="false"/>
              <w:spacing w:after="60"/>
            </w:pPr>
            <w:r>
              <w:rPr>
                <w:rFonts w:ascii="Times New Roman" w:cs="Times New Roman" w:eastAsia="Times New Roman" w:hAnsi="Times New Roman"/>
                <w:sz w:val="22"/>
                <w:szCs w:val="22"/>
              </w:rPr>
              <w:t xml:space="preserve">What justifications do the AI tools provide for their marks in selected high-divergence and close-agreement cases, how well do those justifications accord with the available textual evidence and with the criterion each is offered for, and what do they reveal about how the tools handle source fidelity, construct-irrelevant features and non-standard but meaningful phrasing in this multilingual sample?</w:t>
            </w:r>
          </w:p>
        </w:tc>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Justifications examined</w:t>
            </w:r>
          </w:p>
        </w:tc>
      </w:tr>
    </w:tbl>
    <w:p>
      <w:pPr>
        <w:spacing w:after="200" w:line="360"/>
        <w:jc w:val="both"/>
      </w:pPr>
      <w:r>
        <w:rPr>
          <w:rFonts w:ascii="Times New Roman" w:cs="Times New Roman" w:eastAsia="Times New Roman" w:hAnsi="Times New Roman"/>
          <w:sz w:val="24"/>
          <w:szCs w:val="24"/>
        </w:rPr>
        <w:t xml:space="preserve">The synthesis draws on RQ1–RQ3 and is not a separate research question (Section 3.7). Inter-coder agreement on the evidence-checking procedure is reported as part of RQ3.</w:t>
      </w:r>
    </w:p>
    <w:p>
      <w:pPr>
        <w:pStyle w:val="Heading2"/>
        <w:spacing w:after="120" w:before="240" w:line="360"/>
      </w:pPr>
      <w:r>
        <w:rPr>
          <w:rFonts w:ascii="Times New Roman" w:cs="Times New Roman" w:eastAsia="Times New Roman" w:hAnsi="Times New Roman"/>
          <w:b/>
          <w:bCs/>
          <w:sz w:val="28"/>
          <w:szCs w:val="28"/>
        </w:rPr>
        <w:t xml:space="preserve">1.5 Significance</w:t>
      </w:r>
    </w:p>
    <w:p>
      <w:pPr>
        <w:spacing w:after="120" w:line="360"/>
        <w:jc w:val="both"/>
      </w:pPr>
      <w:r>
        <w:rPr>
          <w:rFonts w:ascii="Times New Roman" w:cs="Times New Roman" w:eastAsia="Times New Roman" w:hAnsi="Times New Roman"/>
          <w:b/>
          <w:bCs/>
          <w:sz w:val="24"/>
          <w:szCs w:val="24"/>
        </w:rPr>
        <w:t xml:space="preserve">For teachers and schools. </w:t>
      </w:r>
      <w:r>
        <w:rPr>
          <w:rFonts w:ascii="Times New Roman" w:cs="Times New Roman" w:eastAsia="Times New Roman" w:hAnsi="Times New Roman"/>
          <w:sz w:val="24"/>
          <w:szCs w:val="24"/>
        </w:rPr>
        <w:t xml:space="preserve">The study will give teachers who already use consumer AI tools descriptive evidence on the consistency and agreement properties of consumer AI scoring, informing their consideration of whether a tool is consistent enough to use as a second marker, under the consumer-subscription conditions available to them (Section 1.1). The content analysis of selected cases will show the kinds of scoring justifications AI tools produce and how well those justifications hold up against the textual evidence.</w:t>
      </w:r>
    </w:p>
    <w:p>
      <w:pPr>
        <w:spacing w:after="120" w:line="360"/>
        <w:jc w:val="both"/>
      </w:pPr>
      <w:r>
        <w:rPr>
          <w:rFonts w:ascii="Times New Roman" w:cs="Times New Roman" w:eastAsia="Times New Roman" w:hAnsi="Times New Roman"/>
          <w:b/>
          <w:bCs/>
          <w:sz w:val="24"/>
          <w:szCs w:val="24"/>
        </w:rPr>
        <w:t xml:space="preserve">For language assessment research. </w:t>
      </w:r>
      <w:r>
        <w:rPr>
          <w:rFonts w:ascii="Times New Roman" w:cs="Times New Roman" w:eastAsia="Times New Roman" w:hAnsi="Times New Roman"/>
          <w:sz w:val="24"/>
          <w:szCs w:val="24"/>
        </w:rPr>
        <w:t xml:space="preserve">The study treats the consumer AI application as a rater whose behaviour may vary across occasions and passages. Repeated scoring across two passages allows pass-to-pass variation and passage effects to be estimated separately from human–AI disagreement. The study also proposes the scoring correction gap as an analytical label for the criterion-level difference between AI and human marks, described both by its size and by the evidence-checked reasons the tool gives for it (Section 1.6).</w:t>
      </w:r>
    </w:p>
    <w:p>
      <w:pPr>
        <w:spacing w:after="120" w:line="360"/>
        <w:jc w:val="both"/>
      </w:pPr>
      <w:r>
        <w:rPr>
          <w:rFonts w:ascii="Times New Roman" w:cs="Times New Roman" w:eastAsia="Times New Roman" w:hAnsi="Times New Roman"/>
          <w:b/>
          <w:bCs/>
          <w:sz w:val="24"/>
          <w:szCs w:val="24"/>
        </w:rPr>
        <w:t xml:space="preserve">A reusable evidence-checking protocol. </w:t>
      </w:r>
      <w:r>
        <w:rPr>
          <w:rFonts w:ascii="Times New Roman" w:cs="Times New Roman" w:eastAsia="Times New Roman" w:hAnsi="Times New Roman"/>
          <w:sz w:val="24"/>
          <w:szCs w:val="24"/>
        </w:rPr>
        <w:t xml:space="preserve">The study’s main methodological contribution is a structured protocol for auditing AI scoring rationales. Each justification is segmented into claims, and each claim is checked against the source passage, the student’s text and the applicable level descriptor. Every claim receives two separate judgements—whether it is supported by the evidence (supported, contradicted, insufficient explanation or ambiguous) and whether the quality it cites belongs to the criterion it is used to justify—before thematic coding by two independent coders working from the same claim list, with inter-coder agreement reported for each judgement (Section 3.7). The protocol is demonstrated on IGCSE-aligned summaries and designed for adaptation to other rubric-based tasks in which an AI mark is accompanied by a justification, including rationales from future model versions; how well it works after adaptation is a question for future research. To support reuse, the protocol materials will be deposited on the Open Science Framework (Section 4.2).</w:t>
      </w:r>
    </w:p>
    <w:p>
      <w:pPr>
        <w:spacing w:after="120" w:line="360"/>
        <w:jc w:val="both"/>
      </w:pPr>
      <w:r>
        <w:rPr>
          <w:rFonts w:ascii="Times New Roman" w:cs="Times New Roman" w:eastAsia="Times New Roman" w:hAnsi="Times New Roman"/>
          <w:b/>
          <w:bCs/>
          <w:sz w:val="24"/>
          <w:szCs w:val="24"/>
        </w:rPr>
        <w:t xml:space="preserve">For multilingual learners in first-language assessment. </w:t>
      </w:r>
      <w:r>
        <w:rPr>
          <w:rFonts w:ascii="Times New Roman" w:cs="Times New Roman" w:eastAsia="Times New Roman" w:hAnsi="Times New Roman"/>
          <w:sz w:val="24"/>
          <w:szCs w:val="24"/>
        </w:rPr>
        <w:t xml:space="preserve">Multilingual learners in English-medium schools are often assessed against first-language expectations (Carder, 2007), and Gallagher (2008) argued that such students are entitled to full access to the mainstream curriculum. If AI scoring tools credit fluent prose under the reading mark, or penalise meaningful but non-standard phrasing, and teachers adopt those marks without review, the errors would fall on these students’ marks. The study cannot show that any scoring pattern occurs because students are multilingual, since it has no comparison group (Section 1.6). Its contribution is narrower: to examine, in selected cases, whether these students’ summaries receive judgements justified by the applicable criteria.</w:t>
      </w:r>
    </w:p>
    <w:p>
      <w:pPr>
        <w:spacing w:after="120" w:line="360"/>
        <w:jc w:val="both"/>
      </w:pPr>
      <w:r>
        <w:rPr>
          <w:rFonts w:ascii="Times New Roman" w:cs="Times New Roman" w:eastAsia="Times New Roman" w:hAnsi="Times New Roman"/>
          <w:b/>
          <w:bCs/>
          <w:sz w:val="24"/>
          <w:szCs w:val="24"/>
        </w:rPr>
        <w:t xml:space="preserve">For validity theory applied to AI scoring. </w:t>
      </w:r>
      <w:r>
        <w:rPr>
          <w:rFonts w:ascii="Times New Roman" w:cs="Times New Roman" w:eastAsia="Times New Roman" w:hAnsi="Times New Roman"/>
          <w:sz w:val="24"/>
          <w:szCs w:val="24"/>
        </w:rPr>
        <w:t xml:space="preserve">The study applies an argument-based approach (Kane, 2013) to a use outside the operational settings for which automated scoring frameworks were developed (Williamson et al., 2012; Xi, 2010), showing which inferences in a teacher’s use of an AI mark can be supported in a qualification-relevant classroom context (IGCSE). The reading–writing criterion-separation analysis contributes evidence, within this multilingual sample, on whether AI scoring introduces construct-irrelevant variance.</w:t>
      </w:r>
    </w:p>
    <w:p>
      <w:pPr>
        <w:pStyle w:val="Heading2"/>
        <w:spacing w:after="120" w:before="240" w:line="360"/>
      </w:pPr>
      <w:r>
        <w:rPr>
          <w:rFonts w:ascii="Times New Roman" w:cs="Times New Roman" w:eastAsia="Times New Roman" w:hAnsi="Times New Roman"/>
          <w:b/>
          <w:bCs/>
          <w:sz w:val="28"/>
          <w:szCs w:val="28"/>
        </w:rPr>
        <w:t xml:space="preserve">1.6 Scope and key definitions</w:t>
      </w:r>
    </w:p>
    <w:p>
      <w:pPr>
        <w:spacing w:after="120" w:line="360"/>
        <w:jc w:val="both"/>
      </w:pPr>
      <w:r>
        <w:rPr>
          <w:rFonts w:ascii="Times New Roman" w:cs="Times New Roman" w:eastAsia="Times New Roman" w:hAnsi="Times New Roman"/>
          <w:sz w:val="24"/>
          <w:szCs w:val="24"/>
        </w:rPr>
        <w:t xml:space="preserve">The study is bounded to one task (Question 2(a)), two original passages, one school, two consumer AI tools and one scoring wave. It examines use through paid individual subscriptions; free versions of the same applications may offer different models and stricter usage limits, so the findings do not automatically apply to them.</w:t>
      </w:r>
    </w:p>
    <w:p>
      <w:pPr>
        <w:spacing w:after="120" w:line="360"/>
        <w:jc w:val="both"/>
      </w:pPr>
      <w:r>
        <w:rPr>
          <w:rFonts w:ascii="Times New Roman" w:cs="Times New Roman" w:eastAsia="Times New Roman" w:hAnsi="Times New Roman"/>
          <w:b/>
          <w:bCs/>
          <w:sz w:val="24"/>
          <w:szCs w:val="24"/>
        </w:rPr>
        <w:t xml:space="preserve">Consumer AI access (ecological condition). </w:t>
      </w:r>
      <w:r>
        <w:rPr>
          <w:rFonts w:ascii="Times New Roman" w:cs="Times New Roman" w:eastAsia="Times New Roman" w:hAnsi="Times New Roman"/>
          <w:sz w:val="24"/>
          <w:szCs w:val="24"/>
        </w:rPr>
        <w:t xml:space="preserve">Use of ChatGPT or Claude through a paid individual subscription to the provider’s chat application, without API access. The latest flagship model offered on the paid plan at the start of scoring is selected in the model picker, and the same named model is selected manually for every submission thereafter. Because the user cannot set sampling parameters or pin the version behind a model name (Section 1.1), the model name and reasoning mode are logged for every submission.</w:t>
      </w:r>
    </w:p>
    <w:p>
      <w:pPr>
        <w:spacing w:after="120" w:line="360"/>
        <w:jc w:val="both"/>
      </w:pPr>
      <w:r>
        <w:rPr>
          <w:rFonts w:ascii="Times New Roman" w:cs="Times New Roman" w:eastAsia="Times New Roman" w:hAnsi="Times New Roman"/>
          <w:b/>
          <w:bCs/>
          <w:sz w:val="24"/>
          <w:szCs w:val="24"/>
        </w:rPr>
        <w:t xml:space="preserve">Repeatability under consumer-use conditions. </w:t>
      </w:r>
      <w:r>
        <w:rPr>
          <w:rFonts w:ascii="Times New Roman" w:cs="Times New Roman" w:eastAsia="Times New Roman" w:hAnsi="Times New Roman"/>
          <w:sz w:val="24"/>
          <w:szCs w:val="24"/>
        </w:rPr>
        <w:t xml:space="preserve">Variation in the scores a single tool assigns to the same script across three independent passes in separate sessions within a ten-working-day window, under the same framing. This estimate includes both within-session random variation and any between-session variation from the service. Also referred to as pass-to-pass consistency in this proposal.</w:t>
      </w:r>
    </w:p>
    <w:p>
      <w:pPr>
        <w:spacing w:after="120" w:line="360"/>
        <w:jc w:val="both"/>
      </w:pPr>
      <w:r>
        <w:rPr>
          <w:rFonts w:ascii="Times New Roman" w:cs="Times New Roman" w:eastAsia="Times New Roman" w:hAnsi="Times New Roman"/>
          <w:b/>
          <w:bCs/>
          <w:sz w:val="24"/>
          <w:szCs w:val="24"/>
        </w:rPr>
        <w:t xml:space="preserve">Correction gap (scoring). </w:t>
      </w:r>
      <w:r>
        <w:rPr>
          <w:rFonts w:ascii="Times New Roman" w:cs="Times New Roman" w:eastAsia="Times New Roman" w:hAnsi="Times New Roman"/>
          <w:sz w:val="24"/>
          <w:szCs w:val="24"/>
        </w:rPr>
        <w:t xml:space="preserve">The AI score minus the mean of the two human raters’ scores, so that a positive value indicates AI leniency, analysed by criterion, score level and passage. The scoring correction gap is the study’s analytical label for this difference when it is described, criterion by criterion, not only by its magnitude but by the reasons the AI gives for its mark, checked against the textual evidence. The subtraction itself is a standard comparison; the label’s value lies in joining it to evidence-checked rationale analysis, so that a teacher can see both the size of the gap and the justification the tool states for its mark. A stated justification is not an account of how the score was computed (Section 3.7). The prompt framing requests a brief justification for each mark; these reasons are retained in the response log and are analysed for 8 scripts selected by a prespecified rule (Section 3.7).</w:t>
      </w:r>
    </w:p>
    <w:p>
      <w:pPr>
        <w:spacing w:after="120" w:line="360"/>
        <w:jc w:val="both"/>
      </w:pPr>
      <w:r>
        <w:rPr>
          <w:rFonts w:ascii="Times New Roman" w:cs="Times New Roman" w:eastAsia="Times New Roman" w:hAnsi="Times New Roman"/>
          <w:b/>
          <w:bCs/>
          <w:sz w:val="24"/>
          <w:szCs w:val="24"/>
        </w:rPr>
        <w:t xml:space="preserve">Reading–writing criterion separation. </w:t>
      </w:r>
      <w:r>
        <w:rPr>
          <w:rFonts w:ascii="Times New Roman" w:cs="Times New Roman" w:eastAsia="Times New Roman" w:hAnsi="Times New Roman"/>
          <w:sz w:val="24"/>
          <w:szCs w:val="24"/>
        </w:rPr>
        <w:t xml:space="preserve">Each mark must be justified by the qualities its own criterion assesses. The central risk is that an AI scorer confuses reading and writing constructs: using fluent, well-formed prose to justify reading credit that the textual evidence does not support, or overlooking whether the student has selected and faithfully transformed the relevant content points (the reading construct), or penalising language features observable in multilingual learners’ writing on grounds not supported by the applicable rubric descriptor for the criterion on which the mark is awarded. Because the Cambridge writing descriptors explicitly assess clarity, fluency, organisation, concision and vocabulary, rewarding those qualities under the writing mark is legitimate; construct confusion arises only when a quality is used to justify a mark under the wrong criterion—for example, crediting fluency under the reading mark without supporting content-point evidence. The content analysis examines whether AI scoring rationales show this tendency, judged against the applicable level descriptor for the criterion in question.</w:t>
      </w:r>
    </w:p>
    <w:p>
      <w:pPr>
        <w:spacing w:after="120" w:line="360"/>
        <w:jc w:val="both"/>
      </w:pPr>
      <w:r>
        <w:rPr>
          <w:rFonts w:ascii="Times New Roman" w:cs="Times New Roman" w:eastAsia="Times New Roman" w:hAnsi="Times New Roman"/>
          <w:b/>
          <w:bCs/>
          <w:sz w:val="24"/>
          <w:szCs w:val="24"/>
        </w:rPr>
        <w:t xml:space="preserve">Non-standard but meaningful phrasing. </w:t>
      </w:r>
      <w:r>
        <w:rPr>
          <w:rFonts w:ascii="Times New Roman" w:cs="Times New Roman" w:eastAsia="Times New Roman" w:hAnsi="Times New Roman"/>
          <w:sz w:val="24"/>
          <w:szCs w:val="24"/>
        </w:rPr>
        <w:t xml:space="preserve">Wording in a student’s summary that departs from conventional English usage—for example, unconventional collocations, article or preposition choices, or verb forms—while still conveying the source meaning accurately. Such wording is identified from the text itself, at claim level, during the evidence-checking procedure (Section 3.7); it is not attributed to any particular home language. Copying from the source, inaccurate content and errors that obscure meaning are coded separately and are not treated as features of multilingual writing. Because the study has no comparison group of monolingual writers, it can describe how the AI tools treat such phrasing within this multilingual sample; it cannot establish that any scoring pattern occurs because students are multilingual, or that it affects them more than other populations.</w:t>
      </w:r>
    </w:p>
    <w:p>
      <w:pPr>
        <w:spacing w:after="120" w:line="360"/>
        <w:jc w:val="both"/>
      </w:pPr>
      <w:r>
        <w:rPr>
          <w:rFonts w:ascii="Times New Roman" w:cs="Times New Roman" w:eastAsia="Times New Roman" w:hAnsi="Times New Roman"/>
          <w:b/>
          <w:bCs/>
          <w:sz w:val="24"/>
          <w:szCs w:val="24"/>
        </w:rPr>
        <w:t xml:space="preserve">Discrepancy-review workflow. </w:t>
      </w:r>
      <w:r>
        <w:rPr>
          <w:rFonts w:ascii="Times New Roman" w:cs="Times New Roman" w:eastAsia="Times New Roman" w:hAnsi="Times New Roman"/>
          <w:sz w:val="24"/>
          <w:szCs w:val="24"/>
        </w:rPr>
        <w:t xml:space="preserve">A teacher-facing workflow in which the teacher marks a script first, then submits it to an AI tool, and compares the two marks. The study provides descriptive evidence—consistency statistics, agreement benchmarks, correction-gap profiles and qualitative explanations—to inform further evaluation of this workflow for the IGCSE summary task. It is treated as a future application of the study’s evidence; the workflow itself is not tested with teachers in this study.</w:t>
      </w:r>
    </w:p>
    <w:p>
      <w:pPr>
        <w:pStyle w:val="Heading1"/>
        <w:pageBreakBefore/>
        <w:spacing w:after="120" w:before="0" w:line="360"/>
      </w:pPr>
      <w:r>
        <w:rPr>
          <w:rFonts w:ascii="Times New Roman" w:cs="Times New Roman" w:eastAsia="Times New Roman" w:hAnsi="Times New Roman"/>
          <w:b/>
          <w:bCs/>
          <w:sz w:val="32"/>
          <w:szCs w:val="32"/>
        </w:rPr>
        <w:t xml:space="preserve">Chapter 2. Literature Review and Conceptual Framework</w:t>
      </w:r>
    </w:p>
    <w:p>
      <w:pPr>
        <w:pStyle w:val="Heading2"/>
        <w:spacing w:after="120" w:before="240" w:line="360"/>
      </w:pPr>
      <w:r>
        <w:rPr>
          <w:rFonts w:ascii="Times New Roman" w:cs="Times New Roman" w:eastAsia="Times New Roman" w:hAnsi="Times New Roman"/>
          <w:b/>
          <w:bCs/>
          <w:sz w:val="28"/>
          <w:szCs w:val="28"/>
        </w:rPr>
        <w:t xml:space="preserve">2.1 Summary writing as a reading-into-writing construct</w:t>
      </w:r>
    </w:p>
    <w:p>
      <w:pPr>
        <w:spacing w:after="120" w:line="360"/>
        <w:jc w:val="both"/>
      </w:pPr>
      <w:r>
        <w:rPr>
          <w:rFonts w:ascii="Times New Roman" w:cs="Times New Roman" w:eastAsia="Times New Roman" w:hAnsi="Times New Roman"/>
          <w:sz w:val="24"/>
          <w:szCs w:val="24"/>
        </w:rPr>
        <w:t xml:space="preserve">Summary writing integrates comprehension and production. Kintsch and van Dijk (1978) modelled comprehension as the construction of a local text base and a global macrostructure, produced by macro-operators that reduce a text to its gist. Brown and Day (1983) operationalised this reduction as rules for deleting trivial and redundant information, replacing lists with superordinate terms, and selecting or inventing topic sentences; younger students relied on a “copy-delete” strategy, whereas expert summarisers restated the gist in their own words. Hidi and Anderson (1986) showed that summarisation demands depend on the text, on whether the source is available and on whether the summary is written for oneself or for a reader; the IGCSE task is reader-based and source-available.</w:t>
      </w:r>
    </w:p>
    <w:p>
      <w:pPr>
        <w:spacing w:after="120" w:line="360"/>
        <w:jc w:val="both"/>
      </w:pPr>
      <w:r>
        <w:rPr>
          <w:rFonts w:ascii="Times New Roman" w:cs="Times New Roman" w:eastAsia="Times New Roman" w:hAnsi="Times New Roman"/>
          <w:sz w:val="24"/>
          <w:szCs w:val="24"/>
        </w:rPr>
        <w:t xml:space="preserve">In L2 summarising, reliance on source wording varies with proficiency, writing experience and task demands. Johns and Mayes (1990) found that lower- and higher-proficiency university ESL students differed significantly in replicating source sentences and in combining idea units across sentences. Shi (2004) found that students writing summaries borrowed more words from source texts than those writing opinion essays. Keck (2006) distinguished degrees of paraphrase, and Keck (2014) found that less-experienced L1 and L2 university writers relied more heavily on source-text excerpts than more-experienced peers. In assessment, Cumming (2013) identified two perils of integrated reading–writing tasks: they confound writing ability with source comprehension, and they make source language hard to distinguish from the writer’s own. The 2024 examiner report on the equivalent Cambridge question shows the same weaknesses: less effective summaries copied with minimal rewording, repeated ideas, added comment or exceeded the 120-word guidance (Cambridge International Education, 2024a). These tendencies may occur in the study corpus.</w:t>
      </w:r>
    </w:p>
    <w:p>
      <w:pPr>
        <w:pStyle w:val="Heading2"/>
        <w:spacing w:after="120" w:before="240" w:line="360"/>
      </w:pPr>
      <w:r>
        <w:rPr>
          <w:rFonts w:ascii="Times New Roman" w:cs="Times New Roman" w:eastAsia="Times New Roman" w:hAnsi="Times New Roman"/>
          <w:b/>
          <w:bCs/>
          <w:sz w:val="28"/>
          <w:szCs w:val="28"/>
        </w:rPr>
        <w:t xml:space="preserve">2.2 Accessibility, L2 writers and the first-language construct</w:t>
      </w:r>
    </w:p>
    <w:p>
      <w:pPr>
        <w:spacing w:after="120" w:line="360"/>
        <w:jc w:val="both"/>
      </w:pPr>
      <w:r>
        <w:rPr>
          <w:rFonts w:ascii="Times New Roman" w:cs="Times New Roman" w:eastAsia="Times New Roman" w:hAnsi="Times New Roman"/>
          <w:sz w:val="24"/>
          <w:szCs w:val="24"/>
        </w:rPr>
        <w:t xml:space="preserve">Messick’s (1989) distinction between construct underrepresentation and construct-irrelevant variance frames the central scoring tension for L2 writers in an L1 examination. Where language is not the construct, reducing linguistic difficulty removes an irrelevant barrier. But in IGCSE 0500, reading a demanding source and transforming it into one’s own words is the construct. A student whose summary preserves meaning through communicatively effective phrasing—even where that phrasing shows features observable in multilingual writers’ prose—has demonstrated the reading understanding the task assesses, although the quality of that phrasing may still warrant a lower writing mark; a scorer that withholds reading credit for such phrasing while crediting a more fluent but less faithful alternative misrepresents the reading construct.</w:t>
      </w:r>
    </w:p>
    <w:p>
      <w:pPr>
        <w:spacing w:after="120" w:line="360"/>
        <w:jc w:val="both"/>
      </w:pPr>
      <w:r>
        <w:rPr>
          <w:rFonts w:ascii="Times New Roman" w:cs="Times New Roman" w:eastAsia="Times New Roman" w:hAnsi="Times New Roman"/>
          <w:sz w:val="24"/>
          <w:szCs w:val="24"/>
        </w:rPr>
        <w:t xml:space="preserve">The tension between first-language assessment expectations and multilingual learner populations extends beyond individual classrooms. Gallagher (2008), writing for international school educators, argued that students learning through English as an additional language are entitled to full access to the mainstream curriculum rather than being marginalised by practices designed around native speakers. Whether a scorer applies first-language criteria to these students’ work in a construct-relevant way is therefore a practical question for the schools they attend. An AI scoring tool that rewards or penalises features the rubric does not assess could introduce construct-irrelevant variance into their marks without the corrective judgement that an experienced human marker might apply.</w:t>
      </w:r>
    </w:p>
    <w:p>
      <w:pPr>
        <w:spacing w:after="120" w:line="360"/>
        <w:jc w:val="both"/>
      </w:pPr>
      <w:r>
        <w:rPr>
          <w:rFonts w:ascii="Times New Roman" w:cs="Times New Roman" w:eastAsia="Times New Roman" w:hAnsi="Times New Roman"/>
          <w:sz w:val="24"/>
          <w:szCs w:val="24"/>
        </w:rPr>
        <w:t xml:space="preserve">The L2 writing literature shows that source use varies with proficiency. Pecorari (2003) argued that patchwriting in postgraduate writing was typically not intended to deceive and called for a pedagogical response. Hirvela and Du (2013) found that learners could complete paraphrasing exercises with little sense of why paraphrase mattered. Baxter and Neumann (2023) provide evidence on adolescent writers. These findings have a scoring parallel: an AI scorer trained on large corpora of fluent English may implicitly confuse reading and writing constructs, valuing fluent prose over the faithful content-point transformations that the IGCSE rubric rewards for the reading mark. Whether a particular AI judgement constitutes construct confusion depends on the applicable rubric descriptor for the criterion on which the mark is awarded: penalising reliance on source wording under the writing descriptor, which explicitly addresses concise vocabulary use and reliance on the words of the text, is criterion-appropriate; the same judgement applied to the reading mark without content-point evidence is not.</w:t>
      </w:r>
    </w:p>
    <w:p>
      <w:pPr>
        <w:spacing w:after="120" w:line="360"/>
        <w:jc w:val="both"/>
      </w:pPr>
      <w:r>
        <w:rPr>
          <w:rFonts w:ascii="Times New Roman" w:cs="Times New Roman" w:eastAsia="Times New Roman" w:hAnsi="Times New Roman"/>
          <w:sz w:val="24"/>
          <w:szCs w:val="24"/>
        </w:rPr>
        <w:t xml:space="preserve">Whether consumer AI tools exhibit this tendency when scoring summaries by multilingual adolescents has not, to the author’s knowledge, been addressed in the literature reviewed above. The present study’s analysis of selected divergent and close-agreement cases (RQ3) examines the justifications the tools provide and whether those justifications reveal confusion between reading and writing constructs.</w:t>
      </w:r>
    </w:p>
    <w:p>
      <w:pPr>
        <w:pStyle w:val="Heading2"/>
        <w:spacing w:after="120" w:before="240" w:line="360"/>
      </w:pPr>
      <w:r>
        <w:rPr>
          <w:rFonts w:ascii="Times New Roman" w:cs="Times New Roman" w:eastAsia="Times New Roman" w:hAnsi="Times New Roman"/>
          <w:b/>
          <w:bCs/>
          <w:sz w:val="28"/>
          <w:szCs w:val="28"/>
        </w:rPr>
        <w:t xml:space="preserve">2.3 Frameworks for evaluating automated scoring</w:t>
      </w:r>
    </w:p>
    <w:p>
      <w:pPr>
        <w:spacing w:after="120" w:line="360"/>
        <w:jc w:val="both"/>
      </w:pPr>
      <w:r>
        <w:rPr>
          <w:rFonts w:ascii="Times New Roman" w:cs="Times New Roman" w:eastAsia="Times New Roman" w:hAnsi="Times New Roman"/>
          <w:sz w:val="24"/>
          <w:szCs w:val="24"/>
        </w:rPr>
        <w:t xml:space="preserve">Validation frameworks for automated scoring are argument-based. Clauser et al. (2002) argued that automated scoring is judged by the same validity criteria as other scoring, but that the parts of the argument needing emphasis depend on the scoring procedure. Xi (2010) set out validity questions by inference, including whether scoring captures the construct, whether scores resist gaming and whether they generalise and support appropriate decisions. Williamson et al. (2012) proposed evaluating fit to purpose, human–automated agreement, associations with independent measures, generalisability and subgroup consequences, with agreement criteria that include a quadratic weighted kappa (QWK) of at least .70 (see also Doewes et al., 2023). The Standards require empirical support, such as agreement rates with human scorers, before automated scoring is used operationally (AERA et al., 2014, Standard 4.19).</w:t>
      </w:r>
    </w:p>
    <w:p>
      <w:pPr>
        <w:spacing w:after="120" w:line="360"/>
        <w:jc w:val="both"/>
      </w:pPr>
      <w:r>
        <w:rPr>
          <w:rFonts w:ascii="Times New Roman" w:cs="Times New Roman" w:eastAsia="Times New Roman" w:hAnsi="Times New Roman"/>
          <w:sz w:val="24"/>
          <w:szCs w:val="24"/>
        </w:rPr>
        <w:t xml:space="preserve">Applying these frameworks to consumer AI scoring requires attention to limited documentation and possible changes in the scoring system. The prompting procedure proposed here does not involve researcher-led model training or fine-tuning: the rubric is supplied in a prompt, which puts scoring within a teacher’s reach. However, a consumer chat application is undocumented to its user, may change without notice and may return different scores on resubmission. The present study keeps the frameworks’ evidential categories but treats stability over submissions as a property to be established, not assumed. Stability (RQ1) is therefore examined before agreement (RQ2), because agreement estimated from a single run is interpretable only if that run is representative of what the tool would return on resubmission.</w:t>
      </w:r>
    </w:p>
    <w:p>
      <w:pPr>
        <w:pStyle w:val="Heading2"/>
        <w:spacing w:after="120" w:before="240" w:line="360"/>
      </w:pPr>
      <w:r>
        <w:rPr>
          <w:rFonts w:ascii="Times New Roman" w:cs="Times New Roman" w:eastAsia="Times New Roman" w:hAnsi="Times New Roman"/>
          <w:b/>
          <w:bCs/>
          <w:sz w:val="28"/>
          <w:szCs w:val="28"/>
        </w:rPr>
        <w:t xml:space="preserve">2.4 Empirical evidence on LLM scoring of L2 writing</w:t>
      </w:r>
    </w:p>
    <w:p>
      <w:pPr>
        <w:spacing w:after="120" w:line="360"/>
        <w:jc w:val="both"/>
      </w:pPr>
      <w:r>
        <w:rPr>
          <w:rFonts w:ascii="Times New Roman" w:cs="Times New Roman" w:eastAsia="Times New Roman" w:hAnsi="Times New Roman"/>
          <w:sz w:val="24"/>
          <w:szCs w:val="24"/>
        </w:rPr>
        <w:t xml:space="preserve">Agreement with human or benchmark scores is promising but variable. Mizumoto and Eguchi (2023) scored the 12,100 TOEFL11 essays with GPT-3 and reported agreement with human raters sufficient to support human evaluators. Yancey et al. (2023) found that GPT-4 with calibration examples performed almost as well as modern automated writing evaluation in rating short L2 essays, although agreement varied by first language. Tate et al. (2024) found that similarity in average AI and human scores could coexist with appreciable disagreement on individual essays, indicating the need for caution when interpreting aggregate agreement as sufficient for low-stakes use. By contrast, Bui and Barrot (2025) found only weak to moderate correlations between ChatGPT and an experienced human rater on 200 argumentative essays, with low consistency across two scoring rounds.</w:t>
      </w:r>
    </w:p>
    <w:p>
      <w:pPr>
        <w:spacing w:after="120" w:line="360"/>
        <w:jc w:val="both"/>
      </w:pPr>
      <w:r>
        <w:rPr>
          <w:rFonts w:ascii="Times New Roman" w:cs="Times New Roman" w:eastAsia="Times New Roman" w:hAnsi="Times New Roman"/>
          <w:sz w:val="24"/>
          <w:szCs w:val="24"/>
        </w:rPr>
        <w:t xml:space="preserve">Repeated scoring does not guarantee repeated scores. Pack et al. (2024) had four LLMs score 119 learner essays on two occasions: GPT-4 showed excellent intrarater reliability, but all models showed performance fluctuations, and agreement with human raters fell slightly over time for GPT-3.5 and GPT-4. Liu et al. (2026) compared five LLMs on 60 essays by non-native university writers and found that some models were highly reproducible across repeated runs and closely aligned with expert raters, while others were inconsistent, compressed scores or underestimated essays. Outside education, setting temperature to zero reduced but did not eliminate non-determinism in ChatGPT code generation (Ouyang et al., 2025), and LLMs configured to be deterministic still varied in accuracy by up to 15% across runs (Atil et al., 2025). Consumer users cannot set temperature at all.</w:t>
      </w:r>
    </w:p>
    <w:p>
      <w:pPr>
        <w:spacing w:after="120" w:line="360"/>
        <w:jc w:val="both"/>
      </w:pPr>
      <w:r>
        <w:rPr>
          <w:rFonts w:ascii="Times New Roman" w:cs="Times New Roman" w:eastAsia="Times New Roman" w:hAnsi="Times New Roman"/>
          <w:sz w:val="24"/>
          <w:szCs w:val="24"/>
        </w:rPr>
        <w:t xml:space="preserve">Scores are sensitive to the prompt and to model change. Several LLMs are highly sensitive to minor prompt formatting (Sclar et al., 2024), and in scoring studies the information supplied in the prompt has affected agreement with human raters (Jin et al., 2025; Sawaki et al., 2025; Yancey et al., 2023). Chen et al. (2024) documented substantial behavioural change in the same LLM service within three months.</w:t>
      </w:r>
    </w:p>
    <w:p>
      <w:pPr>
        <w:spacing w:after="120" w:line="360"/>
        <w:jc w:val="both"/>
      </w:pPr>
      <w:r>
        <w:rPr>
          <w:rFonts w:ascii="Times New Roman" w:cs="Times New Roman" w:eastAsia="Times New Roman" w:hAnsi="Times New Roman"/>
          <w:sz w:val="24"/>
          <w:szCs w:val="24"/>
        </w:rPr>
        <w:t xml:space="preserve">Two recent studies extend this literature to source-based writing. Choi et al. (2026) examined LLM holistic scoring of secondary school students’ argumentative essays, comparing prompts that incorporated grading rubrics, source materials and anchor papers, and found that providing anchor papers significantly improved LLM–human agreement, bringing it closer to human–human reliability. Yun et al. (2026) proposed a knowledge-graph and LLM-based assessment framework that models the reading-to-writing pipeline in source-based writing. LLM scoring of secondary students’ source-based writing, and LLM-based modelling of reading-to-writing, are therefore active areas of research. Neither study, to the author’s knowledge, audits a consumer scorer’s stated justifications for separate reading and writing marks against the source, the student text and the rubric.</w:t>
      </w:r>
    </w:p>
    <w:p>
      <w:pPr>
        <w:spacing w:after="120" w:line="360"/>
        <w:jc w:val="both"/>
      </w:pPr>
      <w:r>
        <w:rPr>
          <w:rFonts w:ascii="Times New Roman" w:cs="Times New Roman" w:eastAsia="Times New Roman" w:hAnsi="Times New Roman"/>
          <w:sz w:val="24"/>
          <w:szCs w:val="24"/>
        </w:rPr>
        <w:t xml:space="preserve">Most of the earlier studies examine independent essays rather than source-based tasks, and report holistic or analytic scores without a separate mark for source comprehension. None of the studies reviewed here, to the author’s knowledge, estimates repeatability and agreement under consumer-subscription access for adolescents’ source-based summaries marked separately for reading and writing; RQ1 and RQ2 address this combination.</w:t>
      </w:r>
    </w:p>
    <w:p>
      <w:pPr>
        <w:pStyle w:val="Heading2"/>
        <w:spacing w:after="120" w:before="240" w:line="360"/>
      </w:pPr>
      <w:r>
        <w:rPr>
          <w:rFonts w:ascii="Times New Roman" w:cs="Times New Roman" w:eastAsia="Times New Roman" w:hAnsi="Times New Roman"/>
          <w:b/>
          <w:bCs/>
          <w:sz w:val="28"/>
          <w:szCs w:val="28"/>
        </w:rPr>
        <w:t xml:space="preserve">2.5 Scoring biases and the case for understanding divergence</w:t>
      </w:r>
    </w:p>
    <w:p>
      <w:pPr>
        <w:spacing w:after="120" w:line="360"/>
        <w:jc w:val="both"/>
      </w:pPr>
      <w:r>
        <w:rPr>
          <w:rFonts w:ascii="Times New Roman" w:cs="Times New Roman" w:eastAsia="Times New Roman" w:hAnsi="Times New Roman"/>
          <w:sz w:val="24"/>
          <w:szCs w:val="24"/>
        </w:rPr>
        <w:t xml:space="preserve">Automated scorers can weight features differently from human raters. Liu et al. (2026) found that most models’ scores were driven by lexical precision and fluency, while others emphasised syntactic complexity. Wu et al. (2026), comparing a GPT-based scorer with 20 human raters on 181 university L2 texts—including summary and translation tasks, assessed without the source texts—across content, organisation, grammar and vocabulary, found the GPT scorer more stable overall but stricter on content and compressed at the upper end of the scale. Such criterion-level differences can be concealed by aggregate agreement. Automated scorers can also reward construct-irrelevant features. Powers et al. (2002) examined circumstances in which e-rater might produce inaccurate evaluations if used as the sole scorer, and Baldwin et al. (2025) showed that strategies a human would recognise as incorrect could inflate LLM scores. LLMs used as judges also show position, verbosity and self-enhancement biases (Zheng et al., 2023). People working with automated aids can fail to detect errors (Parasuraman &amp; Manzey, 2010), and Menze et al. (2026) found more item-writing flaws in items produced through teacher–AI collaboration than in teacher-only items, interpreting this as automation bias.</w:t>
      </w:r>
    </w:p>
    <w:p>
      <w:pPr>
        <w:spacing w:after="120" w:line="360"/>
        <w:jc w:val="both"/>
      </w:pPr>
      <w:r>
        <w:rPr>
          <w:rFonts w:ascii="Times New Roman" w:cs="Times New Roman" w:eastAsia="Times New Roman" w:hAnsi="Times New Roman"/>
          <w:sz w:val="24"/>
          <w:szCs w:val="24"/>
        </w:rPr>
        <w:t xml:space="preserve">These findings motivate the study’s dual approach: aggregate agreement statistics show how much AI and human scores diverge, while the content analysis of rationales examines what justifications the tools offer and how well those justifications hold up against the textual evidence. A teacher who knows only the magnitude of the gap cannot judge whether to trust or override the AI mark; a teacher who also knows the pattern of divergence—for instance, that the tool’s rationales systematically credit fluent but unfaithful summaries—can make a more informed decision.</w:t>
      </w:r>
    </w:p>
    <w:p>
      <w:pPr>
        <w:pStyle w:val="Heading2"/>
        <w:spacing w:after="120" w:before="240" w:line="360"/>
      </w:pPr>
      <w:r>
        <w:rPr>
          <w:rFonts w:ascii="Times New Roman" w:cs="Times New Roman" w:eastAsia="Times New Roman" w:hAnsi="Times New Roman"/>
          <w:b/>
          <w:bCs/>
          <w:sz w:val="28"/>
          <w:szCs w:val="28"/>
        </w:rPr>
        <w:t xml:space="preserve">2.6 Rater-mediated assessment</w:t>
      </w:r>
    </w:p>
    <w:p>
      <w:pPr>
        <w:spacing w:after="120" w:line="360"/>
        <w:jc w:val="both"/>
      </w:pPr>
      <w:r>
        <w:rPr>
          <w:rFonts w:ascii="Times New Roman" w:cs="Times New Roman" w:eastAsia="Times New Roman" w:hAnsi="Times New Roman"/>
          <w:sz w:val="24"/>
          <w:szCs w:val="24"/>
        </w:rPr>
        <w:t xml:space="preserve">Human raters differ systematically, and this can be modelled. Different raters often assign different scores to the same performance (Eckes, 2015; McNamara, 1996). Wind and Peterson (2018), reviewing 259 studies, found a continuing reliance on aggregate inter-rater reliability and argued for diagnostic, rater-specific indicators. Stability of rater characteristics across occasions is an established question for human raters (Lumley &amp; McNamara, 1995). Treating each AI tool as a rater allows its severity and agreement to be compared with human raters using the same statistics.</w:t>
      </w:r>
    </w:p>
    <w:p>
      <w:pPr>
        <w:pStyle w:val="Heading2"/>
        <w:spacing w:after="120" w:before="240" w:line="360"/>
      </w:pPr>
      <w:r>
        <w:rPr>
          <w:rFonts w:ascii="Times New Roman" w:cs="Times New Roman" w:eastAsia="Times New Roman" w:hAnsi="Times New Roman"/>
          <w:b/>
          <w:bCs/>
          <w:sz w:val="28"/>
          <w:szCs w:val="28"/>
        </w:rPr>
        <w:t xml:space="preserve">2.7 Close precursors and the present study’s contribution</w:t>
      </w:r>
    </w:p>
    <w:p>
      <w:pPr>
        <w:spacing w:after="120" w:line="360"/>
        <w:jc w:val="both"/>
      </w:pPr>
      <w:r>
        <w:rPr>
          <w:rFonts w:ascii="Times New Roman" w:cs="Times New Roman" w:eastAsia="Times New Roman" w:hAnsi="Times New Roman"/>
          <w:b/>
          <w:bCs/>
          <w:sz w:val="24"/>
          <w:szCs w:val="24"/>
        </w:rPr>
        <w:t xml:space="preserve">Jiao et al. (2025). </w:t>
      </w:r>
      <w:r>
        <w:rPr>
          <w:rFonts w:ascii="Times New Roman" w:cs="Times New Roman" w:eastAsia="Times New Roman" w:hAnsi="Times New Roman"/>
          <w:sz w:val="24"/>
          <w:szCs w:val="24"/>
        </w:rPr>
        <w:t xml:space="preserve">Jiao et al. compared ten LLMs, including ChatGPT 4o and Claude 3.5 Sonnet, with two certified human raters on 120 AP Chinese Language and Culture essays using QWK, Cronbach’s alpha and many-facet Rasch measurement (MFRM). The study’s limitations include a small sample, a single content domain with generalisation to English writing left for future exploration, only two task types, and a single prompting method. Three further features bear on the present study: the access mode and sampling settings are not reported; no essay is scored repeatedly by the same model; and no model is rescored over time.</w:t>
      </w:r>
    </w:p>
    <w:p>
      <w:pPr>
        <w:spacing w:after="120" w:line="360"/>
        <w:jc w:val="both"/>
      </w:pPr>
      <w:r>
        <w:rPr>
          <w:rFonts w:ascii="Times New Roman" w:cs="Times New Roman" w:eastAsia="Times New Roman" w:hAnsi="Times New Roman"/>
          <w:b/>
          <w:bCs/>
          <w:sz w:val="24"/>
          <w:szCs w:val="24"/>
        </w:rPr>
        <w:t xml:space="preserve">Jin et al. (2025). </w:t>
      </w:r>
      <w:r>
        <w:rPr>
          <w:rFonts w:ascii="Times New Roman" w:cs="Times New Roman" w:eastAsia="Times New Roman" w:hAnsi="Times New Roman"/>
          <w:sz w:val="24"/>
          <w:szCs w:val="24"/>
        </w:rPr>
        <w:t xml:space="preserve">Jin et al. used MFRM to compare four human raters with ChatGPT and Claude, each under zero-shot and few-shot prompting, on English essays by 117 Chinese EFL students. The LLM raters were more severe than the humans, few-shot prompting brought them closer to human severity, and the LLM raters were more internally consistent than the humans.</w:t>
      </w:r>
    </w:p>
    <w:p>
      <w:pPr>
        <w:spacing w:after="120" w:line="360"/>
        <w:jc w:val="both"/>
      </w:pPr>
      <w:r>
        <w:rPr>
          <w:rFonts w:ascii="Times New Roman" w:cs="Times New Roman" w:eastAsia="Times New Roman" w:hAnsi="Times New Roman"/>
          <w:b/>
          <w:bCs/>
          <w:sz w:val="24"/>
          <w:szCs w:val="24"/>
        </w:rPr>
        <w:t xml:space="preserve">Sawaki et al. (2025). </w:t>
      </w:r>
      <w:r>
        <w:rPr>
          <w:rFonts w:ascii="Times New Roman" w:cs="Times New Roman" w:eastAsia="Times New Roman" w:hAnsi="Times New Roman"/>
          <w:sz w:val="24"/>
          <w:szCs w:val="24"/>
        </w:rPr>
        <w:t xml:space="preserve">Sawaki et al. compared instructor and LLM ratings of 97 summaries by Japanese undergraduates on checklist items about topic sentences, under six prompt designs, with five repeated runs per design. Agreement was satisfactory for low-stakes use for some item–prompt combinations, the LLM tended to be harsher where the two disagreed, and the amount of information in the prompt affected agreement more than the order in which rating and rationale were generated. Sawaki et al. also examined the LLM’s rationales to investigate sources of disagreement, identifying problems including inappropriate criterion application and difficulty recognising paraphrase—an analytical approach that the present study extends. This is the closest published evidence on LLM rating of L2 summary content, including repeated scoring.</w:t>
      </w:r>
    </w:p>
    <w:p>
      <w:pPr>
        <w:spacing w:after="120" w:line="360"/>
        <w:jc w:val="both"/>
      </w:pPr>
      <w:r>
        <w:rPr>
          <w:rFonts w:ascii="Times New Roman" w:cs="Times New Roman" w:eastAsia="Times New Roman" w:hAnsi="Times New Roman"/>
          <w:b/>
          <w:bCs/>
          <w:sz w:val="24"/>
          <w:szCs w:val="24"/>
        </w:rPr>
        <w:t xml:space="preserve">Liu et al. (2026) and Wu et al. (2026). </w:t>
      </w:r>
      <w:r>
        <w:rPr>
          <w:rFonts w:ascii="Times New Roman" w:cs="Times New Roman" w:eastAsia="Times New Roman" w:hAnsi="Times New Roman"/>
          <w:sz w:val="24"/>
          <w:szCs w:val="24"/>
        </w:rPr>
        <w:t xml:space="preserve">Two recent studies narrow the gap further. Liu et al. examined reproducibility across repeated runs, alignment with expert raters and the linguistic features driving each model’s scores for university L2 essays. Wu et al. compared a GPT-based scorer with native and non-native human raters on four analytic criteria, assessing texts as standalone writing without their sources, and found criterion-specific differences in severity. Together with Sawaki et al., these studies mean that repeated scoring and criterion-level comparison are not in themselves new; the present study’s distinctiveness lies in how they are combined and applied.</w:t>
      </w:r>
    </w:p>
    <w:p>
      <w:pPr>
        <w:spacing w:after="120" w:line="360"/>
        <w:jc w:val="both"/>
      </w:pPr>
      <w:r>
        <w:rPr>
          <w:rFonts w:ascii="Times New Roman" w:cs="Times New Roman" w:eastAsia="Times New Roman" w:hAnsi="Times New Roman"/>
          <w:b/>
          <w:bCs/>
          <w:sz w:val="24"/>
          <w:szCs w:val="24"/>
        </w:rPr>
        <w:t xml:space="preserve">Choi et al. (2026) and Yun et al. (2026). </w:t>
      </w:r>
      <w:r>
        <w:rPr>
          <w:rFonts w:ascii="Times New Roman" w:cs="Times New Roman" w:eastAsia="Times New Roman" w:hAnsi="Times New Roman"/>
          <w:sz w:val="24"/>
          <w:szCs w:val="24"/>
        </w:rPr>
        <w:t xml:space="preserve">As discussed in Section 2.4, these studies show that LLM scoring of secondary students’ source-based writing, and LLM-based modelling of reading-to-writing, are already under investigation. The present study’s gap is therefore narrower: whether consumer AI scoring preserves a rubric’s separate reading and writing criteria, and how a reproducible audit can identify unsupported or misapplied justifications in selected cases.</w:t>
      </w:r>
    </w:p>
    <w:p>
      <w:pPr>
        <w:spacing w:after="120" w:line="360"/>
        <w:jc w:val="both"/>
      </w:pPr>
      <w:r>
        <w:rPr>
          <w:rFonts w:ascii="Times New Roman" w:cs="Times New Roman" w:eastAsia="Times New Roman" w:hAnsi="Times New Roman"/>
          <w:sz w:val="24"/>
          <w:szCs w:val="24"/>
        </w:rPr>
        <w:t xml:space="preserve">Table 2.1 summarises what each close predecessor establishes and what remains open for the present study.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600"/>
        <w:gridCol w:w="2600"/>
      </w:tblGrid>
      <w:tr>
        <w:trPr>
          <w:tblHeader/>
        </w:trPr>
        <w:tc>
          <w:tcPr>
            <w:tcW w:type="dxa" w:w="1700"/>
            <w:shd w:fill="E8E8E8" w:val="clear"/>
            <w:vAlign w:val="center"/>
          </w:tcPr>
          <w:p>
            <w:pPr>
              <w:keepNext w:val="false"/>
              <w:spacing w:after="60"/>
            </w:pPr>
            <w:r>
              <w:rPr>
                <w:rFonts w:ascii="Times New Roman" w:cs="Times New Roman" w:eastAsia="Times New Roman" w:hAnsi="Times New Roman"/>
                <w:b/>
                <w:bCs/>
                <w:sz w:val="22"/>
                <w:szCs w:val="22"/>
              </w:rPr>
              <w:t xml:space="preserve">Study</w:t>
            </w:r>
          </w:p>
        </w:tc>
        <w:tc>
          <w:tcPr>
            <w:tcW w:type="dxa" w:w="2300"/>
            <w:shd w:fill="E8E8E8" w:val="clear"/>
            <w:vAlign w:val="center"/>
          </w:tcPr>
          <w:p>
            <w:pPr>
              <w:keepNext w:val="false"/>
              <w:spacing w:after="60"/>
            </w:pPr>
            <w:r>
              <w:rPr>
                <w:rFonts w:ascii="Times New Roman" w:cs="Times New Roman" w:eastAsia="Times New Roman" w:hAnsi="Times New Roman"/>
                <w:b/>
                <w:bCs/>
                <w:sz w:val="22"/>
                <w:szCs w:val="22"/>
              </w:rPr>
              <w:t xml:space="preserve">Writers and task</w:t>
            </w:r>
          </w:p>
        </w:tc>
        <w:tc>
          <w:tcPr>
            <w:tcW w:type="dxa" w:w="2600"/>
            <w:shd w:fill="E8E8E8" w:val="clear"/>
            <w:vAlign w:val="center"/>
          </w:tcPr>
          <w:p>
            <w:pPr>
              <w:keepNext w:val="false"/>
              <w:spacing w:after="60"/>
            </w:pPr>
            <w:r>
              <w:rPr>
                <w:rFonts w:ascii="Times New Roman" w:cs="Times New Roman" w:eastAsia="Times New Roman" w:hAnsi="Times New Roman"/>
                <w:b/>
                <w:bCs/>
                <w:sz w:val="22"/>
                <w:szCs w:val="22"/>
              </w:rPr>
              <w:t xml:space="preserve">What it establishes</w:t>
            </w:r>
          </w:p>
        </w:tc>
        <w:tc>
          <w:tcPr>
            <w:tcW w:type="dxa" w:w="2600"/>
            <w:shd w:fill="E8E8E8" w:val="clear"/>
            <w:vAlign w:val="center"/>
          </w:tcPr>
          <w:p>
            <w:pPr>
              <w:keepNext w:val="false"/>
              <w:spacing w:after="60"/>
            </w:pPr>
            <w:r>
              <w:rPr>
                <w:rFonts w:ascii="Times New Roman" w:cs="Times New Roman" w:eastAsia="Times New Roman" w:hAnsi="Times New Roman"/>
                <w:b/>
                <w:bCs/>
                <w:sz w:val="22"/>
                <w:szCs w:val="22"/>
              </w:rPr>
              <w:t xml:space="preserve">What remains open</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Jiao et al. (2025)</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AP Chinese essays (n = 120); ten LLMs</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LLM rater effects compared with certified human raters using MFRM</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Access mode and sampling not reported; no repeated scoring; not English writing</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Jin et al. (2025)</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Essays by Chinese EFL students (n = 117); ChatGPT and Claude</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LLMs more severe but more internally consistent than humans; few-shot prompting brings them closer to human severity</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Essay task, not source-based; no separate reading criterion</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Sawaki et al. (2025)</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Summaries by Japanese undergraduates (n = 97); checklist items on topic sentences</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Repeated runs; prompt information affects agreement; rationales reveal criterion misapplication and paraphrase difficulty</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Checklist items rather than separate reading and writing marks; university writers</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Liu et al. (2026)</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Essays by non-native university writers (n = 60); five LLMs</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Model-specific reproducibility, alignment with experts, and features driving scores</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Essay task, not source-based; university writers; no separate reading criterion</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Choi et al. (2026)</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Secondary school students’ argumentative essays, with source materials; several LLMs including GPT-4o and GPT-4o mini</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Prompts with rubrics, source materials and anchor papers compared; anchor papers significantly improve LLM–human agreement on holistic scores</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Single holistic score; separate reading and writing judgements and scorer justifications are not its focus</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Wu et al. (2026)</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University L2 texts (n = 181), including summary and translation tasks; GPT-based scorer vs 20 human raters</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Criterion-specific severity differences; upper-end score compression</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Source texts withheld from raters; no separate reading criterion assessed</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Yun et al. (2026)</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Source-based writing</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A knowledge-graph and LLM-based assessment framework modelling the reading-to-writing pipeline</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Models students’ understanding of sources rather than auditing the marks and justifications of consumer AI scorers</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Present study</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IGCSE summaries by multilingual adolescents (130–160 scripts); ChatGPT and Claude</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To be established</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Separate reading and writing marks on a source-based task; three passes under consumer-subscription access; two passages; AI claims checked against source, student text and rubric by two independent coders</w:t>
            </w:r>
          </w:p>
        </w:tc>
      </w:tr>
    </w:tbl>
    <w:p>
      <w:pPr>
        <w:spacing w:after="120" w:line="360"/>
        <w:jc w:val="both"/>
      </w:pPr>
      <w:r>
        <w:rPr>
          <w:rFonts w:ascii="Times New Roman" w:cs="Times New Roman" w:eastAsia="Times New Roman" w:hAnsi="Times New Roman"/>
          <w:b/>
          <w:bCs/>
          <w:sz w:val="24"/>
          <w:szCs w:val="24"/>
        </w:rPr>
        <w:t xml:space="preserve">The present study’s contribution. </w:t>
      </w:r>
      <w:r>
        <w:rPr>
          <w:rFonts w:ascii="Times New Roman" w:cs="Times New Roman" w:eastAsia="Times New Roman" w:hAnsi="Times New Roman"/>
          <w:sz w:val="24"/>
          <w:szCs w:val="24"/>
        </w:rPr>
        <w:t xml:space="preserve">The study extends rather than replaces prior work. To the author’s knowledge, no published study combines the following elements:</w:t>
      </w:r>
    </w:p>
    <w:p>
      <w:pPr>
        <w:spacing w:after="60" w:line="360"/>
        <w:ind w:left="720" w:hanging="360"/>
        <w:jc w:val="both"/>
      </w:pPr>
      <w:r>
        <w:rPr>
          <w:rFonts w:ascii="Times New Roman" w:cs="Times New Roman" w:eastAsia="Times New Roman" w:hAnsi="Times New Roman"/>
          <w:sz w:val="24"/>
          <w:szCs w:val="24"/>
        </w:rPr>
        <w:t xml:space="preserve">1. Separate reading and writing marks on an adolescent, source-based task, so that the study can examine whether an AI tool awards plausible marks while misapplying the construct each criterion is intended to measure.</w:t>
      </w:r>
    </w:p>
    <w:p>
      <w:pPr>
        <w:spacing w:after="60" w:line="360"/>
        <w:ind w:left="720" w:hanging="360"/>
        <w:jc w:val="both"/>
      </w:pPr>
      <w:r>
        <w:rPr>
          <w:rFonts w:ascii="Times New Roman" w:cs="Times New Roman" w:eastAsia="Times New Roman" w:hAnsi="Times New Roman"/>
          <w:sz w:val="24"/>
          <w:szCs w:val="24"/>
        </w:rPr>
        <w:t xml:space="preserve">2. Consumer-subscription access with repeated scoring across two passages, providing evidence on the mode of use teachers actually adopt.</w:t>
      </w:r>
    </w:p>
    <w:p>
      <w:pPr>
        <w:spacing w:after="60" w:line="360"/>
        <w:ind w:left="720" w:hanging="360"/>
        <w:jc w:val="both"/>
      </w:pPr>
      <w:r>
        <w:rPr>
          <w:rFonts w:ascii="Times New Roman" w:cs="Times New Roman" w:eastAsia="Times New Roman" w:hAnsi="Times New Roman"/>
          <w:sz w:val="24"/>
          <w:szCs w:val="24"/>
        </w:rPr>
        <w:t xml:space="preserve">3. A structured evidence-checking procedure that tests each AI rationale claim against the source passage, the student text and the applicable rubric descriptor, recording separately whether each claim is supported and whether it is appropriate to the criterion it justifies. This extends Sawaki et al.’s (2025) analytical approach; the procedure is documented for reuse and its consistency is evaluated through inter-coder agreement.</w:t>
      </w:r>
    </w:p>
    <w:p>
      <w:pPr>
        <w:spacing w:after="60" w:line="360"/>
        <w:ind w:left="720" w:hanging="360"/>
        <w:jc w:val="both"/>
      </w:pPr>
      <w:r>
        <w:rPr>
          <w:rFonts w:ascii="Times New Roman" w:cs="Times New Roman" w:eastAsia="Times New Roman" w:hAnsi="Times New Roman"/>
          <w:sz w:val="24"/>
          <w:szCs w:val="24"/>
        </w:rPr>
        <w:t xml:space="preserve">4. Independent dual coding of AI rationales on a shared, pre-segmented claim list, with inter-coder agreement reported.</w:t>
      </w:r>
    </w:p>
    <w:p>
      <w:pPr>
        <w:spacing w:after="120" w:line="360"/>
        <w:jc w:val="both"/>
      </w:pPr>
      <w:r>
        <w:rPr>
          <w:rFonts w:ascii="Times New Roman" w:cs="Times New Roman" w:eastAsia="Times New Roman" w:hAnsi="Times New Roman"/>
          <w:sz w:val="24"/>
          <w:szCs w:val="24"/>
        </w:rPr>
        <w:t xml:space="preserve">The specific models will age; the method need not. The study’s lasting value lies in examining whether apparently agreeing scores are accompanied by defensible justifications, and in documenting and demonstrating a procedure by which criterion-level problems can be identified. Because the protocol is specified in enough detail to be replicated and its materials will be openly deposited (Section 4.2), it can be reapplied to future model versions and adapted for other rubric-based tasks; its performance after adaptation would need its own evaluation.</w:t>
      </w:r>
    </w:p>
    <w:p>
      <w:pPr>
        <w:pStyle w:val="Heading2"/>
        <w:spacing w:after="120" w:before="240" w:line="360"/>
      </w:pPr>
      <w:r>
        <w:rPr>
          <w:rFonts w:ascii="Times New Roman" w:cs="Times New Roman" w:eastAsia="Times New Roman" w:hAnsi="Times New Roman"/>
          <w:b/>
          <w:bCs/>
          <w:sz w:val="28"/>
          <w:szCs w:val="28"/>
        </w:rPr>
        <w:t xml:space="preserve">2.8 Conceptual framework</w:t>
      </w:r>
    </w:p>
    <w:p>
      <w:pPr>
        <w:spacing w:after="120" w:line="360"/>
        <w:jc w:val="both"/>
      </w:pPr>
      <w:r>
        <w:rPr>
          <w:rFonts w:ascii="Times New Roman" w:cs="Times New Roman" w:eastAsia="Times New Roman" w:hAnsi="Times New Roman"/>
          <w:sz w:val="24"/>
          <w:szCs w:val="24"/>
        </w:rPr>
        <w:t xml:space="preserve">The study adopts an argument-based view of validity (AERA et al., 2014; Kane, 2013; Messick, 1989), in which a teacher’s use of an AI mark rests on a chain of inferences. Each research question supplies evidence for one or more inferences, and the synthesis draws the evidence together.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600"/>
      </w:tblGrid>
      <w:tr>
        <w:trPr>
          <w:tblHeader/>
        </w:trPr>
        <w:tc>
          <w:tcPr>
            <w:tcW w:type="dxa" w:w="2000"/>
            <w:shd w:fill="E8E8E8" w:val="clear"/>
            <w:vAlign w:val="center"/>
          </w:tcPr>
          <w:p>
            <w:pPr>
              <w:keepNext w:val="false"/>
              <w:spacing w:after="60"/>
            </w:pPr>
            <w:r>
              <w:rPr>
                <w:rFonts w:ascii="Times New Roman" w:cs="Times New Roman" w:eastAsia="Times New Roman" w:hAnsi="Times New Roman"/>
                <w:b/>
                <w:bCs/>
                <w:sz w:val="22"/>
                <w:szCs w:val="22"/>
              </w:rPr>
              <w:t xml:space="preserve">Inference (Kane, 2013; Xi, 2010)</w:t>
            </w:r>
          </w:p>
        </w:tc>
        <w:tc>
          <w:tcPr>
            <w:tcW w:type="dxa" w:w="2400"/>
            <w:shd w:fill="E8E8E8" w:val="clear"/>
            <w:vAlign w:val="center"/>
          </w:tcPr>
          <w:p>
            <w:pPr>
              <w:keepNext w:val="false"/>
              <w:spacing w:after="60"/>
            </w:pPr>
            <w:r>
              <w:rPr>
                <w:rFonts w:ascii="Times New Roman" w:cs="Times New Roman" w:eastAsia="Times New Roman" w:hAnsi="Times New Roman"/>
                <w:b/>
                <w:bCs/>
                <w:sz w:val="22"/>
                <w:szCs w:val="22"/>
              </w:rPr>
              <w:t xml:space="preserve">Claim to be supported</w:t>
            </w:r>
          </w:p>
        </w:tc>
        <w:tc>
          <w:tcPr>
            <w:tcW w:type="dxa" w:w="2200"/>
            <w:shd w:fill="E8E8E8" w:val="clear"/>
            <w:vAlign w:val="center"/>
          </w:tcPr>
          <w:p>
            <w:pPr>
              <w:keepNext w:val="false"/>
              <w:spacing w:after="60"/>
            </w:pPr>
            <w:r>
              <w:rPr>
                <w:rFonts w:ascii="Times New Roman" w:cs="Times New Roman" w:eastAsia="Times New Roman" w:hAnsi="Times New Roman"/>
                <w:b/>
                <w:bCs/>
                <w:sz w:val="22"/>
                <w:szCs w:val="22"/>
              </w:rPr>
              <w:t xml:space="preserve">Evidence (RQ)</w:t>
            </w:r>
          </w:p>
        </w:tc>
        <w:tc>
          <w:tcPr>
            <w:tcW w:type="dxa" w:w="2600"/>
            <w:shd w:fill="E8E8E8" w:val="clear"/>
            <w:vAlign w:val="center"/>
          </w:tcPr>
          <w:p>
            <w:pPr>
              <w:keepNext w:val="false"/>
              <w:spacing w:after="60"/>
            </w:pPr>
            <w:r>
              <w:rPr>
                <w:rFonts w:ascii="Times New Roman" w:cs="Times New Roman" w:eastAsia="Times New Roman" w:hAnsi="Times New Roman"/>
                <w:b/>
                <w:bCs/>
                <w:sz w:val="22"/>
                <w:szCs w:val="22"/>
              </w:rPr>
              <w:t xml:space="preserve">Failure that would undermine the claim</w:t>
            </w:r>
          </w:p>
        </w:tc>
      </w:tr>
      <w:tr>
        <w:trPr>
          <w:cantSplit/>
        </w:trPr>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Scoring: stability</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The AI mark does not depend on the occasion of submission</w:t>
            </w:r>
          </w:p>
        </w:tc>
        <w:tc>
          <w:tcPr>
            <w:tcW w:type="dxa" w:w="2200"/>
            <w:vAlign w:val="center"/>
          </w:tcPr>
          <w:p>
            <w:pPr>
              <w:keepNext w:val="false"/>
              <w:keepLines w:val="false"/>
              <w:spacing w:after="60"/>
            </w:pPr>
            <w:r>
              <w:rPr>
                <w:rFonts w:ascii="Times New Roman" w:cs="Times New Roman" w:eastAsia="Times New Roman" w:hAnsi="Times New Roman"/>
                <w:sz w:val="22"/>
                <w:szCs w:val="22"/>
              </w:rPr>
              <w:t xml:space="preserve">Pass-to-pass consistency (RQ1)</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Single runs disagree beyond a tolerable range</w:t>
            </w:r>
          </w:p>
        </w:tc>
      </w:tr>
      <w:tr>
        <w:trPr>
          <w:cantSplit/>
        </w:trPr>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Scoring: agreement with human ratings</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The mark agrees with trained human judgement about as well as humans agree with each other</w:t>
            </w:r>
          </w:p>
        </w:tc>
        <w:tc>
          <w:tcPr>
            <w:tcW w:type="dxa" w:w="2200"/>
            <w:vAlign w:val="center"/>
          </w:tcPr>
          <w:p>
            <w:pPr>
              <w:keepNext w:val="false"/>
              <w:keepLines w:val="false"/>
              <w:spacing w:after="60"/>
            </w:pPr>
            <w:r>
              <w:rPr>
                <w:rFonts w:ascii="Times New Roman" w:cs="Times New Roman" w:eastAsia="Times New Roman" w:hAnsi="Times New Roman"/>
                <w:sz w:val="22"/>
                <w:szCs w:val="22"/>
              </w:rPr>
              <w:t xml:space="preserve">Agreement and correction gap (RQ2)</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Systematic leniency or severity by criterion, score level or passage</w:t>
            </w:r>
          </w:p>
        </w:tc>
      </w:tr>
      <w:tr>
        <w:trPr>
          <w:cantSplit/>
        </w:trPr>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Scoring: passage comparability</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The tool’s scoring properties are comparable across passages within the same task type</w:t>
            </w:r>
          </w:p>
        </w:tc>
        <w:tc>
          <w:tcPr>
            <w:tcW w:type="dxa" w:w="2200"/>
            <w:vAlign w:val="center"/>
          </w:tcPr>
          <w:p>
            <w:pPr>
              <w:keepNext w:val="false"/>
              <w:keepLines w:val="false"/>
              <w:spacing w:after="60"/>
            </w:pPr>
            <w:r>
              <w:rPr>
                <w:rFonts w:ascii="Times New Roman" w:cs="Times New Roman" w:eastAsia="Times New Roman" w:hAnsi="Times New Roman"/>
                <w:sz w:val="22"/>
                <w:szCs w:val="22"/>
              </w:rPr>
              <w:t xml:space="preserve">Passage effects (RQ1, RQ2)</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Consistency or agreement differs substantially between passages</w:t>
            </w:r>
          </w:p>
        </w:tc>
      </w:tr>
      <w:tr>
        <w:trPr>
          <w:cantSplit/>
        </w:trPr>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Scoring: construct representation</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The AI mark reflects the construct the rubric targets, not construct-irrelevant features</w:t>
            </w:r>
          </w:p>
        </w:tc>
        <w:tc>
          <w:tcPr>
            <w:tcW w:type="dxa" w:w="2200"/>
            <w:vAlign w:val="center"/>
          </w:tcPr>
          <w:p>
            <w:pPr>
              <w:keepNext w:val="false"/>
              <w:keepLines w:val="false"/>
              <w:spacing w:after="60"/>
            </w:pPr>
            <w:r>
              <w:rPr>
                <w:rFonts w:ascii="Times New Roman" w:cs="Times New Roman" w:eastAsia="Times New Roman" w:hAnsi="Times New Roman"/>
                <w:sz w:val="22"/>
                <w:szCs w:val="22"/>
              </w:rPr>
              <w:t xml:space="preserve">Scoring correction gap examined (RQ3)</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AI rationales in the selected cases show misapplication of the rubric, confusion of reading and writing constructs, or penalisation of communicatively effective language features</w:t>
            </w:r>
          </w:p>
        </w:tc>
      </w:tr>
      <w:tr>
        <w:trPr>
          <w:cantSplit/>
        </w:trPr>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Decision</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The teacher may retain their mark, or review a flagged discrepancy, based on the evidence</w:t>
            </w:r>
          </w:p>
        </w:tc>
        <w:tc>
          <w:tcPr>
            <w:tcW w:type="dxa" w:w="2200"/>
            <w:vAlign w:val="center"/>
          </w:tcPr>
          <w:p>
            <w:pPr>
              <w:keepNext w:val="false"/>
              <w:keepLines w:val="false"/>
              <w:spacing w:after="60"/>
            </w:pPr>
            <w:r>
              <w:rPr>
                <w:rFonts w:ascii="Times New Roman" w:cs="Times New Roman" w:eastAsia="Times New Roman" w:hAnsi="Times New Roman"/>
                <w:sz w:val="22"/>
                <w:szCs w:val="22"/>
              </w:rPr>
              <w:t xml:space="preserve">Synthesis (RQ1–RQ3)</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Not tested in this study; the synthesis informs further evaluation of this inference</w:t>
            </w:r>
          </w:p>
        </w:tc>
      </w:tr>
    </w:tbl>
    <w:p>
      <w:pPr>
        <w:spacing w:after="200" w:line="360"/>
        <w:jc w:val="both"/>
      </w:pPr>
      <w:r>
        <w:rPr>
          <w:rFonts w:ascii="Times New Roman" w:cs="Times New Roman" w:eastAsia="Times New Roman" w:hAnsi="Times New Roman"/>
          <w:sz w:val="24"/>
          <w:szCs w:val="24"/>
        </w:rPr>
        <w:t xml:space="preserve">The addition of construct representation as a separate inference, evidenced through the scoring correction gap analysis (RQ3), distinguishes this framework from a purely statistical agreement study. Agreement can be high while the basis for agreement differs between human and AI raters; where it does, the AI mark may fail on different scripts in unpredictable ways. The reading–writing criterion-separation analysis examines this directly for multilingual learners, focusing on whether the AI tools confuse reading and writing constructs or penalise communicatively effective language features.</w:t>
      </w:r>
    </w:p>
    <w:p>
      <w:pPr>
        <w:pStyle w:val="Heading1"/>
        <w:pageBreakBefore/>
        <w:spacing w:after="120" w:before="0" w:line="360"/>
      </w:pPr>
      <w:r>
        <w:rPr>
          <w:rFonts w:ascii="Times New Roman" w:cs="Times New Roman" w:eastAsia="Times New Roman" w:hAnsi="Times New Roman"/>
          <w:b/>
          <w:bCs/>
          <w:sz w:val="32"/>
          <w:szCs w:val="32"/>
        </w:rPr>
        <w:t xml:space="preserve">Chapter 3. Methodology</w:t>
      </w:r>
    </w:p>
    <w:p>
      <w:pPr>
        <w:pStyle w:val="Heading2"/>
        <w:spacing w:after="120" w:before="240" w:line="360"/>
      </w:pPr>
      <w:r>
        <w:rPr>
          <w:rFonts w:ascii="Times New Roman" w:cs="Times New Roman" w:eastAsia="Times New Roman" w:hAnsi="Times New Roman"/>
          <w:b/>
          <w:bCs/>
          <w:sz w:val="28"/>
          <w:szCs w:val="28"/>
        </w:rPr>
        <w:t xml:space="preserve">3.1 Research design</w:t>
      </w:r>
    </w:p>
    <w:p>
      <w:pPr>
        <w:spacing w:after="120" w:line="360"/>
        <w:jc w:val="both"/>
      </w:pPr>
      <w:r>
        <w:rPr>
          <w:rFonts w:ascii="Times New Roman" w:cs="Times New Roman" w:eastAsia="Times New Roman" w:hAnsi="Times New Roman"/>
          <w:sz w:val="24"/>
          <w:szCs w:val="24"/>
        </w:rPr>
        <w:t xml:space="preserve">The study uses a quantitative design with a focused qualitative component. Each student writes one script for each passage (A, B), so scripts are nested within students and passage is a within-student factor; each script answers one passage only. Every script is scored by both tools (ChatGPT, Claude) in three passes under the rubric-embedded framing, so tool and pass are crossed within each script. Three passes, rather than two, provide a within-script variance estimate based on three data points per script rather than a single difference, strengthening the precision of the pass-to-pass consistency analysis (RQ1). Human ratings are the reference for comparison, but neither human rater is treated as ground truth. The analysis plan will be preregistered on the Open Science Framework (OSF) before main-study data collection begins (pilot data inform the plan), so that confirmatory and exploratory analyses are distinguished (Nosek et al., 2018).</w:t>
      </w:r>
    </w:p>
    <w:p>
      <w:pPr>
        <w:pStyle w:val="Heading2"/>
        <w:spacing w:after="120" w:before="240" w:line="360"/>
      </w:pPr>
      <w:r>
        <w:rPr>
          <w:rFonts w:ascii="Times New Roman" w:cs="Times New Roman" w:eastAsia="Times New Roman" w:hAnsi="Times New Roman"/>
          <w:b/>
          <w:bCs/>
          <w:sz w:val="28"/>
          <w:szCs w:val="28"/>
        </w:rPr>
        <w:t xml:space="preserve">3.2 Setting, participants and corpus</w:t>
      </w:r>
    </w:p>
    <w:p>
      <w:pPr>
        <w:spacing w:after="120" w:line="360"/>
        <w:jc w:val="both"/>
      </w:pPr>
      <w:r>
        <w:rPr>
          <w:rFonts w:ascii="Times New Roman" w:cs="Times New Roman" w:eastAsia="Times New Roman" w:hAnsi="Times New Roman"/>
          <w:b/>
          <w:bCs/>
          <w:sz w:val="24"/>
          <w:szCs w:val="24"/>
        </w:rPr>
        <w:t xml:space="preserve">Setting and participants. </w:t>
      </w:r>
      <w:r>
        <w:rPr>
          <w:rFonts w:ascii="Times New Roman" w:cs="Times New Roman" w:eastAsia="Times New Roman" w:hAnsi="Times New Roman"/>
          <w:sz w:val="24"/>
          <w:szCs w:val="24"/>
        </w:rPr>
        <w:t xml:space="preserve">The study will take place at the candidate’s school in Erbil, Kurdistan Region of Iraq, where he has taught IGCSE since 2019. Participants will be students in the four IGCSE classes he teaches, all entered for 0500 First Language English; the expected number is 65–80, known exactly only in the collection year (2027–28).</w:t>
      </w:r>
    </w:p>
    <w:p>
      <w:pPr>
        <w:spacing w:after="120" w:line="360"/>
        <w:jc w:val="both"/>
      </w:pPr>
      <w:r>
        <w:rPr>
          <w:rFonts w:ascii="Times New Roman" w:cs="Times New Roman" w:eastAsia="Times New Roman" w:hAnsi="Times New Roman"/>
          <w:b/>
          <w:bCs/>
          <w:sz w:val="24"/>
          <w:szCs w:val="24"/>
        </w:rPr>
        <w:t xml:space="preserve">Corpus. </w:t>
      </w:r>
      <w:r>
        <w:rPr>
          <w:rFonts w:ascii="Times New Roman" w:cs="Times New Roman" w:eastAsia="Times New Roman" w:hAnsi="Times New Roman"/>
          <w:sz w:val="24"/>
          <w:szCs w:val="24"/>
        </w:rPr>
        <w:t xml:space="preserve">Each student will write two handwritten summaries—one per passage—in separate class sessions on different days. Within each class, students will be randomly assigned to write Passage A first and Passage B second, or Passage B first and Passage A second (counterbalanced order). Scripts will be collected immediately after writing. An external anonymiser will replace names with codes and type each script verbatim, so that the candidate never sees the handwriting. The anonymiser will also remove any identifying references students may include in their writing (e.g., personal names, school name, teacher references, identifiable personal anecdotes), replacing them with neutral placeholder text (e.g., [name removed]), reducing the likelihood that the candidate or the second rater can identify individual students from writing content. This supplements the code-based anonymisation and strengthens blinding given the candidate’s dual role as teacher and Rater 1. Transcription follows these rules: crossed-out text is retained and marked [crossed out]; illegible text is marked [illegible]; spelling and punctuation are reproduced exactly as written. For marking purposes: text marked [crossed out] is excluded from the word count and is not credited. Text marked [illegible] is likewise excluded from the word count; human raters note [illegible] passages when they affect creditability of content. These rules will be stated in the human rating guide and in the AI prompt framing. A week later, the anonymiser will re-check all typed scripts against the originals before the corpus is frozen; the candidate never performs this check. All human marking will be done on the typed copies. The typed scripts then form a frozen corpus.</w:t>
      </w:r>
    </w:p>
    <w:p>
      <w:pPr>
        <w:pStyle w:val="Heading2"/>
        <w:spacing w:after="120" w:before="240" w:line="360"/>
      </w:pPr>
      <w:r>
        <w:rPr>
          <w:rFonts w:ascii="Times New Roman" w:cs="Times New Roman" w:eastAsia="Times New Roman" w:hAnsi="Times New Roman"/>
          <w:b/>
          <w:bCs/>
          <w:sz w:val="28"/>
          <w:szCs w:val="28"/>
        </w:rPr>
        <w:t xml:space="preserve">3.3 Instruments</w:t>
      </w:r>
    </w:p>
    <w:p>
      <w:pPr>
        <w:spacing w:after="120" w:line="360"/>
        <w:jc w:val="both"/>
      </w:pPr>
      <w:r>
        <w:rPr>
          <w:rFonts w:ascii="Times New Roman" w:cs="Times New Roman" w:eastAsia="Times New Roman" w:hAnsi="Times New Roman"/>
          <w:b/>
          <w:bCs/>
          <w:sz w:val="24"/>
          <w:szCs w:val="24"/>
        </w:rPr>
        <w:t xml:space="preserve">Source passages. </w:t>
      </w:r>
      <w:r>
        <w:rPr>
          <w:rFonts w:ascii="Times New Roman" w:cs="Times New Roman" w:eastAsia="Times New Roman" w:hAnsi="Times New Roman"/>
          <w:sz w:val="24"/>
          <w:szCs w:val="24"/>
        </w:rPr>
        <w:t xml:space="preserve">Two original, non-fiction passages (Passage A and Passage B), each of about 300–400 words, written by the candidate and modelled on the 0500 Paper 1 text type, will each contain a clear, countable set of content points and some irrelevant detail, so that selection is actually tested. Original passages have the fewest limitations of the available options: there is no copyright question, as unpublished original texts they are unlikely to appear in any model’s training data at the time of first submission, no published mark scheme exists for a model to have memorised, and the content points are fully controlled. The two passages will differ in topic and text structure so that passage effects, if present, are interpretable.</w:t>
      </w:r>
    </w:p>
    <w:p>
      <w:pPr>
        <w:spacing w:after="120" w:line="360"/>
        <w:jc w:val="both"/>
      </w:pPr>
      <w:r>
        <w:rPr>
          <w:rFonts w:ascii="Times New Roman" w:cs="Times New Roman" w:eastAsia="Times New Roman" w:hAnsi="Times New Roman"/>
          <w:b/>
          <w:bCs/>
          <w:sz w:val="24"/>
          <w:szCs w:val="24"/>
        </w:rPr>
        <w:t xml:space="preserve">Structured passage-authenticity check. </w:t>
      </w:r>
      <w:r>
        <w:rPr>
          <w:rFonts w:ascii="Times New Roman" w:cs="Times New Roman" w:eastAsia="Times New Roman" w:hAnsi="Times New Roman"/>
          <w:sz w:val="24"/>
          <w:szCs w:val="24"/>
        </w:rPr>
        <w:t xml:space="preserve">Because both study passages are researcher-written, a structured authenticity check will be conducted. Two or three experienced IGCSE colleagues will independently rate both study passages and two or three real published 0500 passages (from pre-2027 examination years) on a short structured rubric covering difficulty, text type, content-point density, vocabulary level and length. The colleagues’ ratings will be compared to provide evidence that the study passages are comparable with authentic examination passages. Each passage will also be compared with the specimen Text B for the 2027–2029 syllabus and with the 0500 reading level. The real exam passages are used only in this human comparison exercise and are never submitted to any AI tool.</w:t>
      </w:r>
    </w:p>
    <w:p>
      <w:pPr>
        <w:spacing w:after="120" w:line="360"/>
        <w:jc w:val="both"/>
      </w:pPr>
      <w:r>
        <w:rPr>
          <w:rFonts w:ascii="Times New Roman" w:cs="Times New Roman" w:eastAsia="Times New Roman" w:hAnsi="Times New Roman"/>
          <w:b/>
          <w:bCs/>
          <w:sz w:val="24"/>
          <w:szCs w:val="24"/>
        </w:rPr>
        <w:t xml:space="preserve">Task wording. </w:t>
      </w:r>
      <w:r>
        <w:rPr>
          <w:rFonts w:ascii="Times New Roman" w:cs="Times New Roman" w:eastAsia="Times New Roman" w:hAnsi="Times New Roman"/>
          <w:sz w:val="24"/>
          <w:szCs w:val="24"/>
        </w:rPr>
        <w:t xml:space="preserve">The task for each passage will follow the Question 2(a) format: a stated focus, continuous writing in the candidate’s own words and no more than 120 words (Cambridge International Education, 2024c), confirmed against the 2027–2029 specimen materials.</w:t>
      </w:r>
    </w:p>
    <w:p>
      <w:pPr>
        <w:spacing w:after="120" w:line="360"/>
        <w:jc w:val="both"/>
      </w:pPr>
      <w:r>
        <w:rPr>
          <w:rFonts w:ascii="Times New Roman" w:cs="Times New Roman" w:eastAsia="Times New Roman" w:hAnsi="Times New Roman"/>
          <w:b/>
          <w:bCs/>
          <w:sz w:val="24"/>
          <w:szCs w:val="24"/>
        </w:rPr>
        <w:t xml:space="preserve">Study rubric and reading keys. </w:t>
      </w:r>
      <w:r>
        <w:rPr>
          <w:rFonts w:ascii="Times New Roman" w:cs="Times New Roman" w:eastAsia="Times New Roman" w:hAnsi="Times New Roman"/>
          <w:sz w:val="24"/>
          <w:szCs w:val="24"/>
        </w:rPr>
        <w:t xml:space="preserve">The candidate will write a study rubric that mirrors Question 2(a) and contains no verbatim Cambridge text. It is modelled on the Question 2(a) marking tables in the 2027 specimen mark scheme (Cambridge International Education, 2024b). The rubric has two separate components:</w:t>
      </w:r>
    </w:p>
    <w:p>
      <w:pPr>
        <w:spacing w:after="120" w:line="360"/>
        <w:jc w:val="both"/>
      </w:pPr>
      <w:r>
        <w:rPr>
          <w:rFonts w:ascii="Times New Roman" w:cs="Times New Roman" w:eastAsia="Times New Roman" w:hAnsi="Times New Roman"/>
          <w:i/>
          <w:iCs/>
          <w:sz w:val="24"/>
          <w:szCs w:val="24"/>
        </w:rPr>
        <w:t xml:space="preserve">Holistic reading mark (out of 10). </w:t>
      </w:r>
      <w:r>
        <w:rPr>
          <w:rFonts w:ascii="Times New Roman" w:cs="Times New Roman" w:eastAsia="Times New Roman" w:hAnsi="Times New Roman"/>
          <w:sz w:val="24"/>
          <w:szCs w:val="24"/>
        </w:rPr>
        <w:t xml:space="preserve">Reading is marked holistically through five level-descriptor bands, parallel to Cambridge’s Table A reading bands for Q2(a). The bands assess the range of relevant ideas the candidate demonstrates understanding of, focus on the text and task, and selection—from indiscriminate selection or excess material at lower levels to skilful selection that demonstrates an overview at the top. Each band covers two marks (Level 5: 9–10 down to Level 1: 1–2), with 0 for no creditable content. This holistic reading mark is the score analysed in all RQs.</w:t>
      </w:r>
    </w:p>
    <w:p>
      <w:pPr>
        <w:spacing w:after="120" w:line="360"/>
        <w:jc w:val="both"/>
      </w:pPr>
      <w:r>
        <w:rPr>
          <w:rFonts w:ascii="Times New Roman" w:cs="Times New Roman" w:eastAsia="Times New Roman" w:hAnsi="Times New Roman"/>
          <w:i/>
          <w:iCs/>
          <w:sz w:val="24"/>
          <w:szCs w:val="24"/>
        </w:rPr>
        <w:t xml:space="preserve">Reading key. </w:t>
      </w:r>
      <w:r>
        <w:rPr>
          <w:rFonts w:ascii="Times New Roman" w:cs="Times New Roman" w:eastAsia="Times New Roman" w:hAnsi="Times New Roman"/>
          <w:sz w:val="24"/>
          <w:szCs w:val="24"/>
        </w:rPr>
        <w:t xml:space="preserve">A separate reading key will be prepared for each passage. Each reading key lists the acceptable content points for that passage and will be included in the rubric-embedded prompt as a guide to what the passage offers. It informs holistic judgement but is not converted into a point-count score.</w:t>
      </w:r>
    </w:p>
    <w:p>
      <w:pPr>
        <w:spacing w:after="120" w:line="360"/>
        <w:jc w:val="both"/>
      </w:pPr>
      <w:r>
        <w:rPr>
          <w:rFonts w:ascii="Times New Roman" w:cs="Times New Roman" w:eastAsia="Times New Roman" w:hAnsi="Times New Roman"/>
          <w:i/>
          <w:iCs/>
          <w:sz w:val="24"/>
          <w:szCs w:val="24"/>
        </w:rPr>
        <w:t xml:space="preserve">Writing mark (out of 5). </w:t>
      </w:r>
      <w:r>
        <w:rPr>
          <w:rFonts w:ascii="Times New Roman" w:cs="Times New Roman" w:eastAsia="Times New Roman" w:hAnsi="Times New Roman"/>
          <w:sz w:val="24"/>
          <w:szCs w:val="24"/>
        </w:rPr>
        <w:t xml:space="preserve">The writing mark is awarded through three level-descriptor bands parallel to Cambridge’s Table B (Level 3: 4–5; Level 2: 2–3; Level 1: 1), with 0 for no creditable content. The bands address clarity and fluency of expression, effectiveness of organisation, and concise use of a range of appropriate vocabulary, with reliance on the words of the text and lifted sections characterising the lower levels. The same writing rubric applies to both passages.</w:t>
      </w:r>
    </w:p>
    <w:p>
      <w:pPr>
        <w:spacing w:after="120" w:line="360"/>
        <w:jc w:val="both"/>
      </w:pPr>
      <w:r>
        <w:rPr>
          <w:rFonts w:ascii="Times New Roman" w:cs="Times New Roman" w:eastAsia="Times New Roman" w:hAnsi="Times New Roman"/>
          <w:sz w:val="24"/>
          <w:szCs w:val="24"/>
        </w:rPr>
        <w:t xml:space="preserve">Each reading key will be drafted by the candidate and checked by the colleague. The full study rubric, including level descriptors and both reading keys, will be included as an appendix in the submitted proposal once the passages have been written.</w:t>
      </w:r>
    </w:p>
    <w:p>
      <w:pPr>
        <w:spacing w:after="120" w:line="360"/>
        <w:jc w:val="both"/>
      </w:pPr>
      <w:r>
        <w:rPr>
          <w:rFonts w:ascii="Times New Roman" w:cs="Times New Roman" w:eastAsia="Times New Roman" w:hAnsi="Times New Roman"/>
          <w:b/>
          <w:bCs/>
          <w:sz w:val="24"/>
          <w:szCs w:val="24"/>
        </w:rPr>
        <w:t xml:space="preserve">Rubric-to-criterion mapping. </w:t>
      </w:r>
      <w:r>
        <w:rPr>
          <w:rFonts w:ascii="Times New Roman" w:cs="Times New Roman" w:eastAsia="Times New Roman" w:hAnsi="Times New Roman"/>
          <w:sz w:val="24"/>
          <w:szCs w:val="24"/>
        </w:rPr>
        <w:t xml:space="preserve">Because the study evaluates AI scoring against an IGCSE-aligned study rubric rather than Cambridge’s own instrument, the rubric must be shown to preserve the Cambridge criteria. The candidate will prepare a criterion-mapping table (draft in Appendix C) linking each study descriptor to the Cambridge reading or writing criterion it preserves. Two of the IGCSE colleagues involved in the passage-authenticity check will independently judge each mapping as full, partial or absent, with a brief comment. Any descriptor judged partial or absent by either colleague will be revised and re-reviewed before the pilot. This step matters for RQ3: the study can classify an AI judgement as construct confusion only if the study rubric places each quality under the same criterion as Cambridge does.</w:t>
      </w:r>
    </w:p>
    <w:p>
      <w:pPr>
        <w:pStyle w:val="Heading2"/>
        <w:spacing w:after="120" w:before="240" w:line="360"/>
      </w:pPr>
      <w:r>
        <w:rPr>
          <w:rFonts w:ascii="Times New Roman" w:cs="Times New Roman" w:eastAsia="Times New Roman" w:hAnsi="Times New Roman"/>
          <w:b/>
          <w:bCs/>
          <w:sz w:val="28"/>
          <w:szCs w:val="28"/>
        </w:rPr>
        <w:t xml:space="preserve">3.4 Human rating</w:t>
      </w:r>
    </w:p>
    <w:p>
      <w:pPr>
        <w:spacing w:after="120" w:line="360"/>
        <w:jc w:val="both"/>
      </w:pPr>
      <w:r>
        <w:rPr>
          <w:rFonts w:ascii="Times New Roman" w:cs="Times New Roman" w:eastAsia="Times New Roman" w:hAnsi="Times New Roman"/>
          <w:sz w:val="24"/>
          <w:szCs w:val="24"/>
        </w:rPr>
        <w:t xml:space="preserve">Two human raters will mark every script on both passages: Rater 1 is the candidate, an IGCSE teacher since 2019 and an NCUK EAP examiner and moderator; Rater 2 is an experienced IGCSE colleague.</w:t>
      </w:r>
    </w:p>
    <w:p>
      <w:pPr>
        <w:spacing w:after="120" w:line="360"/>
        <w:jc w:val="both"/>
      </w:pPr>
      <w:r>
        <w:rPr>
          <w:rFonts w:ascii="Times New Roman" w:cs="Times New Roman" w:eastAsia="Times New Roman" w:hAnsi="Times New Roman"/>
          <w:b/>
          <w:bCs/>
          <w:sz w:val="24"/>
          <w:szCs w:val="24"/>
        </w:rPr>
        <w:t xml:space="preserve">Calibration. </w:t>
      </w:r>
      <w:r>
        <w:rPr>
          <w:rFonts w:ascii="Times New Roman" w:cs="Times New Roman" w:eastAsia="Times New Roman" w:hAnsi="Times New Roman"/>
          <w:sz w:val="24"/>
          <w:szCs w:val="24"/>
        </w:rPr>
        <w:t xml:space="preserve">Before formal marking begins, both raters will independently mark a small practice set of 5–8 scripts (drawn from previous years or from publicly available student summary writing, not from the study cohort) using the study rubric. They will then meet to compare their marks, discuss disagreements and reach a shared understanding of the rubric’s application. This calibration exercise is not a reliability measure; it is a preparatory step to align rubric interpretation before formal marking begins. If the live pilot (Section 3.6) reveals H1–H2 agreement below ICC(A,1) = .60 on either the reading or the writing mark, a second calibration round will be conducted using additional practice scripts and focused rubric discussion before main-study marking. Because the pilot contains only 10–15 scripts, this estimate is imprecise; it is used as a signal for further calibration, not as a reliability estimate. The total mark is not a separate trigger because it is the sum of the two. This aims to bring the human benchmark to the study’s minimum reliability threshold before the main corpus is marked.</w:t>
      </w:r>
    </w:p>
    <w:p>
      <w:pPr>
        <w:spacing w:after="120" w:line="360"/>
        <w:jc w:val="both"/>
      </w:pPr>
      <w:r>
        <w:rPr>
          <w:rFonts w:ascii="Times New Roman" w:cs="Times New Roman" w:eastAsia="Times New Roman" w:hAnsi="Times New Roman"/>
          <w:b/>
          <w:bCs/>
          <w:sz w:val="24"/>
          <w:szCs w:val="24"/>
        </w:rPr>
        <w:t xml:space="preserve">Formal marking. </w:t>
      </w:r>
      <w:r>
        <w:rPr>
          <w:rFonts w:ascii="Times New Roman" w:cs="Times New Roman" w:eastAsia="Times New Roman" w:hAnsi="Times New Roman"/>
          <w:sz w:val="24"/>
          <w:szCs w:val="24"/>
        </w:rPr>
        <w:t xml:space="preserve">Both raters will use the study rubric and the appropriate reading key for each passage, marking independently, blind to each other and to all AI scores, in random order, after all scripts have been typed and coded. To further mitigate the candidate’s familiarity with student writing, formal marking by both raters will begin no earlier than four weeks after the last writing session, increasing the temporal distance between classroom interaction and blind assessment of anonymised, typed scripts. After independent formal marking is complete, raters will discuss scripts on which their total marks diverge by three or more marks; their original independent marks are retained for all analyses regardless of the discussion outcome. All human marks will be locked before any AI scoring.</w:t>
      </w:r>
    </w:p>
    <w:p>
      <w:pPr>
        <w:spacing w:after="120" w:line="360"/>
        <w:jc w:val="both"/>
      </w:pPr>
      <w:r>
        <w:rPr>
          <w:rFonts w:ascii="Times New Roman" w:cs="Times New Roman" w:eastAsia="Times New Roman" w:hAnsi="Times New Roman"/>
          <w:sz w:val="24"/>
          <w:szCs w:val="24"/>
        </w:rPr>
        <w:t xml:space="preserve">If the H1–H2 ICC(A,1) on the reading mark, writing mark or total score falls below .60 for a given criterion on a given passage, this will be reported as a study limitation and the descriptive evidence base will note that the human benchmark for that criterion on that passage did not meet the study’s minimum threshold. AI scoring and the prespecified RQ1–RQ2 analyses will still be reported for all criteria. The .60 threshold is a study-specific design choice: Koo and Li (2016) place moderate reliability from .50; .60 is a more conservative floor. If the total-score human agreement falls below .60 but reading and writing each meet the threshold, the component-level agreement findings remain reportable; only the total-score agreement finding is qualified as resting on a weak human benchmark.</w:t>
      </w:r>
    </w:p>
    <w:p>
      <w:pPr>
        <w:spacing w:after="120" w:line="360"/>
        <w:jc w:val="both"/>
      </w:pPr>
      <w:r>
        <w:rPr>
          <w:rFonts w:ascii="Times New Roman" w:cs="Times New Roman" w:eastAsia="Times New Roman" w:hAnsi="Times New Roman"/>
          <w:sz w:val="24"/>
          <w:szCs w:val="24"/>
        </w:rPr>
        <w:t xml:space="preserve">Human marks produced. Two raters × (65–80 students) × 2 passages = 260–320 script assessments, each yielding a reading and writing mark.</w:t>
      </w:r>
    </w:p>
    <w:p>
      <w:pPr>
        <w:pStyle w:val="Heading2"/>
        <w:spacing w:after="120" w:before="240" w:line="360"/>
      </w:pPr>
      <w:r>
        <w:rPr>
          <w:rFonts w:ascii="Times New Roman" w:cs="Times New Roman" w:eastAsia="Times New Roman" w:hAnsi="Times New Roman"/>
          <w:b/>
          <w:bCs/>
          <w:sz w:val="28"/>
          <w:szCs w:val="28"/>
        </w:rPr>
        <w:t xml:space="preserve">3.5 AI scoring protocol</w:t>
      </w:r>
    </w:p>
    <w:p>
      <w:pPr>
        <w:spacing w:after="120" w:line="360"/>
        <w:jc w:val="both"/>
      </w:pPr>
      <w:r>
        <w:rPr>
          <w:rFonts w:ascii="Times New Roman" w:cs="Times New Roman" w:eastAsia="Times New Roman" w:hAnsi="Times New Roman"/>
          <w:b/>
          <w:bCs/>
          <w:sz w:val="24"/>
          <w:szCs w:val="24"/>
        </w:rPr>
        <w:t xml:space="preserve">Tools and models. </w:t>
      </w:r>
      <w:r>
        <w:rPr>
          <w:rFonts w:ascii="Times New Roman" w:cs="Times New Roman" w:eastAsia="Times New Roman" w:hAnsi="Times New Roman"/>
          <w:sz w:val="24"/>
          <w:szCs w:val="24"/>
        </w:rPr>
        <w:t xml:space="preserve">ChatGPT and Claude will be accessed through paid consumer subscriptions, without API access. For each tool, the latest flagship model offered on the paid plan at the start of scoring will be selected in the model picker, and that same named model will be selected manually for every submission, even if the picker’s default changes during the scoring window. The model name and reasoning mode will be logged for every submission.</w:t>
      </w:r>
    </w:p>
    <w:p>
      <w:pPr>
        <w:spacing w:after="120" w:line="360"/>
        <w:jc w:val="both"/>
      </w:pPr>
      <w:r>
        <w:rPr>
          <w:rFonts w:ascii="Times New Roman" w:cs="Times New Roman" w:eastAsia="Times New Roman" w:hAnsi="Times New Roman"/>
          <w:b/>
          <w:bCs/>
          <w:sz w:val="24"/>
          <w:szCs w:val="24"/>
        </w:rPr>
        <w:t xml:space="preserve">Framing. </w:t>
      </w:r>
      <w:r>
        <w:rPr>
          <w:rFonts w:ascii="Times New Roman" w:cs="Times New Roman" w:eastAsia="Times New Roman" w:hAnsi="Times New Roman"/>
          <w:sz w:val="24"/>
          <w:szCs w:val="24"/>
        </w:rPr>
        <w:t xml:space="preserve">Every submission contains the passage, the task and the student’s summary, mirroring the human condition. The rubric-embedded framing contains the mark allocation (10 for reading, 5 for writing); a fixed output line (“Reading _/10; Writing _/5”); a request for a separate brief justification for each mark, with reference to the relevant level descriptors; the study rubric; and the appropriate reading key for the passage. Rules for refusals and out-of-range or unparseable answers will be fixed in advance. The wording will be checked in the pilot, then fixed before data collection and never changed; a draft is in Appendix A. Requesting separate justifications makes each statement attributable to the mark it supports. The framing does not instruct the tools to keep the criteria separate, because that would coach the behaviour under study; the findings therefore describe scoring under this fixed prompting procedure.</w:t>
      </w:r>
    </w:p>
    <w:p>
      <w:pPr>
        <w:spacing w:after="120" w:line="360"/>
        <w:jc w:val="both"/>
      </w:pPr>
      <w:r>
        <w:rPr>
          <w:rFonts w:ascii="Times New Roman" w:cs="Times New Roman" w:eastAsia="Times New Roman" w:hAnsi="Times New Roman"/>
          <w:b/>
          <w:bCs/>
          <w:sz w:val="24"/>
          <w:szCs w:val="24"/>
        </w:rPr>
        <w:t xml:space="preserve">Design summary. </w:t>
      </w:r>
      <w:r>
        <w:rPr>
          <w:rFonts w:ascii="Times New Roman" w:cs="Times New Roman" w:eastAsia="Times New Roman" w:hAnsi="Times New Roman"/>
          <w:sz w:val="24"/>
          <w:szCs w:val="24"/>
        </w:rPr>
        <w:t xml:space="preserve">The AI scoring conditions are:</w:t>
      </w:r>
    </w:p>
    <w:p>
      <w:pPr>
        <w:spacing w:after="120" w:line="360"/>
        <w:ind w:left="720"/>
        <w:jc w:val="both"/>
      </w:pPr>
      <w:r>
        <w:rPr>
          <w:rFonts w:ascii="Times New Roman" w:cs="Times New Roman" w:eastAsia="Times New Roman" w:hAnsi="Times New Roman"/>
          <w:sz w:val="24"/>
          <w:szCs w:val="24"/>
        </w:rPr>
        <w:t xml:space="preserve">Passage A: ChatGPT × 3 passes; Claude × 3 passes</w:t>
      </w:r>
    </w:p>
    <w:p>
      <w:pPr>
        <w:spacing w:after="120" w:line="360"/>
        <w:ind w:left="720"/>
        <w:jc w:val="both"/>
      </w:pPr>
      <w:r>
        <w:rPr>
          <w:rFonts w:ascii="Times New Roman" w:cs="Times New Roman" w:eastAsia="Times New Roman" w:hAnsi="Times New Roman"/>
          <w:sz w:val="24"/>
          <w:szCs w:val="24"/>
        </w:rPr>
        <w:t xml:space="preserve">Passage B: ChatGPT × 3 passes; Claude × 3 passes</w:t>
      </w:r>
    </w:p>
    <w:p>
      <w:pPr>
        <w:spacing w:after="120" w:line="360"/>
        <w:jc w:val="both"/>
      </w:pPr>
      <w:r>
        <w:rPr>
          <w:rFonts w:ascii="Times New Roman" w:cs="Times New Roman" w:eastAsia="Times New Roman" w:hAnsi="Times New Roman"/>
          <w:b/>
          <w:bCs/>
          <w:sz w:val="24"/>
          <w:szCs w:val="24"/>
        </w:rPr>
        <w:t xml:space="preserve">Valid-response rate and retry rule. </w:t>
      </w:r>
      <w:r>
        <w:rPr>
          <w:rFonts w:ascii="Times New Roman" w:cs="Times New Roman" w:eastAsia="Times New Roman" w:hAnsi="Times New Roman"/>
          <w:sz w:val="24"/>
          <w:szCs w:val="24"/>
        </w:rPr>
        <w:t xml:space="preserve">The valid-response rate will be reported as an outcome for each tool and passage. Invalid responses—refusals, malformed answers, out-of-range scores—will be characterised by type and by script. All first-attempt responses are retained in full. Where a first attempt is invalid, a single pre-specified retry is permitted and recorded, but retry scores enter only a separate sensitivity analysis. Each comparison uses its own common script set.</w:t>
      </w:r>
    </w:p>
    <w:p>
      <w:pPr>
        <w:spacing w:after="120" w:line="360"/>
        <w:jc w:val="both"/>
      </w:pPr>
      <w:r>
        <w:rPr>
          <w:rFonts w:ascii="Times New Roman" w:cs="Times New Roman" w:eastAsia="Times New Roman" w:hAnsi="Times New Roman"/>
          <w:b/>
          <w:bCs/>
          <w:sz w:val="24"/>
          <w:szCs w:val="24"/>
        </w:rPr>
        <w:t xml:space="preserve">Session controls. </w:t>
      </w:r>
      <w:r>
        <w:rPr>
          <w:rFonts w:ascii="Times New Roman" w:cs="Times New Roman" w:eastAsia="Times New Roman" w:hAnsi="Times New Roman"/>
          <w:sz w:val="24"/>
          <w:szCs w:val="24"/>
        </w:rPr>
        <w:t xml:space="preserve">Memory, personalisation and custom instructions will be switched off, as will the model-training setting; temporary chats in ChatGPT, with the unpersonalised option, and incognito chats in Claude will be used (Anthropic, n.d.-a; OpenAI, n.d.-b); and each script will be scored in a fresh chat. Every submission will be logged (Appendix B).</w:t>
      </w:r>
    </w:p>
    <w:p>
      <w:pPr>
        <w:spacing w:after="120" w:line="360"/>
        <w:jc w:val="both"/>
      </w:pPr>
      <w:r>
        <w:rPr>
          <w:rFonts w:ascii="Times New Roman" w:cs="Times New Roman" w:eastAsia="Times New Roman" w:hAnsi="Times New Roman"/>
          <w:b/>
          <w:bCs/>
          <w:sz w:val="24"/>
          <w:szCs w:val="24"/>
        </w:rPr>
        <w:t xml:space="preserve">Passes and timing. </w:t>
      </w:r>
      <w:r>
        <w:rPr>
          <w:rFonts w:ascii="Times New Roman" w:cs="Times New Roman" w:eastAsia="Times New Roman" w:hAnsi="Times New Roman"/>
          <w:sz w:val="24"/>
          <w:szCs w:val="24"/>
        </w:rPr>
        <w:t xml:space="preserve">Both tools will be used during the same collection days: within each scoring day, scripts will be scored by both ChatGPT and Claude, so that the two tools are exposed to the same temporal window and any model changes during that window are recorded for both. The three passes will run in separate sessions within a ten-working-day window (approximately four to five hours of submissions per day), with no more than two passes scored on the same day for the same tool. A short window limits exposure to service changes while keeping the daily workload practical. Scoring is scheduled for the school winter break (December 2028 to January 2029), when about two weeks are free of teaching; human marks are locked well before this. The pilot (Section 3.6) will be used to judge whether completing all three passes within the winter break is realistic. All three main passes must be completed within a single bounded window, so that short-term repeatability is not mixed with changes in the AI service over several months. Within each pass, the order of scripts and passages will be randomised.</w:t>
      </w:r>
    </w:p>
    <w:p>
      <w:pPr>
        <w:spacing w:after="120" w:line="360"/>
        <w:jc w:val="both"/>
      </w:pPr>
      <w:r>
        <w:rPr>
          <w:rFonts w:ascii="Times New Roman" w:cs="Times New Roman" w:eastAsia="Times New Roman" w:hAnsi="Times New Roman"/>
          <w:b/>
          <w:bCs/>
          <w:sz w:val="24"/>
          <w:szCs w:val="24"/>
        </w:rPr>
        <w:t xml:space="preserve">Preregistered model-change decision rule. </w:t>
      </w:r>
      <w:r>
        <w:rPr>
          <w:rFonts w:ascii="Times New Roman" w:cs="Times New Roman" w:eastAsia="Times New Roman" w:hAnsi="Times New Roman"/>
          <w:sz w:val="24"/>
          <w:szCs w:val="24"/>
        </w:rPr>
        <w:t xml:space="preserve">Selecting the same named model throughout is the primary safeguard. The following rule is a backup for the case in which that model is retired or becomes unavailable during scoring. The model name and any reasoning-mode label displayed in the chat interface will be recorded at every submission. If the recorded model label changes between any two passes for either tool, the following preregistered decision rule applies. The affected tool’s data are analysed separately by model version as a primary analysis: pass-to-pass consistency (RQ1) is computed only for scripts that have at least two valid scores under the same recorded model label, and agreement with human raters (RQ2) is reported separately for each model version. If fewer than two passes share the same model label for a given tool, within-version repeatability for that tool is reported as not estimable from the available data. A combined-pass analysis pooling across model versions is reported as supplementary; if the model change is not confounded with the pass boundary, it enters as a covariate in the supplementary model; otherwise, the combined analysis is reported without the covariate and the confounding is noted as a limitation. If the recorded model label changes within a single pass, the change is logged at the submission level; affected submissions are flagged and their inclusion or exclusion is decided at preregistration. This rule addresses observed changes in the displayed model identity; an unchanged label does not guarantee that the underlying service is identical across sessions, and the study cannot separately estimate model and pass effects when a label change is confounded with the pass boundary.</w:t>
      </w:r>
    </w:p>
    <w:p>
      <w:pPr>
        <w:spacing w:after="120" w:line="360"/>
        <w:jc w:val="both"/>
      </w:pPr>
      <w:r>
        <w:rPr>
          <w:rFonts w:ascii="Times New Roman" w:cs="Times New Roman" w:eastAsia="Times New Roman" w:hAnsi="Times New Roman"/>
          <w:b/>
          <w:bCs/>
          <w:sz w:val="24"/>
          <w:szCs w:val="24"/>
        </w:rPr>
        <w:t xml:space="preserve">Stability anchors. </w:t>
      </w:r>
      <w:r>
        <w:rPr>
          <w:rFonts w:ascii="Times New Roman" w:cs="Times New Roman" w:eastAsia="Times New Roman" w:hAnsi="Times New Roman"/>
          <w:sz w:val="24"/>
          <w:szCs w:val="24"/>
        </w:rPr>
        <w:t xml:space="preserve">Once per scoring day, three anchor scripts (low, mid and high) selected from the pilot will be scored by each tool in the rubric-embedded framing, yielding six additional submissions per scoring day. Anchor scores are monitored descriptively; no formal threshold is applied. No data will ever be excluded on the basis of an anchor check.</w:t>
      </w:r>
    </w:p>
    <w:p>
      <w:pPr>
        <w:spacing w:after="120" w:line="360"/>
        <w:jc w:val="both"/>
      </w:pPr>
      <w:r>
        <w:rPr>
          <w:rFonts w:ascii="Times New Roman" w:cs="Times New Roman" w:eastAsia="Times New Roman" w:hAnsi="Times New Roman"/>
          <w:b/>
          <w:bCs/>
          <w:sz w:val="24"/>
          <w:szCs w:val="24"/>
        </w:rPr>
        <w:t xml:space="preserve">Workload. </w:t>
      </w:r>
      <w:r>
        <w:rPr>
          <w:rFonts w:ascii="Times New Roman" w:cs="Times New Roman" w:eastAsia="Times New Roman" w:hAnsi="Times New Roman"/>
          <w:sz w:val="24"/>
          <w:szCs w:val="24"/>
        </w:rPr>
        <w:t xml:space="preserve">At approximately three minutes per submission: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0"/>
        <w:gridCol w:w="2400"/>
      </w:tblGrid>
      <w:tr>
        <w:trPr>
          <w:tblHeader/>
        </w:trPr>
        <w:tc>
          <w:tcPr>
            <w:tcW w:type="dxa" w:w="6800"/>
            <w:shd w:fill="E8E8E8" w:val="clear"/>
            <w:vAlign w:val="center"/>
          </w:tcPr>
          <w:p>
            <w:pPr>
              <w:keepNext w:val="false"/>
              <w:spacing w:after="60"/>
            </w:pPr>
            <w:r>
              <w:rPr>
                <w:rFonts w:ascii="Times New Roman" w:cs="Times New Roman" w:eastAsia="Times New Roman" w:hAnsi="Times New Roman"/>
                <w:b/>
                <w:bCs/>
                <w:sz w:val="22"/>
                <w:szCs w:val="22"/>
              </w:rPr>
              <w:t xml:space="preserve">Calculation</w:t>
            </w:r>
          </w:p>
        </w:tc>
        <w:tc>
          <w:tcPr>
            <w:tcW w:type="dxa" w:w="2400"/>
            <w:shd w:fill="E8E8E8" w:val="clear"/>
            <w:vAlign w:val="center"/>
          </w:tcPr>
          <w:p>
            <w:pPr>
              <w:keepNext w:val="false"/>
              <w:spacing w:after="60"/>
            </w:pPr>
            <w:r>
              <w:rPr>
                <w:rFonts w:ascii="Times New Roman" w:cs="Times New Roman" w:eastAsia="Times New Roman" w:hAnsi="Times New Roman"/>
                <w:b/>
                <w:bCs/>
                <w:sz w:val="22"/>
                <w:szCs w:val="22"/>
              </w:rPr>
              <w:t xml:space="preserve">Submissions</w:t>
            </w:r>
          </w:p>
        </w:tc>
      </w:tr>
      <w:tr>
        <w:trPr>
          <w:cantSplit/>
        </w:trPr>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Primary: 65–80 scripts × 2 passages × 2 tools × 3 passes</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780–960</w:t>
            </w:r>
          </w:p>
        </w:tc>
      </w:tr>
      <w:tr>
        <w:trPr>
          <w:cantSplit/>
        </w:trPr>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Anchors: 3 scripts × 2 tools × 10 scoring days</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~60</w:t>
            </w:r>
          </w:p>
        </w:tc>
      </w:tr>
      <w:tr>
        <w:trPr>
          <w:cantSplit/>
        </w:trPr>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Total</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~840–1,020 (~42–51 h over 10 working days)</w:t>
            </w:r>
          </w:p>
        </w:tc>
      </w:tr>
    </w:tbl>
    <w:p>
      <w:pPr>
        <w:pStyle w:val="Heading2"/>
        <w:spacing w:after="120" w:before="240" w:line="360"/>
      </w:pPr>
      <w:r>
        <w:rPr>
          <w:rFonts w:ascii="Times New Roman" w:cs="Times New Roman" w:eastAsia="Times New Roman" w:hAnsi="Times New Roman"/>
          <w:b/>
          <w:bCs/>
          <w:sz w:val="28"/>
          <w:szCs w:val="28"/>
        </w:rPr>
        <w:t xml:space="preserve">3.6 Pilot study</w:t>
      </w:r>
    </w:p>
    <w:p>
      <w:pPr>
        <w:spacing w:after="120" w:line="360"/>
        <w:jc w:val="both"/>
      </w:pPr>
      <w:r>
        <w:rPr>
          <w:rFonts w:ascii="Times New Roman" w:cs="Times New Roman" w:eastAsia="Times New Roman" w:hAnsi="Times New Roman"/>
          <w:b/>
          <w:bCs/>
          <w:sz w:val="24"/>
          <w:szCs w:val="24"/>
        </w:rPr>
        <w:t xml:space="preserve">Pilot study. </w:t>
      </w:r>
      <w:r>
        <w:rPr>
          <w:rFonts w:ascii="Times New Roman" w:cs="Times New Roman" w:eastAsia="Times New Roman" w:hAnsi="Times New Roman"/>
          <w:sz w:val="24"/>
          <w:szCs w:val="24"/>
        </w:rPr>
        <w:t xml:space="preserve">Before the main data collection, a live pilot will be conducted using a third original passage (not used in the main study) with 10–15 students from a colleague’s class (not the candidate’s own students). Each script will be scored by both tools under the rubric-embedded framing, in three passes, to test the full end-to-end workflow—writing, anonymisation, typing, human marking and AI scoring—under realistic conditions. The pilot also tests prompt wording, timing, parsing rules and message caps, and the measured time per submission is used to confirm the main scoring schedule. The pilot supplies the three anchor scripts. Ethics approval for the pilot will be sought as part of the main ethics application. The pilot scripts do not enter the main analysis.</w:t>
      </w:r>
    </w:p>
    <w:p>
      <w:pPr>
        <w:spacing w:after="120" w:line="360"/>
        <w:jc w:val="both"/>
      </w:pPr>
      <w:r>
        <w:rPr>
          <w:rFonts w:ascii="Times New Roman" w:cs="Times New Roman" w:eastAsia="Times New Roman" w:hAnsi="Times New Roman"/>
          <w:b/>
          <w:bCs/>
          <w:sz w:val="24"/>
          <w:szCs w:val="24"/>
        </w:rPr>
        <w:t xml:space="preserve">Protocol pilot. </w:t>
      </w:r>
      <w:r>
        <w:rPr>
          <w:rFonts w:ascii="Times New Roman" w:cs="Times New Roman" w:eastAsia="Times New Roman" w:hAnsi="Times New Roman"/>
          <w:sz w:val="24"/>
          <w:szCs w:val="24"/>
        </w:rPr>
        <w:t xml:space="preserve">The pilot AI responses are also used to test the evidence-checking procedure before the main study. Both coders will independently segment and code the Pass 1 justifications for four pilot scripts (segmentation is tested deliberately in the pilot; in the main study, both coders work from one pre-segmented claim list) (eight rationale texts, two tools per script), using the draft coding manual and evidence-record template (Appendix D). Differences in segmentation and disagreements on the evidential, criterion-appropriateness and thematic judgements are used to revise the segmentation guidelines, category definitions and worked examples, and to check that the separate-justification wording yields statements attributable to each mark. The revised manual is then fixed for the main study. Pilot coding does not enter the main analysis; the revisions and their reasons are recorded in the pilot log.</w:t>
      </w:r>
    </w:p>
    <w:p>
      <w:pPr>
        <w:spacing w:after="120" w:line="360"/>
        <w:jc w:val="both"/>
      </w:pPr>
      <w:r>
        <w:rPr>
          <w:rFonts w:ascii="Times New Roman" w:cs="Times New Roman" w:eastAsia="Times New Roman" w:hAnsi="Times New Roman"/>
          <w:b/>
          <w:bCs/>
          <w:sz w:val="24"/>
          <w:szCs w:val="24"/>
        </w:rPr>
        <w:t xml:space="preserve">Preliminary repeatability assessment. </w:t>
      </w:r>
      <w:r>
        <w:rPr>
          <w:rFonts w:ascii="Times New Roman" w:cs="Times New Roman" w:eastAsia="Times New Roman" w:hAnsi="Times New Roman"/>
          <w:sz w:val="24"/>
          <w:szCs w:val="24"/>
        </w:rPr>
        <w:t xml:space="preserve">Before preregistration, a preliminary repeatability assessment will be computed from the pilot data: the mean and range of within-script absolute differences across three passes, per tool, to provide an early indication of the score variability a teacher would encounter. This assessment characterises observed score variability; it does not estimate confidence-interval width for the main agreement coefficients. A modest assessment of expected confidence-interval width for QWK and ICC at the study’s sample size will be discussed with a statistical adviser before preregistration. The preliminary repeatability assessment does not replace the formal RQ1 analysis. Any formatting or parsing change made after the pilot must be checked to ensure it does not alter scoring instructions; the supervisor and colleague will jointly make that determination and record the decision in the preregistration or pilot log.</w:t>
      </w:r>
    </w:p>
    <w:p>
      <w:pPr>
        <w:pStyle w:val="Heading2"/>
        <w:spacing w:after="120" w:before="240" w:line="360"/>
      </w:pPr>
      <w:r>
        <w:rPr>
          <w:rFonts w:ascii="Times New Roman" w:cs="Times New Roman" w:eastAsia="Times New Roman" w:hAnsi="Times New Roman"/>
          <w:b/>
          <w:bCs/>
          <w:sz w:val="28"/>
          <w:szCs w:val="28"/>
        </w:rPr>
        <w:t xml:space="preserve">3.7 Analysis</w:t>
      </w:r>
    </w:p>
    <w:p>
      <w:pPr>
        <w:spacing w:after="120" w:line="360"/>
        <w:jc w:val="both"/>
      </w:pPr>
      <w:r>
        <w:rPr>
          <w:rFonts w:ascii="Times New Roman" w:cs="Times New Roman" w:eastAsia="Times New Roman" w:hAnsi="Times New Roman"/>
          <w:b/>
          <w:bCs/>
          <w:sz w:val="24"/>
          <w:szCs w:val="24"/>
        </w:rPr>
        <w:t xml:space="preserve">Analysis hierarchy. </w:t>
      </w:r>
      <w:r>
        <w:rPr>
          <w:rFonts w:ascii="Times New Roman" w:cs="Times New Roman" w:eastAsia="Times New Roman" w:hAnsi="Times New Roman"/>
          <w:sz w:val="24"/>
          <w:szCs w:val="24"/>
        </w:rPr>
        <w:t xml:space="preserve">The primary analyses are organised by research question: RQ1—pass-to-pass consistency; RQ2—agreement and the correction gap; RQ3—evidence-checked analysis of the justifications for selected divergent and close-agreement scripts, with inter-coder agreement on the procedure’s judgements. The synthesis draws on all three RQs. Holm (1979) correction is applied within each family of primary mixed-model contrasts. With three passes, the ICC(1,1) per condition rests on three scores per script. The study reports ICC(1,1) as a tool-level aggregate and supplements it with per-script standard deviations across the three passes.</w:t>
      </w:r>
    </w:p>
    <w:p>
      <w:pPr>
        <w:spacing w:after="120" w:line="360"/>
        <w:jc w:val="both"/>
      </w:pPr>
      <w:r>
        <w:rPr>
          <w:rFonts w:ascii="Times New Roman" w:cs="Times New Roman" w:eastAsia="Times New Roman" w:hAnsi="Times New Roman"/>
          <w:b/>
          <w:bCs/>
          <w:sz w:val="24"/>
          <w:szCs w:val="24"/>
        </w:rPr>
        <w:t xml:space="preserve">Primary and secondary criteria. </w:t>
      </w:r>
      <w:r>
        <w:rPr>
          <w:rFonts w:ascii="Times New Roman" w:cs="Times New Roman" w:eastAsia="Times New Roman" w:hAnsi="Times New Roman"/>
          <w:sz w:val="24"/>
          <w:szCs w:val="24"/>
        </w:rPr>
        <w:t xml:space="preserve">The reading mark (/10) is the primary criterion for all analyses in RQ1 and RQ2. Its 11-point scale (0–10) offers more possible score categories than the writing scale, which may—but need not—yield greater observed variance and more precise agreement estimates. The writing mark (/5) is analysed as a secondary criterion: its 6-point scale (0–5) is more likely to compress observed variance and limit the precision of agreement statistics. All analyses are reported for both criteria, but interpretive weight is placed on the reading mark. The total mark (/15) is reported in supplementary tables only. Treating reading as primary is an analytical decision motivated by the structure of the assessment—the reading mark carries two-thirds of the available marks and has the longer scale—not a requirement of the marking scheme.</w:t>
      </w:r>
    </w:p>
    <w:p>
      <w:pPr>
        <w:spacing w:after="120" w:line="360"/>
        <w:jc w:val="both"/>
      </w:pPr>
      <w:r>
        <w:rPr>
          <w:rFonts w:ascii="Times New Roman" w:cs="Times New Roman" w:eastAsia="Times New Roman" w:hAnsi="Times New Roman"/>
          <w:b/>
          <w:bCs/>
          <w:sz w:val="24"/>
          <w:szCs w:val="24"/>
        </w:rPr>
        <w:t xml:space="preserve">Units, missing data and uncertainty. </w:t>
      </w:r>
      <w:r>
        <w:rPr>
          <w:rFonts w:ascii="Times New Roman" w:cs="Times New Roman" w:eastAsia="Times New Roman" w:hAnsi="Times New Roman"/>
          <w:sz w:val="24"/>
          <w:szCs w:val="24"/>
        </w:rPr>
        <w:t xml:space="preserve">Agreement statistics (QWK, intraclass correlation coefficient [ICC], exact and adjacent agreement) are computed separately for reading (/10), writing (/5) and the total (/15), and separately for each passage. Analysis is complete-case by script: a script missing a human mark or a valid AI score in a given condition is excluded from analyses of that condition, and attrition is reported. Agreement statistics will have bootstrapped 95% confidence intervals (2,000 replications). The resampling unit is the student: each resampled student brings both passage scripts and all repeated scores, preserving the within-student dependence. The 780–960 AI scores are repeated measurements of 130–160 scripts from 65–80 students; they are not 780–960 independent observations, and the precision of agreement estimates is governed mainly by the number of students. At this sample size, confidence intervals for QWK and ICC are expected to be moderately wide, so results will be interpreted through their intervals rather than point estimates. The expected interval width will be estimated with the statistical adviser before preregistration.</w:t>
      </w:r>
    </w:p>
    <w:p>
      <w:pPr>
        <w:spacing w:after="120" w:line="360"/>
        <w:jc w:val="both"/>
      </w:pPr>
      <w:r>
        <w:rPr>
          <w:rFonts w:ascii="Times New Roman" w:cs="Times New Roman" w:eastAsia="Times New Roman" w:hAnsi="Times New Roman"/>
          <w:b/>
          <w:bCs/>
          <w:sz w:val="24"/>
          <w:szCs w:val="24"/>
        </w:rPr>
        <w:t xml:space="preserve">Primary result. </w:t>
      </w:r>
      <w:r>
        <w:rPr>
          <w:rFonts w:ascii="Times New Roman" w:cs="Times New Roman" w:eastAsia="Times New Roman" w:hAnsi="Times New Roman"/>
          <w:sz w:val="24"/>
          <w:szCs w:val="24"/>
        </w:rPr>
        <w:t xml:space="preserve">Because a teacher receives a single response, the primary agreement result is the agreement of a single AI run with the humans: QWK and ICC are computed for each pass separately and reported as the mean and range across the three passes, for both passages. Agreement based on the mean of the three passes is a sensitivity check only.</w:t>
      </w:r>
    </w:p>
    <w:p>
      <w:pPr>
        <w:spacing w:after="120" w:line="360"/>
        <w:jc w:val="both"/>
      </w:pPr>
      <w:r>
        <w:rPr>
          <w:rFonts w:ascii="Times New Roman" w:cs="Times New Roman" w:eastAsia="Times New Roman" w:hAnsi="Times New Roman"/>
          <w:b/>
          <w:bCs/>
          <w:sz w:val="24"/>
          <w:szCs w:val="24"/>
        </w:rPr>
        <w:t xml:space="preserve">Agreement statistics. </w:t>
      </w:r>
      <w:r>
        <w:rPr>
          <w:rFonts w:ascii="Times New Roman" w:cs="Times New Roman" w:eastAsia="Times New Roman" w:hAnsi="Times New Roman"/>
          <w:sz w:val="24"/>
          <w:szCs w:val="24"/>
        </w:rPr>
        <w:t xml:space="preserve">Weighted kappa uses quadratic weights (Cohen, 1968). Human–AI agreement uses ICC(A,1) (two-way mixed effects, raters fixed, absolute agreement, single measures), computed separately for reading, writing and total on each passage. Each tool is compared with each human rater separately (AI–H1, AI–H2), so that the result is directly comparable with the H1–H2 baseline; QWK is computed the same way. Agreement across passes uses a one-way random-effects, single-measures ICC. ICC confidence intervals will be interpreted against the bands proposed by Koo and Li (2016): below .50 poor, .50–.75 moderate, .75–.90 good and above .90 excellent. Bland–Altman plots will show mean differences and limits of agreement (Bland &amp; Altman, 1986). QWK will be interpreted against the human–human baseline and the operational thresholds of Williamson et al. (2012).</w:t>
      </w:r>
    </w:p>
    <w:p>
      <w:pPr>
        <w:spacing w:after="120" w:line="360"/>
        <w:jc w:val="both"/>
      </w:pPr>
      <w:r>
        <w:rPr>
          <w:rFonts w:ascii="Times New Roman" w:cs="Times New Roman" w:eastAsia="Times New Roman" w:hAnsi="Times New Roman"/>
          <w:b/>
          <w:bCs/>
          <w:sz w:val="24"/>
          <w:szCs w:val="24"/>
        </w:rPr>
        <w:t xml:space="preserve">Mixed model. </w:t>
      </w:r>
      <w:r>
        <w:rPr>
          <w:rFonts w:ascii="Times New Roman" w:cs="Times New Roman" w:eastAsia="Times New Roman" w:hAnsi="Times New Roman"/>
          <w:sz w:val="24"/>
          <w:szCs w:val="24"/>
        </w:rPr>
        <w:t xml:space="preserve">Using rubric-embedded scores, fitted separately for reading and writing: score ~ tool × passage + pass + (1|student) + (1|student:passage), where pass has three levels (1, 2, 3), using lme4 in R (Bates et al., 2015). Anchor scores are reported descriptively. A sensitivity model adds writing order (first or second session), using the counterbalanced A–B/B–A assignment, as a fixed effect. If a mid-scoring-window model change occurs and is not confounded with the pass boundary, the change enters as a covariate; otherwise it is reported descriptively and the limitation is noted. Convergence, singular fits and boundary estimates will be reported. Two specification questions will be reviewed with the statistical adviser before preregistration: whether a tool × pass interaction is needed to allow pass behaviour to differ between tools, and whether a linear model is adequate for the bounded 0–10 and 0–5 scales or whether an ordinal (cumulative link) mixed model is preferable. If the model fails to converge, a preregistered fallback will be used: within-script SDs across the three passes will be computed per script and summarised across scripts within each tool/passage cell as a descriptive substitute. This fallback is acknowledged as partial: within-script SDs characterise per-script variability but do not replace the systematic fixed-effect estimates (tool, passage, pass) that the mixed model provides.</w:t>
      </w:r>
    </w:p>
    <w:p>
      <w:pPr>
        <w:spacing w:after="120" w:line="360"/>
        <w:jc w:val="both"/>
      </w:pPr>
      <w:r>
        <w:rPr>
          <w:rFonts w:ascii="Times New Roman" w:cs="Times New Roman" w:eastAsia="Times New Roman" w:hAnsi="Times New Roman"/>
          <w:b/>
          <w:bCs/>
          <w:sz w:val="24"/>
          <w:szCs w:val="24"/>
        </w:rPr>
        <w:t xml:space="preserve">Correction gap. </w:t>
      </w:r>
      <w:r>
        <w:rPr>
          <w:rFonts w:ascii="Times New Roman" w:cs="Times New Roman" w:eastAsia="Times New Roman" w:hAnsi="Times New Roman"/>
          <w:sz w:val="24"/>
          <w:szCs w:val="24"/>
        </w:rPr>
        <w:t xml:space="preserve">The correction gap is the AI score minus the mean of the two human raters, computed per pass and per passage and summarised as mean, standard deviation and range across the three passes. The three-pass design allows the correction gap’s variability across passes to be estimated. Score level is defined by the mean of the AI and human scores (Bland &amp; Altman, 1986), because grouping by the human score alone produces a regression-to-the-mean artefact.</w:t>
      </w:r>
    </w:p>
    <w:p>
      <w:pPr>
        <w:spacing w:after="120" w:line="360"/>
        <w:jc w:val="both"/>
      </w:pPr>
      <w:r>
        <w:rPr>
          <w:rFonts w:ascii="Times New Roman" w:cs="Times New Roman" w:eastAsia="Times New Roman" w:hAnsi="Times New Roman"/>
          <w:b/>
          <w:bCs/>
          <w:sz w:val="24"/>
          <w:szCs w:val="24"/>
        </w:rPr>
        <w:t xml:space="preserve">Passage effects. </w:t>
      </w:r>
      <w:r>
        <w:rPr>
          <w:rFonts w:ascii="Times New Roman" w:cs="Times New Roman" w:eastAsia="Times New Roman" w:hAnsi="Times New Roman"/>
          <w:sz w:val="24"/>
          <w:szCs w:val="24"/>
        </w:rPr>
        <w:t xml:space="preserve">To examine whether AI scoring properties vary across passages, key statistics (ICC(1,1), QWK, mean within-script SD, correction gap) will be computed separately for each passage and compared. The passage factor in the mixed model tests differences in AI scores between the two passages; whether scoring performance differs is established by agreement, correction gaps and within-passage repeated-score differences. Two passages support comparison between these two passages; they do not establish broad generalisability across IGCSE texts. A raw score difference between passages does not by itself indicate a passage-related AI scoring weakness: if students genuinely find one passage harder, both human and AI scores may be lower. Conclusions about passage-related scoring performance will therefore draw on AI–human correction gaps, agreement with human ratings and within-passage repeated-score differences rather than on raw score differences alone.</w:t>
      </w:r>
    </w:p>
    <w:p>
      <w:pPr>
        <w:spacing w:after="120" w:line="360"/>
        <w:jc w:val="both"/>
      </w:pPr>
      <w:r>
        <w:rPr>
          <w:rFonts w:ascii="Times New Roman" w:cs="Times New Roman" w:eastAsia="Times New Roman" w:hAnsi="Times New Roman"/>
          <w:b/>
          <w:bCs/>
          <w:sz w:val="24"/>
          <w:szCs w:val="24"/>
        </w:rPr>
        <w:t xml:space="preserve">Focused content analysis of AI scoring rationales (RQ3). </w:t>
      </w:r>
      <w:r>
        <w:rPr>
          <w:rFonts w:ascii="Times New Roman" w:cs="Times New Roman" w:eastAsia="Times New Roman" w:hAnsi="Times New Roman"/>
          <w:sz w:val="24"/>
          <w:szCs w:val="24"/>
        </w:rPr>
        <w:t xml:space="preserve">Eight scripts—four per passage—will be selected for content analysis using a prespecified rule designed to cover both passages, both criteria, both directions of disagreement and cases where marks agree. Discrepancies are computed from the Pass 1 rubric-embedded scores as the signed AI-minus-human-mean gap, expressed as a proportion of the scale (reading gap/10; writing gap/5), for each tool. A script is eligible only if both tools’ Pass 1 responses are valid and contain both a reading justification and a writing justification, each with at least one statement about the summary. Eligibility screening checks only that these sections are present and refer to the summary; it involves no judgement of whether any statement is accurate or appropriate, and no evidence checking or coding takes place until selection is complete. Ineligible scripts are skipped and the number skipped is reported. Within each passage, eligible scripts are selected in this order, each from the scripts not yet selected:</w:t>
      </w:r>
    </w:p>
    <w:p>
      <w:pPr>
        <w:spacing w:after="60" w:line="360"/>
        <w:ind w:left="720" w:hanging="360"/>
        <w:jc w:val="both"/>
      </w:pPr>
      <w:r>
        <w:rPr>
          <w:rFonts w:ascii="Times New Roman" w:cs="Times New Roman" w:eastAsia="Times New Roman" w:hAnsi="Times New Roman"/>
          <w:sz w:val="24"/>
          <w:szCs w:val="24"/>
        </w:rPr>
        <w:t xml:space="preserve">1. Reading discrepancy: the script with the largest absolute proportional reading gap for either tool.</w:t>
      </w:r>
    </w:p>
    <w:p>
      <w:pPr>
        <w:spacing w:after="60" w:line="360"/>
        <w:ind w:left="720" w:hanging="360"/>
        <w:jc w:val="both"/>
      </w:pPr>
      <w:r>
        <w:rPr>
          <w:rFonts w:ascii="Times New Roman" w:cs="Times New Roman" w:eastAsia="Times New Roman" w:hAnsi="Times New Roman"/>
          <w:sz w:val="24"/>
          <w:szCs w:val="24"/>
        </w:rPr>
        <w:t xml:space="preserve">2. Writing discrepancy: the script with the largest absolute proportional writing gap for either tool.</w:t>
      </w:r>
    </w:p>
    <w:p>
      <w:pPr>
        <w:spacing w:after="60" w:line="360"/>
        <w:ind w:left="720" w:hanging="360"/>
        <w:jc w:val="both"/>
      </w:pPr>
      <w:r>
        <w:rPr>
          <w:rFonts w:ascii="Times New Roman" w:cs="Times New Roman" w:eastAsia="Times New Roman" w:hAnsi="Times New Roman"/>
          <w:sz w:val="24"/>
          <w:szCs w:val="24"/>
        </w:rPr>
        <w:t xml:space="preserve">3. Opposite direction: the script with the largest absolute proportional gap on either criterion whose sign is opposite to the reference direction (AI under-scoring if the reference is over-scoring, and vice versa). The reference direction is the sign of the gap that led to script 1’s selection; if that gap is zero, or if two gaps of equal size and opposite sign are tied for it, AI over-scoring is used as the reference. If no script has a gap in the opposite direction, the next-largest gap on either criterion is selected and this is reported.</w:t>
      </w:r>
    </w:p>
    <w:p>
      <w:pPr>
        <w:spacing w:after="60" w:line="360"/>
        <w:ind w:left="720" w:hanging="360"/>
        <w:jc w:val="both"/>
      </w:pPr>
      <w:r>
        <w:rPr>
          <w:rFonts w:ascii="Times New Roman" w:cs="Times New Roman" w:eastAsia="Times New Roman" w:hAnsi="Times New Roman"/>
          <w:sz w:val="24"/>
          <w:szCs w:val="24"/>
        </w:rPr>
        <w:t xml:space="preserve">4. Closest available agreement: the script with the smallest maximum absolute proportional gap across both tools and both criteria. Its actual gaps are reported, since the closest available case is not necessarily close in absolute terms. This case tests whether the AI’s justification is sound even when its mark matches the human benchmark—agreement can rest on reasoning the rubric does not support.</w:t>
      </w:r>
    </w:p>
    <w:p>
      <w:pPr>
        <w:spacing w:after="120" w:line="360"/>
        <w:jc w:val="both"/>
      </w:pPr>
      <w:r>
        <w:rPr>
          <w:rFonts w:ascii="Times New Roman" w:cs="Times New Roman" w:eastAsia="Times New Roman" w:hAnsi="Times New Roman"/>
          <w:sz w:val="24"/>
          <w:szCs w:val="24"/>
        </w:rPr>
        <w:t xml:space="preserve">Ties are broken alphabetically by script code, and the actual discrepancy values of all selected scripts will be reported. The selection is carried out mechanically on the score spreadsheet; beyond the presence check above, no justification is read before selection is complete. For each selected script, one rationale per tool is analysed—the Pass 1 rubric-embedded response—yielding 16 rationale texts (8 scripts × 2 tools), each containing a reading and a writing justification, provided enough eligible scripts exist. With eight scripts, the findings are illustrative evidence about construct representation in the selected cases; they do not estimate how often such problems occur across the corpus. The rationales will be coded thematically. The coding scheme is informed by three sources: (a) prior research on AI scoring biases (Baldwin et al., 2025; Powers et al., 2002; Zheng et al., 2023), (b) the summary-writing and source-use literature (Brown &amp; Day, 1983; Keck, 2006; Kintsch &amp; van Dijk, 1978), and (c) the reading–writing criterion-separation framework, focusing on whether the tools confuse reading and writing constructs (Messick, 1989). Anticipated codes include:</w:t>
      </w:r>
    </w:p>
    <w:p>
      <w:pPr>
        <w:spacing w:after="120" w:line="360"/>
        <w:ind w:left="720"/>
        <w:jc w:val="both"/>
      </w:pPr>
      <w:r>
        <w:rPr>
          <w:rFonts w:ascii="Times New Roman" w:cs="Times New Roman" w:eastAsia="Times New Roman" w:hAnsi="Times New Roman"/>
          <w:i/>
          <w:iCs/>
          <w:sz w:val="24"/>
          <w:szCs w:val="24"/>
        </w:rPr>
        <w:t xml:space="preserve">Source fidelity errors: </w:t>
      </w:r>
      <w:r>
        <w:rPr>
          <w:rFonts w:ascii="Times New Roman" w:cs="Times New Roman" w:eastAsia="Times New Roman" w:hAnsi="Times New Roman"/>
          <w:sz w:val="24"/>
          <w:szCs w:val="24"/>
        </w:rPr>
        <w:t xml:space="preserve">AI credits a content point the student did not include, or misses one they did include; AI fails to detect meaning-changing omission or distortion</w:t>
      </w:r>
    </w:p>
    <w:p>
      <w:pPr>
        <w:spacing w:after="120" w:line="360"/>
        <w:ind w:left="720"/>
        <w:jc w:val="both"/>
      </w:pPr>
      <w:r>
        <w:rPr>
          <w:rFonts w:ascii="Times New Roman" w:cs="Times New Roman" w:eastAsia="Times New Roman" w:hAnsi="Times New Roman"/>
          <w:i/>
          <w:iCs/>
          <w:sz w:val="24"/>
          <w:szCs w:val="24"/>
        </w:rPr>
        <w:t xml:space="preserve">Construct-irrelevant rewarding: </w:t>
      </w:r>
      <w:r>
        <w:rPr>
          <w:rFonts w:ascii="Times New Roman" w:cs="Times New Roman" w:eastAsia="Times New Roman" w:hAnsi="Times New Roman"/>
          <w:sz w:val="24"/>
          <w:szCs w:val="24"/>
        </w:rPr>
        <w:t xml:space="preserve">AI rewards length, vocabulary sophistication or stylistic features not supported by the applicable descriptor for the criterion on which the mark is awarded. (Rewarding fluency under the writing descriptor, where clarity and fluency are assessed, is not itself construct-irrelevant.)</w:t>
      </w:r>
    </w:p>
    <w:p>
      <w:pPr>
        <w:spacing w:after="120" w:line="360"/>
        <w:ind w:left="720"/>
        <w:jc w:val="both"/>
      </w:pPr>
      <w:r>
        <w:rPr>
          <w:rFonts w:ascii="Times New Roman" w:cs="Times New Roman" w:eastAsia="Times New Roman" w:hAnsi="Times New Roman"/>
          <w:i/>
          <w:iCs/>
          <w:sz w:val="24"/>
          <w:szCs w:val="24"/>
        </w:rPr>
        <w:t xml:space="preserve">Treatment of non-standard but meaningful phrasing: </w:t>
      </w:r>
      <w:r>
        <w:rPr>
          <w:rFonts w:ascii="Times New Roman" w:cs="Times New Roman" w:eastAsia="Times New Roman" w:hAnsi="Times New Roman"/>
          <w:sz w:val="24"/>
          <w:szCs w:val="24"/>
        </w:rPr>
        <w:t xml:space="preserve">AI penalises non-standard but meaningful phrasing (as defined in Section 1.6) on grounds not supported by the applicable rubric descriptor for the criterion in question, when a human marker credits the same phrasing as effective transformation</w:t>
      </w:r>
    </w:p>
    <w:p>
      <w:pPr>
        <w:spacing w:after="120" w:line="360"/>
        <w:ind w:left="720"/>
        <w:jc w:val="both"/>
      </w:pPr>
      <w:r>
        <w:rPr>
          <w:rFonts w:ascii="Times New Roman" w:cs="Times New Roman" w:eastAsia="Times New Roman" w:hAnsi="Times New Roman"/>
          <w:i/>
          <w:iCs/>
          <w:sz w:val="24"/>
          <w:szCs w:val="24"/>
        </w:rPr>
        <w:t xml:space="preserve">Rubric misapplication and construct confusion: </w:t>
      </w:r>
      <w:r>
        <w:rPr>
          <w:rFonts w:ascii="Times New Roman" w:cs="Times New Roman" w:eastAsia="Times New Roman" w:hAnsi="Times New Roman"/>
          <w:sz w:val="24"/>
          <w:szCs w:val="24"/>
        </w:rPr>
        <w:t xml:space="preserve">AI explicitly applies a level descriptor to the wrong criterion—for example, citing fluency or style as the reason for reading credit, or penalising content selection under the writing mark. This code is applied as defined in the evidence-checking procedure below; a human–AI disagreement alone does not establish an AI error</w:t>
      </w:r>
    </w:p>
    <w:p>
      <w:pPr>
        <w:spacing w:after="120" w:line="360"/>
        <w:ind w:left="720"/>
        <w:jc w:val="both"/>
      </w:pPr>
      <w:r>
        <w:rPr>
          <w:rFonts w:ascii="Times New Roman" w:cs="Times New Roman" w:eastAsia="Times New Roman" w:hAnsi="Times New Roman"/>
          <w:i/>
          <w:iCs/>
          <w:sz w:val="24"/>
          <w:szCs w:val="24"/>
        </w:rPr>
        <w:t xml:space="preserve">Own-words transformation: </w:t>
      </w:r>
      <w:r>
        <w:rPr>
          <w:rFonts w:ascii="Times New Roman" w:cs="Times New Roman" w:eastAsia="Times New Roman" w:hAnsi="Times New Roman"/>
          <w:sz w:val="24"/>
          <w:szCs w:val="24"/>
        </w:rPr>
        <w:t xml:space="preserve">AI evaluates paraphrase quality differently from human raters; AI does not distinguish synonym substitution from structural reformulation; AI fails to penalise near-copying under the writing descriptor that addresses reliance on source wording. Penalising source copying is judged against the applicable descriptor, not automatically classified as unfair treatment of multilingual writing</w:t>
      </w:r>
    </w:p>
    <w:p>
      <w:pPr>
        <w:spacing w:after="120" w:line="360"/>
        <w:jc w:val="both"/>
      </w:pPr>
      <w:r>
        <w:rPr>
          <w:rFonts w:ascii="Times New Roman" w:cs="Times New Roman" w:eastAsia="Times New Roman" w:hAnsi="Times New Roman"/>
          <w:b/>
          <w:bCs/>
          <w:sz w:val="24"/>
          <w:szCs w:val="24"/>
        </w:rPr>
        <w:t xml:space="preserve">Evidence-checking procedure. </w:t>
      </w:r>
      <w:r>
        <w:rPr>
          <w:rFonts w:ascii="Times New Roman" w:cs="Times New Roman" w:eastAsia="Times New Roman" w:hAnsi="Times New Roman"/>
          <w:sz w:val="24"/>
          <w:szCs w:val="24"/>
        </w:rPr>
        <w:t xml:space="preserve">For each of the 8 selected scripts, a structured evidence record will be compiled before coding begins. For each AI rationale claim (e.g., “the student included point X” or “the summary lacks own-words transformation”), the record documents: (a) the AI’s specific claim and the mark it is offered for (reading or writing); (b) the relevant student wording and corresponding source-passage evidence; (c) the applicable reading or writing level descriptor; (d) an evidential judgement using four defined categories: supported (the claim is borne out by the student text and source); contradicted (the claim is demonstrably false—for example, crediting a content point the summary does not contain); insufficient explanation (the claim is too general to show the basis of the mark—for example, “shows good understanding” with no reference to content); and ambiguous (the evidence allows more than one defensible reading); and (e) a criterion-appropriateness judgement: appropriate (the quality the claim cites is one the descriptor for that mark assesses), misattributed (the quality belongs to the other criterion’s descriptor) or unclear. The two judgements are kept separate because a claim can be true but inappropriate: “the summary is fluent” may be supported by the text, yet it is not a basis for reading credit. A rationale that omits content evidence is not, on that ground alone, treated as evidence of mis-scoring: a short explanation may accompany a defensible mark. Contradicted claims are coded under the relevant evidence-error category; for example, crediting a content point the student omitted is a source-fidelity error. Construct confusion is coded when a claim is judged misattributed—for example, citing fluency as the reason for reading credit. A draft evidence-record template, with an invented illustrative example, is given in Appendix D. The second human rater will independently examine the 8 selected scripts and their AI rationales, completing the same evidence record, before seeing the candidate’s judgements. The raters’ original independent marks are preserved and not revisited. This procedure grounds the content analysis in verifiable textual evidence rather than impressionistic comparison.</w:t>
      </w:r>
    </w:p>
    <w:p>
      <w:pPr>
        <w:spacing w:after="120" w:line="360"/>
        <w:jc w:val="both"/>
      </w:pPr>
      <w:r>
        <w:rPr>
          <w:rFonts w:ascii="Times New Roman" w:cs="Times New Roman" w:eastAsia="Times New Roman" w:hAnsi="Times New Roman"/>
          <w:b/>
          <w:bCs/>
          <w:sz w:val="24"/>
          <w:szCs w:val="24"/>
        </w:rPr>
        <w:t xml:space="preserve">Important caveat. </w:t>
      </w:r>
      <w:r>
        <w:rPr>
          <w:rFonts w:ascii="Times New Roman" w:cs="Times New Roman" w:eastAsia="Times New Roman" w:hAnsi="Times New Roman"/>
          <w:sz w:val="24"/>
          <w:szCs w:val="24"/>
        </w:rPr>
        <w:t xml:space="preserve">AI-generated rationales are reported justifications for the marks, not verified accounts of the computational process that produced the scores. The content analysis treats them as the justifications a teacher would read and act on, not as explanations of the model’s internal scoring mechanism.</w:t>
      </w:r>
    </w:p>
    <w:p>
      <w:pPr>
        <w:spacing w:after="120" w:line="360"/>
        <w:jc w:val="both"/>
      </w:pPr>
      <w:r>
        <w:rPr>
          <w:rFonts w:ascii="Times New Roman" w:cs="Times New Roman" w:eastAsia="Times New Roman" w:hAnsi="Times New Roman"/>
          <w:sz w:val="24"/>
          <w:szCs w:val="24"/>
        </w:rPr>
        <w:t xml:space="preserve">Coding will be conducted independently by both the candidate and the second human rater using the same coding scheme. Coding will be organised in Atlas.ti. Both coders will complete the full evidence-checking procedure for all 8 selected scripts (16 rationale texts) before comparing their coding. The coding unit is the individual claim within a rationale text. Before independent coding begins, the candidate will segment each rationale into its constituent claims, following written segmentation guidelines in the coding manual, and prepare a numbered claim list; the second coder will receive this same pre-segmented list, so that all coding decisions refer to identical units. For each claim, each thematic code is treated as a separate present/absent decision: a single claim may receive more than one code (e.g., both construct-irrelevant rewarding and rubric misapplication), and inter-coder agreement is calculated on each per-claim binary decision. Inter-coder agreement will be reported as percentage agreement and Cohen’s kappa, calculated before discussion, for three sets of per-claim decisions: the four-way evidential judgement, the three-way criterion-appropriateness judgement and each binary thematic-code decision. These figures are the study’s evidence on how consistently the procedure can be applied. The coding manual is fixed after the protocol pilot (Section 3.6). If a category definition must be revised during main coding, the revision and its reason are logged, both coders recode all previously coded claims under the revised definition, and agreement is reported both for the coding completed before the revision and for the final coding. Disagreements will then be discussed and resolved where possible. The discussion is not recorded; instead, a written evidence-review log records, for each disputed claim, both coders’ initial decisions, the final decision (or “unresolved”) and a one-line reason. Unresolved cases are reported. The supervisor will review the final coding of three selected scripts as an additional credibility check. This dual-coding procedure strengthens the qualitative strand’s trustworthiness.</w:t>
      </w:r>
    </w:p>
    <w:p>
      <w:pPr>
        <w:spacing w:after="120" w:line="360"/>
        <w:jc w:val="both"/>
      </w:pPr>
      <w:r>
        <w:rPr>
          <w:rFonts w:ascii="Times New Roman" w:cs="Times New Roman" w:eastAsia="Times New Roman" w:hAnsi="Times New Roman"/>
          <w:sz w:val="24"/>
          <w:szCs w:val="24"/>
        </w:rPr>
        <w:t xml:space="preserve">Codes will allow for defensible alternative judgements (where either the AI or the human interpretation could reasonably be correct) and unresolved cases (where the textual evidence does not clearly favour either). The analysis is a focused component of the study; it does not change any quantitative result but provides interpretive context for the correction gap (RQ2) and the reading–writing construct-separation question.</w:t>
      </w:r>
    </w:p>
    <w:p>
      <w:pPr>
        <w:spacing w:after="120" w:line="360"/>
        <w:jc w:val="both"/>
      </w:pPr>
      <w:r>
        <w:rPr>
          <w:rFonts w:ascii="Times New Roman" w:cs="Times New Roman" w:eastAsia="Times New Roman" w:hAnsi="Times New Roman"/>
          <w:b/>
          <w:bCs/>
          <w:sz w:val="24"/>
          <w:szCs w:val="24"/>
        </w:rPr>
        <w:t xml:space="preserve">Synthesis. </w:t>
      </w:r>
      <w:r>
        <w:rPr>
          <w:rFonts w:ascii="Times New Roman" w:cs="Times New Roman" w:eastAsia="Times New Roman" w:hAnsi="Times New Roman"/>
          <w:sz w:val="24"/>
          <w:szCs w:val="24"/>
        </w:rPr>
        <w:t xml:space="preserve">The synthesis draws on RQ1–RQ3 to: (a) summarise pass-to-pass consistency and agreement with human raters, including the direction and magnitude of the correction gap, by tool, passage and criterion (from RQ1 and RQ2); (b) describe the rubric-related concerns illustrated by the selected cases (from RQ3); and (c) identify the questions that require further validation before classroom adoption. The quantitative results support comparisons of consistency and agreement across conditions; the selected cases illustrate how problems arise but cannot rank how often they occur in each condition. Consistent with the scope set in Section 1.3, the synthesis provides descriptive evidence to inform further evaluation of consumer AI tools as second markers for this task. Whether teachers find the correction-gap evidence interpretable and actionable is a question for future research.</w:t>
      </w:r>
    </w:p>
    <w:p>
      <w:pPr>
        <w:spacing w:after="120" w:line="360"/>
        <w:jc w:val="both"/>
      </w:pPr>
      <w:r>
        <w:rPr>
          <w:rFonts w:ascii="Times New Roman" w:cs="Times New Roman" w:eastAsia="Times New Roman" w:hAnsi="Times New Roman"/>
          <w:b/>
          <w:bCs/>
          <w:sz w:val="24"/>
          <w:szCs w:val="24"/>
        </w:rPr>
        <w:t xml:space="preserve">If discrepancies are small. </w:t>
      </w:r>
      <w:r>
        <w:rPr>
          <w:rFonts w:ascii="Times New Roman" w:cs="Times New Roman" w:eastAsia="Times New Roman" w:hAnsi="Times New Roman"/>
          <w:sz w:val="24"/>
          <w:szCs w:val="24"/>
        </w:rPr>
        <w:t xml:space="preserve">If AI–human agreement is high across both tools and both passages, and the content analysis shows no instances, in the selected cases, of construct confusion or construct-irrelevant scoring, this outcome is reported as evidence that consumer AI scoring of this task, under the study’s conditions, agreed closely with human judgement. The study’s contribution in that case lies in having established the agreement level under ecological conditions, not in having found a problem. If anticipated patterns (e.g., confusion of reading and writing constructs, penalisation of multilingual learners’ language features) do not appear in the selected rationales, this is reported as a non-finding in the selected cases. Because only eight scripts are examined, such an absence would not demonstrate that construct problems are absent across the corpus. The preregistered analysis plan will include this contingency.</w:t>
      </w:r>
    </w:p>
    <w:p>
      <w:pPr>
        <w:spacing w:after="120" w:line="360"/>
        <w:jc w:val="both"/>
      </w:pPr>
      <w:r>
        <w:rPr>
          <w:rFonts w:ascii="Times New Roman" w:cs="Times New Roman" w:eastAsia="Times New Roman" w:hAnsi="Times New Roman"/>
          <w:b/>
          <w:bCs/>
          <w:sz w:val="24"/>
          <w:szCs w:val="24"/>
        </w:rPr>
        <w:t xml:space="preserve">Time-based workload comparison. </w:t>
      </w:r>
      <w:r>
        <w:rPr>
          <w:rFonts w:ascii="Times New Roman" w:cs="Times New Roman" w:eastAsia="Times New Roman" w:hAnsi="Times New Roman"/>
          <w:sz w:val="24"/>
          <w:szCs w:val="24"/>
        </w:rPr>
        <w:t xml:space="preserve">Observed timings for human marking and AI scoring will be reported briefly to inform practical feasibility.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rPr>
          <w:tblHeader/>
        </w:trPr>
        <w:tc>
          <w:tcPr>
            <w:tcW w:type="dxa" w:w="1200"/>
            <w:shd w:fill="E8E8E8" w:val="clear"/>
            <w:vAlign w:val="center"/>
          </w:tcPr>
          <w:p>
            <w:pPr>
              <w:keepNext w:val="false"/>
              <w:spacing w:after="60"/>
            </w:pPr>
            <w:r>
              <w:rPr>
                <w:rFonts w:ascii="Times New Roman" w:cs="Times New Roman" w:eastAsia="Times New Roman" w:hAnsi="Times New Roman"/>
                <w:b/>
                <w:bCs/>
                <w:sz w:val="22"/>
                <w:szCs w:val="22"/>
              </w:rPr>
              <w:t xml:space="preserve">RQ</w:t>
            </w:r>
          </w:p>
        </w:tc>
        <w:tc>
          <w:tcPr>
            <w:tcW w:type="dxa" w:w="8000"/>
            <w:shd w:fill="E8E8E8" w:val="clear"/>
            <w:vAlign w:val="center"/>
          </w:tcPr>
          <w:p>
            <w:pPr>
              <w:keepNext w:val="false"/>
              <w:spacing w:after="60"/>
            </w:pPr>
            <w:r>
              <w:rPr>
                <w:rFonts w:ascii="Times New Roman" w:cs="Times New Roman" w:eastAsia="Times New Roman" w:hAnsi="Times New Roman"/>
                <w:b/>
                <w:bCs/>
                <w:sz w:val="22"/>
                <w:szCs w:val="22"/>
              </w:rPr>
              <w:t xml:space="preserve">Analysis</w:t>
            </w:r>
          </w:p>
        </w:tc>
      </w:tr>
      <w:tr>
        <w:trPr>
          <w:cantSplit/>
        </w:trPr>
        <w:tc>
          <w:tcPr>
            <w:tcW w:type="dxa" w:w="1200"/>
            <w:vAlign w:val="center"/>
          </w:tcPr>
          <w:p>
            <w:pPr>
              <w:keepNext w:val="false"/>
              <w:keepLines w:val="false"/>
              <w:spacing w:after="60"/>
            </w:pPr>
            <w:r>
              <w:rPr>
                <w:rFonts w:ascii="Times New Roman" w:cs="Times New Roman" w:eastAsia="Times New Roman" w:hAnsi="Times New Roman"/>
                <w:sz w:val="22"/>
                <w:szCs w:val="22"/>
              </w:rPr>
              <w:t xml:space="preserve">RQ1</w:t>
            </w:r>
          </w:p>
        </w:tc>
        <w:tc>
          <w:tcPr>
            <w:tcW w:type="dxa" w:w="8000"/>
            <w:vAlign w:val="center"/>
          </w:tcPr>
          <w:p>
            <w:pPr>
              <w:keepNext w:val="false"/>
              <w:keepLines w:val="false"/>
              <w:spacing w:after="60"/>
            </w:pPr>
            <w:r>
              <w:rPr>
                <w:rFonts w:ascii="Times New Roman" w:cs="Times New Roman" w:eastAsia="Times New Roman" w:hAnsi="Times New Roman"/>
                <w:sz w:val="22"/>
                <w:szCs w:val="22"/>
              </w:rPr>
              <w:t xml:space="preserve">Primary: one-way random-effects ICC(1,1) across three passes per tool, passage and criterion (reading mark primary; writing mark secondary). Supplementary: per-script SD and range across three passes; exact and adjacent agreement; passage comparison</w:t>
            </w:r>
          </w:p>
        </w:tc>
      </w:tr>
      <w:tr>
        <w:trPr>
          <w:cantSplit/>
        </w:trPr>
        <w:tc>
          <w:tcPr>
            <w:tcW w:type="dxa" w:w="1200"/>
            <w:vAlign w:val="center"/>
          </w:tcPr>
          <w:p>
            <w:pPr>
              <w:keepNext w:val="false"/>
              <w:keepLines w:val="false"/>
              <w:spacing w:after="60"/>
            </w:pPr>
            <w:r>
              <w:rPr>
                <w:rFonts w:ascii="Times New Roman" w:cs="Times New Roman" w:eastAsia="Times New Roman" w:hAnsi="Times New Roman"/>
                <w:sz w:val="22"/>
                <w:szCs w:val="22"/>
              </w:rPr>
              <w:t xml:space="preserve">RQ2</w:t>
            </w:r>
          </w:p>
        </w:tc>
        <w:tc>
          <w:tcPr>
            <w:tcW w:type="dxa" w:w="8000"/>
            <w:vAlign w:val="center"/>
          </w:tcPr>
          <w:p>
            <w:pPr>
              <w:keepNext w:val="false"/>
              <w:keepLines w:val="false"/>
              <w:spacing w:after="60"/>
            </w:pPr>
            <w:r>
              <w:rPr>
                <w:rFonts w:ascii="Times New Roman" w:cs="Times New Roman" w:eastAsia="Times New Roman" w:hAnsi="Times New Roman"/>
                <w:sz w:val="22"/>
                <w:szCs w:val="22"/>
              </w:rPr>
              <w:t xml:space="preserve">Primary: single-run QWK and ICC(A,1), AI–H1 and AI–H2 (mean and range across passes), per passage. Supplementary: human–human baseline; correction gap per pass and passage; Bland–Altman plots</w:t>
            </w:r>
          </w:p>
        </w:tc>
      </w:tr>
      <w:tr>
        <w:trPr>
          <w:cantSplit/>
        </w:trPr>
        <w:tc>
          <w:tcPr>
            <w:tcW w:type="dxa" w:w="1200"/>
            <w:vAlign w:val="center"/>
          </w:tcPr>
          <w:p>
            <w:pPr>
              <w:keepNext w:val="false"/>
              <w:keepLines w:val="false"/>
              <w:spacing w:after="60"/>
            </w:pPr>
            <w:r>
              <w:rPr>
                <w:rFonts w:ascii="Times New Roman" w:cs="Times New Roman" w:eastAsia="Times New Roman" w:hAnsi="Times New Roman"/>
                <w:sz w:val="22"/>
                <w:szCs w:val="22"/>
              </w:rPr>
              <w:t xml:space="preserve">RQ3</w:t>
            </w:r>
          </w:p>
        </w:tc>
        <w:tc>
          <w:tcPr>
            <w:tcW w:type="dxa" w:w="8000"/>
            <w:vAlign w:val="center"/>
          </w:tcPr>
          <w:p>
            <w:pPr>
              <w:keepNext w:val="false"/>
              <w:keepLines w:val="false"/>
              <w:spacing w:after="60"/>
            </w:pPr>
            <w:r>
              <w:rPr>
                <w:rFonts w:ascii="Times New Roman" w:cs="Times New Roman" w:eastAsia="Times New Roman" w:hAnsi="Times New Roman"/>
                <w:sz w:val="22"/>
                <w:szCs w:val="22"/>
              </w:rPr>
              <w:t xml:space="preserve">Focused content analysis of AI rationales for 8 scripts (4 per passage: reading discrepancy, writing discrepancy, opposite direction, close agreement): claim-level evidence checking (evidential and criterion-appropriateness judgements) and dual-coded thematic coding, with inter-coder agreement reported for each judgement, and with attention to source fidelity, construct-irrelevant features, construct confusion (reading vs. writing) and non-standard but meaningful phrasing</w:t>
            </w:r>
          </w:p>
        </w:tc>
      </w:tr>
      <w:tr>
        <w:trPr>
          <w:cantSplit/>
        </w:trPr>
        <w:tc>
          <w:tcPr>
            <w:tcW w:type="dxa" w:w="1200"/>
            <w:vAlign w:val="center"/>
          </w:tcPr>
          <w:p>
            <w:pPr>
              <w:keepNext w:val="false"/>
              <w:keepLines w:val="false"/>
              <w:spacing w:after="60"/>
            </w:pPr>
            <w:r>
              <w:rPr>
                <w:rFonts w:ascii="Times New Roman" w:cs="Times New Roman" w:eastAsia="Times New Roman" w:hAnsi="Times New Roman"/>
                <w:sz w:val="22"/>
                <w:szCs w:val="22"/>
              </w:rPr>
              <w:t xml:space="preserve">Synthesis</w:t>
            </w:r>
          </w:p>
        </w:tc>
        <w:tc>
          <w:tcPr>
            <w:tcW w:type="dxa" w:w="8000"/>
            <w:vAlign w:val="center"/>
          </w:tcPr>
          <w:p>
            <w:pPr>
              <w:keepNext w:val="false"/>
              <w:keepLines w:val="false"/>
              <w:spacing w:after="60"/>
            </w:pPr>
            <w:r>
              <w:rPr>
                <w:rFonts w:ascii="Times New Roman" w:cs="Times New Roman" w:eastAsia="Times New Roman" w:hAnsi="Times New Roman"/>
                <w:sz w:val="22"/>
                <w:szCs w:val="22"/>
              </w:rPr>
              <w:t xml:space="preserve">Descriptive evidence to inform further evaluation of a discrepancy-review workflow, drawing on RQ1–RQ3, by tool, passage and criterion; time-based workload comparison</w:t>
            </w:r>
          </w:p>
        </w:tc>
      </w:tr>
    </w:tbl>
    <w:p>
      <w:pPr>
        <w:pStyle w:val="Heading2"/>
        <w:spacing w:after="120" w:before="240" w:line="360"/>
      </w:pPr>
      <w:r>
        <w:rPr>
          <w:rFonts w:ascii="Times New Roman" w:cs="Times New Roman" w:eastAsia="Times New Roman" w:hAnsi="Times New Roman"/>
          <w:b/>
          <w:bCs/>
          <w:sz w:val="28"/>
          <w:szCs w:val="28"/>
        </w:rPr>
        <w:t xml:space="preserve">3.8 Ethics and data protection</w:t>
      </w:r>
    </w:p>
    <w:p>
      <w:pPr>
        <w:spacing w:after="120" w:line="360"/>
        <w:jc w:val="both"/>
      </w:pPr>
      <w:r>
        <w:rPr>
          <w:rFonts w:ascii="Times New Roman" w:cs="Times New Roman" w:eastAsia="Times New Roman" w:hAnsi="Times New Roman"/>
          <w:b/>
          <w:bCs/>
          <w:sz w:val="24"/>
          <w:szCs w:val="24"/>
        </w:rPr>
        <w:t xml:space="preserve">Approvals and consent. </w:t>
      </w:r>
      <w:r>
        <w:rPr>
          <w:rFonts w:ascii="Times New Roman" w:cs="Times New Roman" w:eastAsia="Times New Roman" w:hAnsi="Times New Roman"/>
          <w:sz w:val="24"/>
          <w:szCs w:val="24"/>
        </w:rPr>
        <w:t xml:space="preserve">The study requires USM ethics approval and the principal’s permission. No data will be collected before ethics approval is in place. Whether permission from the Kurdistan Regional Government (KRG) Ministry of Education or the school’s owner is also needed will be checked before enrolment. Parental consent and student assent will be obtained independently of the teacher–student relationship; consent forms will make clear that participation has no bearing on grades, and consent collection will not be conducted by the candidate in his teaching role. Students may withdraw at any time up to the corpus-freezing date. Up to that date, the linkage key (the record matching student identity to script code) is held by the anonymiser and never seen by the candidate. After the corpus-freezing date, the linkage key is destroyed. Students will be informed of this deadline in the consent form and again before typing begins.</w:t>
      </w:r>
    </w:p>
    <w:p>
      <w:pPr>
        <w:spacing w:after="120" w:line="360"/>
        <w:jc w:val="both"/>
      </w:pPr>
      <w:r>
        <w:rPr>
          <w:rFonts w:ascii="Times New Roman" w:cs="Times New Roman" w:eastAsia="Times New Roman" w:hAnsi="Times New Roman"/>
          <w:b/>
          <w:bCs/>
          <w:sz w:val="24"/>
          <w:szCs w:val="24"/>
        </w:rPr>
        <w:t xml:space="preserve">Data access and storage. </w:t>
      </w:r>
      <w:r>
        <w:rPr>
          <w:rFonts w:ascii="Times New Roman" w:cs="Times New Roman" w:eastAsia="Times New Roman" w:hAnsi="Times New Roman"/>
          <w:sz w:val="24"/>
          <w:szCs w:val="24"/>
        </w:rPr>
        <w:t xml:space="preserve">Original handwritten scripts are held by the anonymiser only. Linkage records are held by the anonymiser only and destroyed on the corpus-freezing date. Typed scoring texts (coded, de-identified transcripts) are accessible to the candidate, the supervisor, and the second human rater. These are stored in encrypted form on USM-approved research storage. AI response logs and screenshots are accessible to the candidate and supervisor only, except that the second human rater will have access to the selected, de-identified AI responses for the 8 scripts used in the evidence-checking procedure and for the pilot responses used to test it (Sections 3.6–3.7). Disagreements between the two evidence records will be documented in an evidence-review log, preserving both initial independent judgements alongside any agreed or unresolved outcome. All materials are retained for the period specified in the USM research data management policy. The anonymiser remains the continuing custodian of potentially re-identifiable originals; the ethics application will specify how access to these materials is audited.</w:t>
      </w:r>
    </w:p>
    <w:p>
      <w:pPr>
        <w:spacing w:after="120" w:line="360"/>
        <w:jc w:val="both"/>
      </w:pPr>
      <w:r>
        <w:rPr>
          <w:rFonts w:ascii="Times New Roman" w:cs="Times New Roman" w:eastAsia="Times New Roman" w:hAnsi="Times New Roman"/>
          <w:b/>
          <w:bCs/>
          <w:sz w:val="24"/>
          <w:szCs w:val="24"/>
        </w:rPr>
        <w:t xml:space="preserve">Data in AI applications. </w:t>
      </w:r>
      <w:r>
        <w:rPr>
          <w:rFonts w:ascii="Times New Roman" w:cs="Times New Roman" w:eastAsia="Times New Roman" w:hAnsi="Times New Roman"/>
          <w:sz w:val="24"/>
          <w:szCs w:val="24"/>
        </w:rPr>
        <w:t xml:space="preserve">Scripts will be coded, de-identified and typed before entering any AI application, and the model-training setting will be off in both. ChatGPT temporary chats are not used for model training and may be kept for up to 30 days for safety purposes (OpenAI, n.d.-b). Claude’s incognito chats are not used for training, even when model improvement is enabled (Anthropic, n.d.-a, n.d.-b). These terms will be checked at the time of data collection.</w:t>
      </w:r>
    </w:p>
    <w:p>
      <w:pPr>
        <w:spacing w:after="120" w:line="360"/>
        <w:jc w:val="both"/>
      </w:pPr>
      <w:r>
        <w:rPr>
          <w:rFonts w:ascii="Times New Roman" w:cs="Times New Roman" w:eastAsia="Times New Roman" w:hAnsi="Times New Roman"/>
          <w:b/>
          <w:bCs/>
          <w:sz w:val="24"/>
          <w:szCs w:val="24"/>
        </w:rPr>
        <w:t xml:space="preserve">Insider research. </w:t>
      </w:r>
      <w:r>
        <w:rPr>
          <w:rFonts w:ascii="Times New Roman" w:cs="Times New Roman" w:eastAsia="Times New Roman" w:hAnsi="Times New Roman"/>
          <w:sz w:val="24"/>
          <w:szCs w:val="24"/>
        </w:rPr>
        <w:t xml:space="preserve">The candidate occupies three roles: the students’ teacher, the principal researcher and Rater 1. This triple role is the study’s most significant ethical and methodological tension, and is mitigated at multiple levels. First, the consent process will make clear that study participation has no bearing on grades, and consent collection will not be conducted by the candidate in his teaching role. Second, all scripts are anonymised, typed verbatim and stripped of identifying content by an external anonymiser before the candidate sees any script. Third, scripts are marked in randomised order, blind to student identity and to all AI scores, with marks locked before AI scoring begins. Fourth, formal marking begins no earlier than four weeks after the last writing session, increasing temporal distance between classroom interaction and assessment. Fifth, the second human rater provides an independent, fully blind benchmark: where the candidate’s marks diverge systematically from the second rater’s, this is detectable in the H1–H2 agreement statistics. Sixth, the candidate will not conduct the re-checking of typed scripts against originals; this is the anonymiser’s responsibility. Despite these mitigations, the candidate’s familiarity with his students’ writing abilities cannot be fully eliminated. This is acknowledged as a limitation; the second rater’s marks serve as the primary check against unconscious bias.</w:t>
      </w:r>
    </w:p>
    <w:p>
      <w:pPr>
        <w:pStyle w:val="Heading1"/>
        <w:pageBreakBefore/>
        <w:spacing w:after="120" w:before="0" w:line="360"/>
      </w:pPr>
      <w:r>
        <w:rPr>
          <w:rFonts w:ascii="Times New Roman" w:cs="Times New Roman" w:eastAsia="Times New Roman" w:hAnsi="Times New Roman"/>
          <w:b/>
          <w:bCs/>
          <w:sz w:val="32"/>
          <w:szCs w:val="32"/>
        </w:rPr>
        <w:t xml:space="preserve">Chapter 4. Schedule, Outputs and Limitations</w:t>
      </w:r>
    </w:p>
    <w:p>
      <w:pPr>
        <w:pStyle w:val="Heading2"/>
        <w:spacing w:after="120" w:before="240" w:line="360"/>
      </w:pPr>
      <w:r>
        <w:rPr>
          <w:rFonts w:ascii="Times New Roman" w:cs="Times New Roman" w:eastAsia="Times New Roman" w:hAnsi="Times New Roman"/>
          <w:b/>
          <w:bCs/>
          <w:sz w:val="28"/>
          <w:szCs w:val="28"/>
        </w:rPr>
        <w:t xml:space="preserve">4.1 Timeline</w:t>
      </w:r>
    </w:p>
    <w:p>
      <w:pPr>
        <w:spacing w:after="120" w:line="360"/>
        <w:jc w:val="both"/>
      </w:pPr>
      <w:r>
        <w:rPr>
          <w:rFonts w:ascii="Times New Roman" w:cs="Times New Roman" w:eastAsia="Times New Roman" w:hAnsi="Times New Roman"/>
          <w:sz w:val="24"/>
          <w:szCs w:val="24"/>
        </w:rPr>
        <w:t xml:space="preserve">The candidature runs from September 2027 to August 2031.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E8E8E8" w:val="clear"/>
            <w:vAlign w:val="center"/>
          </w:tcPr>
          <w:p>
            <w:pPr>
              <w:keepNext w:val="false"/>
              <w:spacing w:after="60"/>
            </w:pPr>
            <w:r>
              <w:rPr>
                <w:rFonts w:ascii="Times New Roman" w:cs="Times New Roman" w:eastAsia="Times New Roman" w:hAnsi="Times New Roman"/>
                <w:b/>
                <w:bCs/>
                <w:sz w:val="22"/>
                <w:szCs w:val="22"/>
              </w:rPr>
              <w:t xml:space="preserve">Period</w:t>
            </w:r>
          </w:p>
        </w:tc>
        <w:tc>
          <w:tcPr>
            <w:tcW w:type="dxa" w:w="6800"/>
            <w:shd w:fill="E8E8E8" w:val="clear"/>
            <w:vAlign w:val="center"/>
          </w:tcPr>
          <w:p>
            <w:pPr>
              <w:keepNext w:val="false"/>
              <w:spacing w:after="60"/>
            </w:pPr>
            <w:r>
              <w:rPr>
                <w:rFonts w:ascii="Times New Roman" w:cs="Times New Roman" w:eastAsia="Times New Roman" w:hAnsi="Times New Roman"/>
                <w:b/>
                <w:bCs/>
                <w:sz w:val="22"/>
                <w:szCs w:val="22"/>
              </w:rPr>
              <w:t xml:space="preserve">Work</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Before enrolment (by Aug 2027)</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Prepare ethics documents</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Sep–Dec 2027</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Submit ethics application in the first weeks of candidature (approval required before the January pilot); finalise both study passages, rubrics and reading keys; colleague review; structured passage-authenticity check and criterion-mapping review; obtain KRG permission if needed</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Jan 2028</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Run live pilot on third passage with colleague’s class (~10–15 students, three passes per tool, ~60–90 AI submissions plus third passage preparation, recruitment, transcription and human marking). Compute preliminary repeatability assessment. Check H1–H2 agreement on pilot data; if reading- or writing-mark ICC(A,1) &lt; .60, conduct second calibration round before main-study marking. Both coders pilot the evidence-checking procedure on pilot AI responses. Finalise and fix the prompt wording and coding manual after the pilot. Discuss expected CI width with statistical adviser. Use results to finalise anchors and timings. Fix and preregister the analysis plan before main-study data collection.</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Feb–May 2028</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Students write summaries of both passages in separate sessions (Feb–Mar); anonymiser codes, types and re-checks all scripts before corpus freezing; locked human marking of all scripts (Apr–May)</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Jun–Nov 2028</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Summer supervision visit (Penang); refine literature review; prepare and test analysis scripts on pilot data</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Dec 2028 – Jan 2029 (winter break)</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AI scoring (both tools interleaved on the same days; three passes per tool within ten working days); anchor checks; apply model-change decision rule if applicable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Jan–Aug 2029</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Analysis; dual-coded content analysis of selected rationales; Papers 1–2 drafted</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Sep 2029 – Aug 2031</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Thesis writing; optional third paper if data warrant</w:t>
            </w:r>
          </w:p>
        </w:tc>
      </w:tr>
    </w:tbl>
    <w:p>
      <w:pPr>
        <w:pStyle w:val="Heading2"/>
        <w:keepNext/>
        <w:spacing w:after="120" w:before="240" w:line="360"/>
      </w:pPr>
      <w:r>
        <w:rPr>
          <w:rFonts w:ascii="Times New Roman" w:cs="Times New Roman" w:eastAsia="Times New Roman" w:hAnsi="Times New Roman"/>
          <w:b/>
          <w:bCs/>
          <w:sz w:val="28"/>
          <w:szCs w:val="28"/>
        </w:rPr>
        <w:t xml:space="preserve">4.2 Planned outputs</w:t>
      </w:r>
    </w:p>
    <w:p>
      <w:pPr>
        <w:keepNext/>
        <w:spacing w:after="120" w:line="360"/>
        <w:jc w:val="both"/>
      </w:pPr>
      <w:r>
        <w:rPr>
          <w:rFonts w:ascii="Times New Roman" w:cs="Times New Roman" w:eastAsia="Times New Roman" w:hAnsi="Times New Roman"/>
          <w:sz w:val="24"/>
          <w:szCs w:val="24"/>
        </w:rPr>
        <w:t xml:space="preserve">Two primary papers are planned; a third is possible if the data support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400"/>
        <w:gridCol w:w="2400"/>
      </w:tblGrid>
      <w:tr>
        <w:trPr>
          <w:tblHeader/>
        </w:trPr>
        <w:tc>
          <w:tcPr>
            <w:tcW w:type="dxa" w:w="800"/>
            <w:shd w:fill="E8E8E8" w:val="clear"/>
            <w:vAlign w:val="center"/>
          </w:tcPr>
          <w:p>
            <w:pPr>
              <w:keepNext/>
              <w:spacing w:after="60"/>
            </w:pPr>
            <w:r>
              <w:rPr>
                <w:rFonts w:ascii="Times New Roman" w:cs="Times New Roman" w:eastAsia="Times New Roman" w:hAnsi="Times New Roman"/>
                <w:b/>
                <w:bCs/>
                <w:sz w:val="22"/>
                <w:szCs w:val="22"/>
              </w:rPr>
              <w:t xml:space="preserve">Paper</w:t>
            </w:r>
          </w:p>
        </w:tc>
        <w:tc>
          <w:tcPr>
            <w:tcW w:type="dxa" w:w="3600"/>
            <w:shd w:fill="E8E8E8" w:val="clear"/>
            <w:vAlign w:val="center"/>
          </w:tcPr>
          <w:p>
            <w:pPr>
              <w:keepNext/>
              <w:spacing w:after="60"/>
            </w:pPr>
            <w:r>
              <w:rPr>
                <w:rFonts w:ascii="Times New Roman" w:cs="Times New Roman" w:eastAsia="Times New Roman" w:hAnsi="Times New Roman"/>
                <w:b/>
                <w:bCs/>
                <w:sz w:val="22"/>
                <w:szCs w:val="22"/>
              </w:rPr>
              <w:t xml:space="preserve">Content</w:t>
            </w:r>
          </w:p>
        </w:tc>
        <w:tc>
          <w:tcPr>
            <w:tcW w:type="dxa" w:w="2400"/>
            <w:shd w:fill="E8E8E8" w:val="clear"/>
            <w:vAlign w:val="center"/>
          </w:tcPr>
          <w:p>
            <w:pPr>
              <w:keepNext/>
              <w:spacing w:after="60"/>
            </w:pPr>
            <w:r>
              <w:rPr>
                <w:rFonts w:ascii="Times New Roman" w:cs="Times New Roman" w:eastAsia="Times New Roman" w:hAnsi="Times New Roman"/>
                <w:b/>
                <w:bCs/>
                <w:sz w:val="22"/>
                <w:szCs w:val="22"/>
              </w:rPr>
              <w:t xml:space="preserve">Target journals</w:t>
            </w:r>
          </w:p>
        </w:tc>
        <w:tc>
          <w:tcPr>
            <w:tcW w:type="dxa" w:w="2400"/>
            <w:shd w:fill="E8E8E8" w:val="clear"/>
            <w:vAlign w:val="center"/>
          </w:tcPr>
          <w:p>
            <w:pPr>
              <w:keepNext/>
              <w:spacing w:after="60"/>
            </w:pPr>
            <w:r>
              <w:rPr>
                <w:rFonts w:ascii="Times New Roman" w:cs="Times New Roman" w:eastAsia="Times New Roman" w:hAnsi="Times New Roman"/>
                <w:b/>
                <w:bCs/>
                <w:sz w:val="22"/>
                <w:szCs w:val="22"/>
              </w:rPr>
              <w:t xml:space="preserve">Status</w:t>
            </w:r>
          </w:p>
        </w:tc>
      </w:tr>
      <w:tr>
        <w:trPr>
          <w:cantSplit/>
        </w:trPr>
        <w:tc>
          <w:tcPr>
            <w:tcW w:type="dxa" w:w="800"/>
            <w:vAlign w:val="center"/>
          </w:tcPr>
          <w:p>
            <w:pPr>
              <w:keepNext/>
              <w:keepLines/>
              <w:spacing w:after="60"/>
            </w:pPr>
            <w:r>
              <w:rPr>
                <w:rFonts w:ascii="Times New Roman" w:cs="Times New Roman" w:eastAsia="Times New Roman" w:hAnsi="Times New Roman"/>
                <w:sz w:val="22"/>
                <w:szCs w:val="22"/>
              </w:rPr>
              <w:t xml:space="preserve">1</w:t>
            </w:r>
          </w:p>
        </w:tc>
        <w:tc>
          <w:tcPr>
            <w:tcW w:type="dxa" w:w="3600"/>
            <w:vAlign w:val="center"/>
          </w:tcPr>
          <w:p>
            <w:pPr>
              <w:keepNext/>
              <w:keepLines/>
              <w:spacing w:after="60"/>
            </w:pPr>
            <w:r>
              <w:rPr>
                <w:rFonts w:ascii="Times New Roman" w:cs="Times New Roman" w:eastAsia="Times New Roman" w:hAnsi="Times New Roman"/>
                <w:sz w:val="22"/>
                <w:szCs w:val="22"/>
              </w:rPr>
              <w:t xml:space="preserve">Pass-to-pass consistency and passage dependence of consumer AI scoring of IGCSE summaries (RQ1)</w:t>
            </w:r>
          </w:p>
        </w:tc>
        <w:tc>
          <w:tcPr>
            <w:tcW w:type="dxa" w:w="2400"/>
            <w:vAlign w:val="center"/>
          </w:tcPr>
          <w:p>
            <w:pPr>
              <w:keepNext/>
              <w:keepLines/>
              <w:spacing w:after="60"/>
            </w:pPr>
            <w:r>
              <w:rPr>
                <w:rFonts w:ascii="Times New Roman" w:cs="Times New Roman" w:eastAsia="Times New Roman" w:hAnsi="Times New Roman"/>
                <w:sz w:val="22"/>
                <w:szCs w:val="22"/>
              </w:rPr>
              <w:t xml:space="preserve">Language Testing; Language Assessment Quarterly</w:t>
            </w:r>
          </w:p>
        </w:tc>
        <w:tc>
          <w:tcPr>
            <w:tcW w:type="dxa" w:w="2400"/>
            <w:vAlign w:val="center"/>
          </w:tcPr>
          <w:p>
            <w:pPr>
              <w:keepNext/>
              <w:keepLines/>
              <w:spacing w:after="60"/>
            </w:pPr>
            <w:r>
              <w:rPr>
                <w:rFonts w:ascii="Times New Roman" w:cs="Times New Roman" w:eastAsia="Times New Roman" w:hAnsi="Times New Roman"/>
                <w:sz w:val="22"/>
                <w:szCs w:val="22"/>
              </w:rPr>
              <w:t xml:space="preserve">Primary</w:t>
            </w:r>
          </w:p>
        </w:tc>
      </w:tr>
      <w:tr>
        <w:trPr>
          <w:cantSplit/>
        </w:trPr>
        <w:tc>
          <w:tcPr>
            <w:tcW w:type="dxa" w:w="800"/>
            <w:vAlign w:val="center"/>
          </w:tcPr>
          <w:p>
            <w:pPr>
              <w:keepNext/>
              <w:keepLines/>
              <w:spacing w:after="60"/>
            </w:pPr>
            <w:r>
              <w:rPr>
                <w:rFonts w:ascii="Times New Roman" w:cs="Times New Roman" w:eastAsia="Times New Roman" w:hAnsi="Times New Roman"/>
                <w:sz w:val="22"/>
                <w:szCs w:val="22"/>
              </w:rPr>
              <w:t xml:space="preserve">2</w:t>
            </w:r>
          </w:p>
        </w:tc>
        <w:tc>
          <w:tcPr>
            <w:tcW w:type="dxa" w:w="3600"/>
            <w:vAlign w:val="center"/>
          </w:tcPr>
          <w:p>
            <w:pPr>
              <w:keepNext/>
              <w:keepLines/>
              <w:spacing w:after="60"/>
            </w:pPr>
            <w:r>
              <w:rPr>
                <w:rFonts w:ascii="Times New Roman" w:cs="Times New Roman" w:eastAsia="Times New Roman" w:hAnsi="Times New Roman"/>
                <w:sz w:val="22"/>
                <w:szCs w:val="22"/>
              </w:rPr>
              <w:t xml:space="preserve">Human vs. AI rater agreement and the scoring correction gap examined (RQ2, RQ3, Synthesis)</w:t>
            </w:r>
          </w:p>
        </w:tc>
        <w:tc>
          <w:tcPr>
            <w:tcW w:type="dxa" w:w="2400"/>
            <w:vAlign w:val="center"/>
          </w:tcPr>
          <w:p>
            <w:pPr>
              <w:keepNext/>
              <w:keepLines/>
              <w:spacing w:after="60"/>
            </w:pPr>
            <w:r>
              <w:rPr>
                <w:rFonts w:ascii="Times New Roman" w:cs="Times New Roman" w:eastAsia="Times New Roman" w:hAnsi="Times New Roman"/>
                <w:sz w:val="22"/>
                <w:szCs w:val="22"/>
              </w:rPr>
              <w:t xml:space="preserve">Assessing Writing; Computers and Education: Artificial Intelligence</w:t>
            </w:r>
          </w:p>
        </w:tc>
        <w:tc>
          <w:tcPr>
            <w:tcW w:type="dxa" w:w="2400"/>
            <w:vAlign w:val="center"/>
          </w:tcPr>
          <w:p>
            <w:pPr>
              <w:keepNext/>
              <w:keepLines/>
              <w:spacing w:after="60"/>
            </w:pPr>
            <w:r>
              <w:rPr>
                <w:rFonts w:ascii="Times New Roman" w:cs="Times New Roman" w:eastAsia="Times New Roman" w:hAnsi="Times New Roman"/>
                <w:sz w:val="22"/>
                <w:szCs w:val="22"/>
              </w:rPr>
              <w:t xml:space="preserve">Primary</w:t>
            </w:r>
          </w:p>
        </w:tc>
      </w:tr>
      <w:tr>
        <w:trPr>
          <w:cantSplit/>
        </w:trPr>
        <w:tc>
          <w:tcPr>
            <w:tcW w:type="dxa" w:w="800"/>
            <w:vAlign w:val="center"/>
          </w:tcPr>
          <w:p>
            <w:pPr>
              <w:keepNext w:val="false"/>
              <w:keepLines/>
              <w:spacing w:after="60"/>
            </w:pPr>
            <w:r>
              <w:rPr>
                <w:rFonts w:ascii="Times New Roman" w:cs="Times New Roman" w:eastAsia="Times New Roman" w:hAnsi="Times New Roman"/>
                <w:sz w:val="22"/>
                <w:szCs w:val="22"/>
              </w:rPr>
              <w:t xml:space="preserve">3</w:t>
            </w:r>
          </w:p>
        </w:tc>
        <w:tc>
          <w:tcPr>
            <w:tcW w:type="dxa" w:w="3600"/>
            <w:vAlign w:val="center"/>
          </w:tcPr>
          <w:p>
            <w:pPr>
              <w:keepNext w:val="false"/>
              <w:keepLines/>
              <w:spacing w:after="60"/>
            </w:pPr>
            <w:r>
              <w:rPr>
                <w:rFonts w:ascii="Times New Roman" w:cs="Times New Roman" w:eastAsia="Times New Roman" w:hAnsi="Times New Roman"/>
                <w:sz w:val="22"/>
                <w:szCs w:val="22"/>
              </w:rPr>
              <w:t xml:space="preserve">Reading–writing construct separation in AI scoring of multilingual learners’ summaries: a focused analysis of how AI tools handle source fidelity and language features (extending RQ3 beyond the scoring-agreement focus of Paper 2)</w:t>
            </w:r>
          </w:p>
        </w:tc>
        <w:tc>
          <w:tcPr>
            <w:tcW w:type="dxa" w:w="2400"/>
            <w:vAlign w:val="center"/>
          </w:tcPr>
          <w:p>
            <w:pPr>
              <w:keepNext w:val="false"/>
              <w:keepLines/>
              <w:spacing w:after="60"/>
            </w:pPr>
            <w:r>
              <w:rPr>
                <w:rFonts w:ascii="Times New Roman" w:cs="Times New Roman" w:eastAsia="Times New Roman" w:hAnsi="Times New Roman"/>
                <w:sz w:val="22"/>
                <w:szCs w:val="22"/>
              </w:rPr>
              <w:t xml:space="preserve">Journal of Second Language Writing; TESOL Quarterly</w:t>
            </w:r>
          </w:p>
        </w:tc>
        <w:tc>
          <w:tcPr>
            <w:tcW w:type="dxa" w:w="2400"/>
            <w:vAlign w:val="center"/>
          </w:tcPr>
          <w:p>
            <w:pPr>
              <w:keepNext w:val="false"/>
              <w:keepLines/>
              <w:spacing w:after="60"/>
            </w:pPr>
            <w:r>
              <w:rPr>
                <w:rFonts w:ascii="Times New Roman" w:cs="Times New Roman" w:eastAsia="Times New Roman" w:hAnsi="Times New Roman"/>
                <w:sz w:val="22"/>
                <w:szCs w:val="22"/>
              </w:rPr>
              <w:t xml:space="preserve">Optional: only if the RQ3 data yield sufficient depth on construct confusion to sustain a standalone paper distinct from Paper 2</w:t>
            </w:r>
          </w:p>
        </w:tc>
      </w:tr>
    </w:tbl>
    <w:p>
      <w:pPr>
        <w:spacing w:after="120" w:line="360"/>
        <w:jc w:val="both"/>
      </w:pPr>
      <w:r>
        <w:rPr>
          <w:rFonts w:ascii="Times New Roman" w:cs="Times New Roman" w:eastAsia="Times New Roman" w:hAnsi="Times New Roman"/>
          <w:sz w:val="24"/>
          <w:szCs w:val="24"/>
        </w:rPr>
        <w:t xml:space="preserve">In addition, the frozen corpus of coded, typed scripts will be documented for replication. The typed corpus is de-identified: identifying content is removed and the linkage key is destroyed at the corpus-freezing date. The original handwritten scripts, which remain potentially re-identifiable, are held separately by the anonymiser (Section 3.8). Rescoring of the typed corpus by future models may therefore be possible, subject to the scope of the original consent, ethics approval and institutional data-management requirements.</w:t>
      </w:r>
    </w:p>
    <w:p>
      <w:pPr>
        <w:spacing w:after="120" w:line="360"/>
        <w:jc w:val="both"/>
      </w:pPr>
      <w:r>
        <w:rPr>
          <w:rFonts w:ascii="Times New Roman" w:cs="Times New Roman" w:eastAsia="Times New Roman" w:hAnsi="Times New Roman"/>
          <w:sz w:val="24"/>
          <w:szCs w:val="24"/>
        </w:rPr>
        <w:t xml:space="preserve">Separately from the data, the protocol materials—the evidence-record template (draft in Appendix D), the coding manual with its claim-segmentation guidelines, and the prompt template—will be deposited on the Open Science Framework with the preregistration, and any revisions made during coding will be documented there. The prompt template is deposited with placeholders; the passages, study rubric and reading keys are embargoed until AI scoring is complete, so that they cannot enter public text before they are submitted to the tools. The protocol materials can be reused independently of the corpus.</w:t>
      </w:r>
    </w:p>
    <w:p>
      <w:pPr>
        <w:pStyle w:val="Heading2"/>
        <w:spacing w:after="120" w:before="240" w:line="360"/>
      </w:pPr>
      <w:r>
        <w:rPr>
          <w:rFonts w:ascii="Times New Roman" w:cs="Times New Roman" w:eastAsia="Times New Roman" w:hAnsi="Times New Roman"/>
          <w:b/>
          <w:bCs/>
          <w:sz w:val="28"/>
          <w:szCs w:val="28"/>
        </w:rPr>
        <w:t xml:space="preserve">4.3 Limitations and mitigations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E8E8E8" w:val="clear"/>
            <w:vAlign w:val="center"/>
          </w:tcPr>
          <w:p>
            <w:pPr>
              <w:keepNext w:val="false"/>
              <w:spacing w:after="60"/>
            </w:pPr>
            <w:r>
              <w:rPr>
                <w:rFonts w:ascii="Times New Roman" w:cs="Times New Roman" w:eastAsia="Times New Roman" w:hAnsi="Times New Roman"/>
                <w:b/>
                <w:bCs/>
                <w:sz w:val="22"/>
                <w:szCs w:val="22"/>
              </w:rPr>
              <w:t xml:space="preserve">Limitation</w:t>
            </w:r>
          </w:p>
        </w:tc>
        <w:tc>
          <w:tcPr>
            <w:tcW w:type="dxa" w:w="6200"/>
            <w:shd w:fill="E8E8E8" w:val="clear"/>
            <w:vAlign w:val="center"/>
          </w:tcPr>
          <w:p>
            <w:pPr>
              <w:keepNext w:val="false"/>
              <w:spacing w:after="60"/>
            </w:pPr>
            <w:r>
              <w:rPr>
                <w:rFonts w:ascii="Times New Roman" w:cs="Times New Roman" w:eastAsia="Times New Roman" w:hAnsi="Times New Roman"/>
                <w:b/>
                <w:bCs/>
                <w:sz w:val="22"/>
                <w:szCs w:val="22"/>
              </w:rPr>
              <w:t xml:space="preserve">Response</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Teacher, researcher and rater are the same person</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Independent second rater; anonymiser types and de-identifies scripts (names, school references, identifiable anecdotes removed); blind, locked marking of coded, typed scripts in random order; four-week delay between last writing session and formal marking; second rater provides fully independent benchmark; H1–H2 agreement statistics detect systematic divergence. Complete elimination of familiarity bias is impossible; acknowledged as a limitation.</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One school, one task</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A deliberately controlled design; passage effects are estimated with two passages; claims are bounded to this task type and school context</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Two passages, both researcher-written</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Structured authenticity check against real 0500 passages by independent colleagues; passage comparison within the study</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130–160 scripts (65–80 students × 2 passages)</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Bootstrapped 95% CIs reported; expected precision discussed in preregistration</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Three passes limit repeatability precision relative to operational AES systems</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Individual-script precision with three passes remains limited, and the expected precision of tool-level ICC(1,1) will be assessed with the statistical adviser before preregistration. More passes would improve precision but exceed the study’s practical constraints.</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No comparison group for language background</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The study describes how the AI tools treat non-standard but meaningful phrasing within a multilingual sample; it cannot attribute scoring patterns to students’ language background or show differential impact relative to other populations</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Study rubric adapted from, not identical to, the Cambridge mark scheme</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Criterion-mapping table independently reviewed by two IGCSE colleagues (Section 3.3; Appendix C); findings are framed as evidence about AI scoring against an IGCSE-aligned rubric</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Counterbalanced but not fully crossed passage order</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Random assignment of A–B / B–A within each class balances order across passages; an overall order (first versus second session) effect is examined in a sensitivity model, but order effects cannot be separated for individual students</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Two tools, not the full market</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ChatGPT and Claude are two widely used consumer AI chat applications; other tools are excluded; claims are limited to the tools studied</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Single scoring wave</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Temporal drift is not addressed; this is left for future research, which could rescore the same frozen corpus</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Prompt sensitivity</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The study uses a single fixed framing that requests separate reading and writing justifications; findings apply to this prompting procedure, and prompt-sensitivity effects are left for future research.</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Content analysis limited to 8 scripts</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Selection rule covers both passages, both criteria, both directions of disagreement and close agreement; two coders work independently from the same pre-segmented claim list, and inter-coder agreement is reported for the evidential, criterion-appropriateness and thematic judgements; the supervisor reviews a sample. Findings are reported as illustrative evidence about the selected cases, not as prevalence estimates.</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Discrepancy-review workflow not tested with teachers</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The study provides scoring evidence only; whether teachers find the correction-gap evidence interpretable and actionable is left for future research.</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Audit protocol demonstrated on one task</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The protocol is documented, piloted and its inter-coder agreement reported for IGCSE-aligned summaries only; its performance after adaptation to other tasks is left for future research</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Anchor monitoring descriptive only</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Anchor scores are monitored descriptively without a formal threshold; they provide a record of day-to-day stability but do not trigger formal action</w:t>
            </w:r>
          </w:p>
        </w:tc>
      </w:tr>
    </w:tbl>
    <w:p>
      <w:pPr>
        <w:pStyle w:val="Heading2"/>
        <w:spacing w:after="120" w:before="240" w:line="360"/>
      </w:pPr>
      <w:r>
        <w:rPr>
          <w:rFonts w:ascii="Times New Roman" w:cs="Times New Roman" w:eastAsia="Times New Roman" w:hAnsi="Times New Roman"/>
          <w:b/>
          <w:bCs/>
          <w:sz w:val="28"/>
          <w:szCs w:val="28"/>
        </w:rPr>
        <w:t xml:space="preserve">4.4 Expected contribution</w:t>
      </w:r>
    </w:p>
    <w:p>
      <w:pPr>
        <w:spacing w:after="120" w:line="360"/>
        <w:jc w:val="both"/>
      </w:pPr>
      <w:r>
        <w:rPr>
          <w:rFonts w:ascii="Times New Roman" w:cs="Times New Roman" w:eastAsia="Times New Roman" w:hAnsi="Times New Roman"/>
          <w:sz w:val="24"/>
          <w:szCs w:val="24"/>
        </w:rPr>
        <w:t xml:space="preserve">The study is expected to contribute in four ways.</w:t>
      </w:r>
    </w:p>
    <w:p>
      <w:pPr>
        <w:spacing w:after="120" w:line="360"/>
        <w:jc w:val="both"/>
      </w:pPr>
      <w:r>
        <w:rPr>
          <w:rFonts w:ascii="Times New Roman" w:cs="Times New Roman" w:eastAsia="Times New Roman" w:hAnsi="Times New Roman"/>
          <w:sz w:val="24"/>
          <w:szCs w:val="24"/>
        </w:rPr>
        <w:t xml:space="preserve">Empirically, it will estimate pass-to-pass consistency, human–AI agreement and the scoring correction gap for two widely used consumer AI tools on an authentic qualification-relevant secondary assessment task (IGCSE) across two passages, under the ecological conditions of consumer access. Its central empirical contribution is evidence on how consistent consumer AI scoring of an IGCSE selective summary is, how closely it aligns with human judgement on each criterion, and, where it diverges, what the pattern of divergence reveals—evidence that can inform, but does not by itself establish, the use of AI as a second marker.</w:t>
      </w:r>
    </w:p>
    <w:p>
      <w:pPr>
        <w:spacing w:after="120" w:line="360"/>
        <w:jc w:val="both"/>
      </w:pPr>
      <w:r>
        <w:rPr>
          <w:rFonts w:ascii="Times New Roman" w:cs="Times New Roman" w:eastAsia="Times New Roman" w:hAnsi="Times New Roman"/>
          <w:sz w:val="24"/>
          <w:szCs w:val="24"/>
        </w:rPr>
        <w:t xml:space="preserve">Conceptually, it will extend argument-based validation of AI scoring by treating construct representation as a separate inference, evidenced through criterion-level checks of the tools’ stated justifications. The scoring correction gap serves as an organising label for this analysis rather than as a new construct. The reading–writing criterion-separation analysis will contribute evidence, within this multilingual sample, on whether AI scoring confuses reading and writing constructs or introduces construct-irrelevant variance on a source-based task.</w:t>
      </w:r>
    </w:p>
    <w:p>
      <w:pPr>
        <w:spacing w:after="120" w:line="360"/>
        <w:jc w:val="both"/>
      </w:pPr>
      <w:r>
        <w:rPr>
          <w:rFonts w:ascii="Times New Roman" w:cs="Times New Roman" w:eastAsia="Times New Roman" w:hAnsi="Times New Roman"/>
          <w:sz w:val="24"/>
          <w:szCs w:val="24"/>
        </w:rPr>
        <w:t xml:space="preserve">Methodologically, it will document and demonstrate a protocol for auditing AI scoring justifications—claim segmentation, separate evidential and criterion-appropriateness judgements, and independent dual coding with reported agreement—on IGCSE-aligned summaries, designed for adaptation to other tools, other rubric-based tasks and future model versions.</w:t>
      </w:r>
    </w:p>
    <w:p>
      <w:pPr>
        <w:spacing w:after="120" w:line="360"/>
        <w:jc w:val="both"/>
      </w:pPr>
      <w:r>
        <w:rPr>
          <w:rFonts w:ascii="Times New Roman" w:cs="Times New Roman" w:eastAsia="Times New Roman" w:hAnsi="Times New Roman"/>
          <w:sz w:val="24"/>
          <w:szCs w:val="24"/>
        </w:rPr>
        <w:t xml:space="preserve">Practically, it will provide descriptive evidence—consistency statistics, agreement benchmarks, correction-gap profiles and qualitative explanations—to inform further evaluation of consumer AI tools as second markers for this task. The evidence is intended as a foundation for further validation, including studies with teachers, rather than immediate operational adoption.</w:t>
      </w:r>
    </w:p>
    <w:p>
      <w:pPr>
        <w:pStyle w:val="Heading1"/>
        <w:pageBreakBefore/>
        <w:spacing w:after="120" w:before="0" w:line="360"/>
      </w:pPr>
      <w:r>
        <w:rPr>
          <w:rFonts w:ascii="Times New Roman" w:cs="Times New Roman" w:eastAsia="Times New Roman" w:hAnsi="Times New Roman"/>
          <w:b/>
          <w:bCs/>
          <w:sz w:val="32"/>
          <w:szCs w:val="32"/>
        </w:rPr>
        <w:t xml:space="preserve">Appendix A. Draft Prompt Framing</w:t>
      </w:r>
    </w:p>
    <w:p>
      <w:pPr>
        <w:spacing w:after="120" w:line="360"/>
        <w:jc w:val="both"/>
      </w:pPr>
      <w:r>
        <w:rPr>
          <w:rFonts w:ascii="Times New Roman" w:cs="Times New Roman" w:eastAsia="Times New Roman" w:hAnsi="Times New Roman"/>
          <w:b/>
          <w:bCs/>
          <w:sz w:val="24"/>
          <w:szCs w:val="24"/>
        </w:rPr>
        <w:t xml:space="preserve">Status: DRAFT. </w:t>
      </w:r>
      <w:r>
        <w:rPr>
          <w:rFonts w:ascii="Times New Roman" w:cs="Times New Roman" w:eastAsia="Times New Roman" w:hAnsi="Times New Roman"/>
          <w:sz w:val="24"/>
          <w:szCs w:val="24"/>
        </w:rPr>
        <w:t xml:space="preserve">This wording is illustrative only. The final wording will be fixed before data collection and then never changed. Square-bracketed items are placeholders.</w:t>
      </w:r>
    </w:p>
    <w:p>
      <w:pPr>
        <w:spacing w:after="120" w:line="360"/>
        <w:jc w:val="both"/>
      </w:pPr>
      <w:r>
        <w:rPr>
          <w:rFonts w:ascii="Times New Roman" w:cs="Times New Roman" w:eastAsia="Times New Roman" w:hAnsi="Times New Roman"/>
          <w:b/>
          <w:bCs/>
          <w:sz w:val="24"/>
          <w:szCs w:val="24"/>
        </w:rPr>
        <w:t xml:space="preserve">Rubric-embedded framing</w:t>
      </w:r>
    </w:p>
    <w:p>
      <w:pPr>
        <w:spacing w:after="120" w:line="360"/>
        <w:ind w:left="720"/>
        <w:jc w:val="both"/>
      </w:pPr>
      <w:r>
        <w:rPr>
          <w:rFonts w:ascii="Times New Roman" w:cs="Times New Roman" w:eastAsia="Times New Roman" w:hAnsi="Times New Roman"/>
          <w:sz w:val="24"/>
          <w:szCs w:val="24"/>
        </w:rPr>
        <w:t xml:space="preserve">Below are a reading passage, a summary task, and a student’s summary written in response to the task.</w:t>
      </w:r>
    </w:p>
    <w:p>
      <w:pPr>
        <w:spacing w:after="120" w:line="360"/>
        <w:ind w:left="720"/>
        <w:jc w:val="both"/>
      </w:pPr>
      <w:r>
        <w:rPr>
          <w:rFonts w:ascii="Times New Roman" w:cs="Times New Roman" w:eastAsia="Times New Roman" w:hAnsi="Times New Roman"/>
          <w:sz w:val="24"/>
          <w:szCs w:val="24"/>
        </w:rPr>
        <w:t xml:space="preserve">PASSAGE: [PASSAGE]</w:t>
      </w:r>
    </w:p>
    <w:p>
      <w:pPr>
        <w:spacing w:after="120" w:line="360"/>
        <w:ind w:left="720"/>
        <w:jc w:val="both"/>
      </w:pPr>
      <w:r>
        <w:rPr>
          <w:rFonts w:ascii="Times New Roman" w:cs="Times New Roman" w:eastAsia="Times New Roman" w:hAnsi="Times New Roman"/>
          <w:sz w:val="24"/>
          <w:szCs w:val="24"/>
        </w:rPr>
        <w:t xml:space="preserve">TASK: [TASK]</w:t>
      </w:r>
    </w:p>
    <w:p>
      <w:pPr>
        <w:spacing w:after="120" w:line="360"/>
        <w:ind w:left="720"/>
        <w:jc w:val="both"/>
      </w:pPr>
      <w:r>
        <w:rPr>
          <w:rFonts w:ascii="Times New Roman" w:cs="Times New Roman" w:eastAsia="Times New Roman" w:hAnsi="Times New Roman"/>
          <w:sz w:val="24"/>
          <w:szCs w:val="24"/>
        </w:rPr>
        <w:t xml:space="preserve">STUDENT’S SUMMARY: [SUMMARY]</w:t>
      </w:r>
    </w:p>
    <w:p>
      <w:pPr>
        <w:spacing w:after="120" w:line="360"/>
        <w:ind w:left="720"/>
        <w:jc w:val="both"/>
      </w:pPr>
      <w:r>
        <w:rPr>
          <w:rFonts w:ascii="Times New Roman" w:cs="Times New Roman" w:eastAsia="Times New Roman" w:hAnsi="Times New Roman"/>
          <w:sz w:val="24"/>
          <w:szCs w:val="24"/>
        </w:rPr>
        <w:t xml:space="preserve">The student’s summary may contain text marked [crossed out] or [illegible]. Text marked [crossed out] is excluded from the word count and is not credited. Text marked [illegible] is likewise excluded from the word count; note any [illegible] passages when they affect the creditability of content.</w:t>
      </w:r>
    </w:p>
    <w:p>
      <w:pPr>
        <w:spacing w:after="120" w:line="360"/>
        <w:ind w:left="720"/>
        <w:jc w:val="both"/>
      </w:pPr>
      <w:r>
        <w:rPr>
          <w:rFonts w:ascii="Times New Roman" w:cs="Times New Roman" w:eastAsia="Times New Roman" w:hAnsi="Times New Roman"/>
          <w:sz w:val="24"/>
          <w:szCs w:val="24"/>
        </w:rPr>
        <w:t xml:space="preserve">Mark this summary. It is marked out of 10 for reading and 5 for writing.</w:t>
      </w:r>
    </w:p>
    <w:p>
      <w:pPr>
        <w:spacing w:after="120" w:line="360"/>
        <w:ind w:left="720"/>
        <w:jc w:val="both"/>
      </w:pPr>
      <w:r>
        <w:rPr>
          <w:rFonts w:ascii="Times New Roman" w:cs="Times New Roman" w:eastAsia="Times New Roman" w:hAnsi="Times New Roman"/>
          <w:sz w:val="24"/>
          <w:szCs w:val="24"/>
        </w:rPr>
        <w:t xml:space="preserve">Use the following marking rubric: [RUBRIC]</w:t>
      </w:r>
    </w:p>
    <w:p>
      <w:pPr>
        <w:spacing w:after="120" w:line="360"/>
        <w:ind w:left="720"/>
        <w:jc w:val="both"/>
      </w:pPr>
      <w:r>
        <w:rPr>
          <w:rFonts w:ascii="Times New Roman" w:cs="Times New Roman" w:eastAsia="Times New Roman" w:hAnsi="Times New Roman"/>
          <w:sz w:val="24"/>
          <w:szCs w:val="24"/>
        </w:rPr>
        <w:t xml:space="preserve">Award the reading mark holistically using the level descriptors in the rubric above. The reading key below lists indicative content points to help you understand what the passage offers; treat it as a guide, not a checklist to convert into marks. Other valid ideas not listed here may be credited. [READING KEY]</w:t>
      </w:r>
    </w:p>
    <w:p>
      <w:pPr>
        <w:spacing w:after="120" w:line="360"/>
        <w:ind w:left="720"/>
        <w:jc w:val="both"/>
      </w:pPr>
      <w:r>
        <w:rPr>
          <w:rFonts w:ascii="Times New Roman" w:cs="Times New Roman" w:eastAsia="Times New Roman" w:hAnsi="Times New Roman"/>
          <w:sz w:val="24"/>
          <w:szCs w:val="24"/>
        </w:rPr>
        <w:t xml:space="preserve">Give your marks on the first line in exactly this form: Reading _/10; Writing _/5</w:t>
      </w:r>
    </w:p>
    <w:p>
      <w:pPr>
        <w:spacing w:after="120" w:line="360"/>
        <w:ind w:left="720"/>
        <w:jc w:val="both"/>
      </w:pPr>
      <w:r>
        <w:rPr>
          <w:rFonts w:ascii="Times New Roman" w:cs="Times New Roman" w:eastAsia="Times New Roman" w:hAnsi="Times New Roman"/>
          <w:sz w:val="24"/>
          <w:szCs w:val="24"/>
        </w:rPr>
        <w:t xml:space="preserve">Then give a brief justification for each mark, with reference to the relevant level descriptors, under these two headings:</w:t>
      </w:r>
    </w:p>
    <w:p>
      <w:pPr>
        <w:spacing w:after="120" w:line="360"/>
        <w:ind w:left="720"/>
        <w:jc w:val="both"/>
      </w:pPr>
      <w:r>
        <w:rPr>
          <w:rFonts w:ascii="Times New Roman" w:cs="Times New Roman" w:eastAsia="Times New Roman" w:hAnsi="Times New Roman"/>
          <w:sz w:val="24"/>
          <w:szCs w:val="24"/>
        </w:rPr>
        <w:t xml:space="preserve">Reading justification:</w:t>
      </w:r>
    </w:p>
    <w:p>
      <w:pPr>
        <w:spacing w:after="120" w:line="360"/>
        <w:ind w:left="720"/>
        <w:jc w:val="both"/>
      </w:pPr>
      <w:r>
        <w:rPr>
          <w:rFonts w:ascii="Times New Roman" w:cs="Times New Roman" w:eastAsia="Times New Roman" w:hAnsi="Times New Roman"/>
          <w:sz w:val="24"/>
          <w:szCs w:val="24"/>
        </w:rPr>
        <w:t xml:space="preserve">Writing justification:</w:t>
      </w:r>
    </w:p>
    <w:p>
      <w:pPr>
        <w:spacing w:after="120" w:line="360"/>
        <w:jc w:val="both"/>
      </w:pPr>
      <w:r>
        <w:rPr>
          <w:rFonts w:ascii="Times New Roman" w:cs="Times New Roman" w:eastAsia="Times New Roman" w:hAnsi="Times New Roman"/>
          <w:i/>
          <w:iCs/>
          <w:sz w:val="24"/>
          <w:szCs w:val="24"/>
        </w:rPr>
        <w:t xml:space="preserve">Fixed in advance: </w:t>
      </w:r>
      <w:r>
        <w:rPr>
          <w:rFonts w:ascii="Times New Roman" w:cs="Times New Roman" w:eastAsia="Times New Roman" w:hAnsi="Times New Roman"/>
          <w:sz w:val="24"/>
          <w:szCs w:val="24"/>
        </w:rPr>
        <w:t xml:space="preserve">the handling of refusals and of out-of-range or unparseable answers, and the parsing rule for the output line.</w:t>
      </w:r>
    </w:p>
    <w:p>
      <w:pPr>
        <w:pStyle w:val="Heading1"/>
        <w:pageBreakBefore/>
        <w:spacing w:after="120" w:before="0" w:line="360"/>
      </w:pPr>
      <w:r>
        <w:rPr>
          <w:rFonts w:ascii="Times New Roman" w:cs="Times New Roman" w:eastAsia="Times New Roman" w:hAnsi="Times New Roman"/>
          <w:b/>
          <w:bCs/>
          <w:sz w:val="32"/>
          <w:szCs w:val="32"/>
        </w:rPr>
        <w:t xml:space="preserve">Appendix B. Fields of the Session Log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E8E8E8" w:val="clear"/>
            <w:vAlign w:val="center"/>
          </w:tcPr>
          <w:p>
            <w:pPr>
              <w:keepNext w:val="false"/>
              <w:spacing w:after="60"/>
            </w:pPr>
            <w:r>
              <w:rPr>
                <w:rFonts w:ascii="Times New Roman" w:cs="Times New Roman" w:eastAsia="Times New Roman" w:hAnsi="Times New Roman"/>
                <w:b/>
                <w:bCs/>
                <w:sz w:val="22"/>
                <w:szCs w:val="22"/>
              </w:rPr>
              <w:t xml:space="preserve">Field</w:t>
            </w:r>
          </w:p>
        </w:tc>
        <w:tc>
          <w:tcPr>
            <w:tcW w:type="dxa" w:w="6800"/>
            <w:shd w:fill="E8E8E8" w:val="clear"/>
            <w:vAlign w:val="center"/>
          </w:tcPr>
          <w:p>
            <w:pPr>
              <w:keepNext w:val="false"/>
              <w:spacing w:after="60"/>
            </w:pPr>
            <w:r>
              <w:rPr>
                <w:rFonts w:ascii="Times New Roman" w:cs="Times New Roman" w:eastAsia="Times New Roman" w:hAnsi="Times New Roman"/>
                <w:b/>
                <w:bCs/>
                <w:sz w:val="22"/>
                <w:szCs w:val="22"/>
              </w:rPr>
              <w:t xml:space="preserve">Description</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Submission ID</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Unique identifier for each submission</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Date and time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Date and time of submission (with time zone)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App and plan</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ChatGPT or Claude; interface (web or mobile); subscription plan</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Model name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Named model selected in the picker, as displayed (the same model throughout unless unavailable)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Reasoning mode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Reasoning or thinking setting as displayed</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Model change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Whether the displayed model label differs from that at the start of the scoring window (used as a covariate only where separately estimable from pass)</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Framing</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Rubric-embedded</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Passage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A or B</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Pass</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1, 2 or 3</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Randomised position</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Position of the submission in the pass’s randomised order</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Script code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Anonymised script code, or anchor code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Anchor flag</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Whether the submission is an anchor check</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Settings check</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Memory, personalisation, custom instructions and training off; temporary or incognito chat used (yes/no)</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Full response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Complete text of the AI response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Extracted scores</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Reading and writing marks parsed from the output line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Response status</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Valid, refusal, out-of-range or unparseable, handled by the pre-set rules</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Screenshot</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File reference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Anomalies</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Message-cap interruptions, regenerated responses or other irregularities</w:t>
            </w:r>
          </w:p>
        </w:tc>
      </w:tr>
    </w:tbl>
    <w:p>
      <w:pPr>
        <w:pStyle w:val="Heading1"/>
        <w:pageBreakBefore/>
        <w:spacing w:after="120" w:before="0" w:line="360"/>
      </w:pPr>
      <w:r>
        <w:rPr>
          <w:rFonts w:ascii="Times New Roman" w:cs="Times New Roman" w:eastAsia="Times New Roman" w:hAnsi="Times New Roman"/>
          <w:b/>
          <w:bCs/>
          <w:sz w:val="32"/>
          <w:szCs w:val="32"/>
        </w:rPr>
        <w:t xml:space="preserve">Appendix C. Draft Criterion-Mapping Table</w:t>
      </w:r>
    </w:p>
    <w:p>
      <w:pPr>
        <w:spacing w:after="120" w:line="360"/>
        <w:jc w:val="both"/>
      </w:pPr>
      <w:r>
        <w:rPr>
          <w:rFonts w:ascii="Times New Roman" w:cs="Times New Roman" w:eastAsia="Times New Roman" w:hAnsi="Times New Roman"/>
          <w:b/>
          <w:bCs/>
          <w:sz w:val="24"/>
          <w:szCs w:val="24"/>
        </w:rPr>
        <w:t xml:space="preserve">Status: DRAFT. </w:t>
      </w:r>
      <w:r>
        <w:rPr>
          <w:rFonts w:ascii="Times New Roman" w:cs="Times New Roman" w:eastAsia="Times New Roman" w:hAnsi="Times New Roman"/>
          <w:sz w:val="24"/>
          <w:szCs w:val="24"/>
        </w:rPr>
        <w:t xml:space="preserve">Cambridge criteria are paraphrased from Table A (Reading) and Table B (Writing) for Question 2(a) in the 2027 specimen mark scheme (Cambridge International Education, 2024b), not quoted. Bracketed codes are the assessment objectives the syllabus states Question 2(a) tests: reading R1 (explicit meanings), R2 (implicit meanings and attitudes) and R5 (selecting and using information for specific purposes); writing W1 (articulating what is thought, felt and imagined), W2 (organising and structuring ideas) and W3 (range of vocabulary and sentence structures appropriate to context) (Cambridge International Education, 2024c). The mapping is designed not to move any quality from one criterion to the other. The final mapping will be completed once the study rubric is written, and judged independently by two IGCSE colleagues as full, partial or absent (Section 3.3).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3000"/>
        <w:gridCol w:w="1800"/>
      </w:tblGrid>
      <w:tr>
        <w:trPr>
          <w:tblHeader/>
        </w:trPr>
        <w:tc>
          <w:tcPr>
            <w:tcW w:type="dxa" w:w="2500"/>
            <w:shd w:fill="E8E8E8" w:val="clear"/>
            <w:vAlign w:val="center"/>
          </w:tcPr>
          <w:p>
            <w:pPr>
              <w:keepNext w:val="false"/>
              <w:spacing w:after="60"/>
            </w:pPr>
            <w:r>
              <w:rPr>
                <w:rFonts w:ascii="Times New Roman" w:cs="Times New Roman" w:eastAsia="Times New Roman" w:hAnsi="Times New Roman"/>
                <w:b/>
                <w:bCs/>
                <w:sz w:val="22"/>
                <w:szCs w:val="22"/>
              </w:rPr>
              <w:t xml:space="preserve">Cambridge Q2(a) criterion (paraphrased)</w:t>
            </w:r>
          </w:p>
        </w:tc>
        <w:tc>
          <w:tcPr>
            <w:tcW w:type="dxa" w:w="1900"/>
            <w:shd w:fill="E8E8E8" w:val="clear"/>
            <w:vAlign w:val="center"/>
          </w:tcPr>
          <w:p>
            <w:pPr>
              <w:keepNext w:val="false"/>
              <w:spacing w:after="60"/>
            </w:pPr>
            <w:r>
              <w:rPr>
                <w:rFonts w:ascii="Times New Roman" w:cs="Times New Roman" w:eastAsia="Times New Roman" w:hAnsi="Times New Roman"/>
                <w:b/>
                <w:bCs/>
                <w:sz w:val="22"/>
                <w:szCs w:val="22"/>
              </w:rPr>
              <w:t xml:space="preserve">Study rubric element</w:t>
            </w:r>
          </w:p>
        </w:tc>
        <w:tc>
          <w:tcPr>
            <w:tcW w:type="dxa" w:w="3000"/>
            <w:shd w:fill="E8E8E8" w:val="clear"/>
            <w:vAlign w:val="center"/>
          </w:tcPr>
          <w:p>
            <w:pPr>
              <w:keepNext w:val="false"/>
              <w:spacing w:after="60"/>
            </w:pPr>
            <w:r>
              <w:rPr>
                <w:rFonts w:ascii="Times New Roman" w:cs="Times New Roman" w:eastAsia="Times New Roman" w:hAnsi="Times New Roman"/>
                <w:b/>
                <w:bCs/>
                <w:sz w:val="22"/>
                <w:szCs w:val="22"/>
              </w:rPr>
              <w:t xml:space="preserve">How the element preserves the criterion</w:t>
            </w:r>
          </w:p>
        </w:tc>
        <w:tc>
          <w:tcPr>
            <w:tcW w:type="dxa" w:w="1800"/>
            <w:shd w:fill="E8E8E8" w:val="clear"/>
            <w:vAlign w:val="center"/>
          </w:tcPr>
          <w:p>
            <w:pPr>
              <w:keepNext w:val="false"/>
              <w:spacing w:after="60"/>
            </w:pPr>
            <w:r>
              <w:rPr>
                <w:rFonts w:ascii="Times New Roman" w:cs="Times New Roman" w:eastAsia="Times New Roman" w:hAnsi="Times New Roman"/>
                <w:b/>
                <w:bCs/>
                <w:sz w:val="22"/>
                <w:szCs w:val="22"/>
              </w:rPr>
              <w:t xml:space="preserve">Reviewer judgement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Reading: </w:t>
            </w:r>
            <w:r>
              <w:rPr>
                <w:rFonts w:ascii="Times New Roman" w:cs="Times New Roman" w:eastAsia="Times New Roman" w:hAnsi="Times New Roman"/>
                <w:sz w:val="22"/>
                <w:szCs w:val="22"/>
              </w:rPr>
              <w:t xml:space="preserve">understanding of a range of relevant ideas (R1, R2)</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Reading level descriptors; reading key</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Bands describe the range of relevant ideas understood and how accurately they represent the source meaning; the reading key lists the content points the passage offers</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Reading: </w:t>
            </w:r>
            <w:r>
              <w:rPr>
                <w:rFonts w:ascii="Times New Roman" w:cs="Times New Roman" w:eastAsia="Times New Roman" w:hAnsi="Times New Roman"/>
                <w:sz w:val="22"/>
                <w:szCs w:val="22"/>
              </w:rPr>
              <w:t xml:space="preserve">selection of relevant ideas, from indiscriminate selection or excess material to careful and skilful selection (R5)</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Reading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Bands judge which ideas are selected and whether they are relevant. Borrowing source wording is not treated as poor selection; it is assessed under writing</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Reading: </w:t>
            </w:r>
            <w:r>
              <w:rPr>
                <w:rFonts w:ascii="Times New Roman" w:cs="Times New Roman" w:eastAsia="Times New Roman" w:hAnsi="Times New Roman"/>
                <w:sz w:val="22"/>
                <w:szCs w:val="22"/>
              </w:rPr>
              <w:t xml:space="preserve">focus on the text and task (R5)</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Task wording; reading key; reading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The reading key includes only points relevant to the task focus; bands credit focus on that aspect</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Reading: </w:t>
            </w:r>
            <w:r>
              <w:rPr>
                <w:rFonts w:ascii="Times New Roman" w:cs="Times New Roman" w:eastAsia="Times New Roman" w:hAnsi="Times New Roman"/>
                <w:sz w:val="22"/>
                <w:szCs w:val="22"/>
              </w:rPr>
              <w:t xml:space="preserve">overview demonstrated through selection (R5)</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Reading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Level 5 requires relevant ideas skilfully selected to demonstrate an overview; Level 4 requires some evidence of an overview. No separate requirement to group or link points is added; organisation is assessed under writing</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Reading: </w:t>
            </w:r>
            <w:r>
              <w:rPr>
                <w:rFonts w:ascii="Times New Roman" w:cs="Times New Roman" w:eastAsia="Times New Roman" w:hAnsi="Times New Roman"/>
                <w:sz w:val="22"/>
                <w:szCs w:val="22"/>
              </w:rPr>
              <w:t xml:space="preserve">holistic banded judgement out of 10</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Five two-mark levels (1–2 to 9–10) plus 0</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Same band structure and holistic approach; 0 for no creditable content; the reading key guides but is not converted into a point count</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Writing: </w:t>
            </w:r>
            <w:r>
              <w:rPr>
                <w:rFonts w:ascii="Times New Roman" w:cs="Times New Roman" w:eastAsia="Times New Roman" w:hAnsi="Times New Roman"/>
                <w:sz w:val="22"/>
                <w:szCs w:val="22"/>
              </w:rPr>
              <w:t xml:space="preserve">expression: clear and fluent at the top level (W1, W3)</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Writing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Bands describe how clearly and fluently the summary reads</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Writing: </w:t>
            </w:r>
            <w:r>
              <w:rPr>
                <w:rFonts w:ascii="Times New Roman" w:cs="Times New Roman" w:eastAsia="Times New Roman" w:hAnsi="Times New Roman"/>
                <w:sz w:val="22"/>
                <w:szCs w:val="22"/>
              </w:rPr>
              <w:t xml:space="preserve">organisation: from limited to effective (W2)</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Writing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Bands describe how effectively the summary is organised</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Writing: </w:t>
            </w:r>
            <w:r>
              <w:rPr>
                <w:rFonts w:ascii="Times New Roman" w:cs="Times New Roman" w:eastAsia="Times New Roman" w:hAnsi="Times New Roman"/>
                <w:sz w:val="22"/>
                <w:szCs w:val="22"/>
              </w:rPr>
              <w:t xml:space="preserve">reliance on the words of the text; lifted sections at the lowest level (W3)</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Writing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Bands credit transformation of source language and reduce credit for extended reliance on source wording; necessary terms, names and technical words with no reasonable alternative are not penalised</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Writing: </w:t>
            </w:r>
            <w:r>
              <w:rPr>
                <w:rFonts w:ascii="Times New Roman" w:cs="Times New Roman" w:eastAsia="Times New Roman" w:hAnsi="Times New Roman"/>
                <w:sz w:val="22"/>
                <w:szCs w:val="22"/>
              </w:rPr>
              <w:t xml:space="preserve">concise use of a range of appropriate vocabulary (W3)</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Writing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Bands credit concise expression and a range of appropriate vocabulary</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Writing: </w:t>
            </w:r>
            <w:r>
              <w:rPr>
                <w:rFonts w:ascii="Times New Roman" w:cs="Times New Roman" w:eastAsia="Times New Roman" w:hAnsi="Times New Roman"/>
                <w:sz w:val="22"/>
                <w:szCs w:val="22"/>
              </w:rPr>
              <w:t xml:space="preserve">holistic banded judgement out of 5</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Three levels (4–5, 2–3, 1) plus 0</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Same three-level band structure; 0 for no creditable content</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Task: </w:t>
            </w:r>
            <w:r>
              <w:rPr>
                <w:rFonts w:ascii="Times New Roman" w:cs="Times New Roman" w:eastAsia="Times New Roman" w:hAnsi="Times New Roman"/>
                <w:sz w:val="22"/>
                <w:szCs w:val="22"/>
              </w:rPr>
              <w:t xml:space="preserve">continuous writing of no more than 120 words</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Task wording; marking rules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Same word limit and format; the handling of text beyond the limit follows the study rating guide</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bl>
    <w:p>
      <w:pPr>
        <w:pStyle w:val="Heading1"/>
        <w:pageBreakBefore/>
        <w:spacing w:after="120" w:before="0" w:line="360"/>
      </w:pPr>
      <w:r>
        <w:rPr>
          <w:rFonts w:ascii="Times New Roman" w:cs="Times New Roman" w:eastAsia="Times New Roman" w:hAnsi="Times New Roman"/>
          <w:b/>
          <w:bCs/>
          <w:sz w:val="32"/>
          <w:szCs w:val="32"/>
        </w:rPr>
        <w:t xml:space="preserve">Appendix D. Draft Evidence-Record Template</w:t>
      </w:r>
    </w:p>
    <w:p>
      <w:pPr>
        <w:spacing w:after="120" w:line="360"/>
        <w:jc w:val="both"/>
      </w:pPr>
      <w:r>
        <w:rPr>
          <w:rFonts w:ascii="Times New Roman" w:cs="Times New Roman" w:eastAsia="Times New Roman" w:hAnsi="Times New Roman"/>
          <w:b/>
          <w:bCs/>
          <w:sz w:val="24"/>
          <w:szCs w:val="24"/>
        </w:rPr>
        <w:t xml:space="preserve">Status: DRAFT. </w:t>
      </w:r>
      <w:r>
        <w:rPr>
          <w:rFonts w:ascii="Times New Roman" w:cs="Times New Roman" w:eastAsia="Times New Roman" w:hAnsi="Times New Roman"/>
          <w:sz w:val="24"/>
          <w:szCs w:val="24"/>
        </w:rPr>
        <w:t xml:space="preserve">One record is completed for each claim in a selected rationale text, independently by each coder, before any comparison. The template will be tested in the protocol pilot (Section 3.6) and fixed before main coding.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E8E8E8" w:val="clear"/>
            <w:vAlign w:val="center"/>
          </w:tcPr>
          <w:p>
            <w:pPr>
              <w:keepNext w:val="false"/>
              <w:spacing w:after="60"/>
            </w:pPr>
            <w:r>
              <w:rPr>
                <w:rFonts w:ascii="Times New Roman" w:cs="Times New Roman" w:eastAsia="Times New Roman" w:hAnsi="Times New Roman"/>
                <w:b/>
                <w:bCs/>
                <w:sz w:val="22"/>
                <w:szCs w:val="22"/>
              </w:rPr>
              <w:t xml:space="preserve">Field</w:t>
            </w:r>
          </w:p>
        </w:tc>
        <w:tc>
          <w:tcPr>
            <w:tcW w:type="dxa" w:w="6600"/>
            <w:shd w:fill="E8E8E8" w:val="clear"/>
            <w:vAlign w:val="center"/>
          </w:tcPr>
          <w:p>
            <w:pPr>
              <w:keepNext w:val="false"/>
              <w:spacing w:after="60"/>
            </w:pPr>
            <w:r>
              <w:rPr>
                <w:rFonts w:ascii="Times New Roman" w:cs="Times New Roman" w:eastAsia="Times New Roman" w:hAnsi="Times New Roman"/>
                <w:b/>
                <w:bCs/>
                <w:sz w:val="22"/>
                <w:szCs w:val="22"/>
              </w:rPr>
              <w:t xml:space="preserve">Content</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Claim ID</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Script code, tool, claim number from the pre-segmented claim list</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Mark justified</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Reading or writing (the justification section in which the claim appears)</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AI claim</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The claim as worded in the AI response</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Student evidence</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The relevant wording from the student’s summary, or “none found”</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Source evidence</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The relevant content point or wording from the passage, or “not applicable”</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Applicable descriptor</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The study-rubric descriptor for the mark being justified</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Evidential judgement</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Supported / contradicted / insufficient explanation / ambiguous</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Criterion appropriateness</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Appropriate / misattributed / unclear</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Thematic codes</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Present/absent for each code in the coding manual (a claim may receive more than one)</w:t>
            </w:r>
          </w:p>
        </w:tc>
      </w:tr>
      <w:tr>
        <w:trPr>
          <w:cantSplit/>
        </w:trPr>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Coder note</w:t>
            </w:r>
          </w:p>
        </w:tc>
        <w:tc>
          <w:tcPr>
            <w:tcW w:type="dxa" w:w="6600"/>
            <w:vAlign w:val="center"/>
          </w:tcPr>
          <w:p>
            <w:pPr>
              <w:keepNext w:val="false"/>
              <w:keepLines w:val="false"/>
              <w:spacing w:after="60"/>
            </w:pPr>
            <w:r>
              <w:rPr>
                <w:rFonts w:ascii="Times New Roman" w:cs="Times New Roman" w:eastAsia="Times New Roman" w:hAnsi="Times New Roman"/>
                <w:sz w:val="22"/>
                <w:szCs w:val="22"/>
              </w:rPr>
              <w:t xml:space="preserve">One line explaining any judgement other than supported and appropriate</w:t>
            </w:r>
          </w:p>
        </w:tc>
      </w:tr>
    </w:tbl>
    <w:p>
      <w:pPr>
        <w:keepNext/>
        <w:spacing w:after="120" w:line="360"/>
        <w:jc w:val="both"/>
      </w:pPr>
      <w:r>
        <w:rPr>
          <w:rFonts w:ascii="Times New Roman" w:cs="Times New Roman" w:eastAsia="Times New Roman" w:hAnsi="Times New Roman"/>
          <w:b/>
          <w:bCs/>
          <w:sz w:val="24"/>
          <w:szCs w:val="24"/>
        </w:rPr>
        <w:t xml:space="preserve">Illustrative example (invented; not study data). </w:t>
      </w:r>
      <w:r>
        <w:rPr>
          <w:rFonts w:ascii="Times New Roman" w:cs="Times New Roman" w:eastAsia="Times New Roman" w:hAnsi="Times New Roman"/>
          <w:sz w:val="24"/>
          <w:szCs w:val="24"/>
        </w:rPr>
        <w:t xml:space="preserve">The passage, summary and AI statements below are invented to show how the fields are completed. The passage is assumed to state that community gardens lower household food costs.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400"/>
      </w:tblGrid>
      <w:tr>
        <w:trPr>
          <w:tblHeader/>
        </w:trPr>
        <w:tc>
          <w:tcPr>
            <w:tcW w:type="dxa" w:w="2000"/>
            <w:shd w:fill="E8E8E8" w:val="clear"/>
            <w:vAlign w:val="center"/>
          </w:tcPr>
          <w:p>
            <w:pPr>
              <w:keepNext/>
              <w:spacing w:after="60"/>
            </w:pPr>
            <w:r>
              <w:rPr>
                <w:rFonts w:ascii="Times New Roman" w:cs="Times New Roman" w:eastAsia="Times New Roman" w:hAnsi="Times New Roman"/>
                <w:b/>
                <w:bCs/>
                <w:sz w:val="22"/>
                <w:szCs w:val="22"/>
              </w:rPr>
              <w:t xml:space="preserve">Field</w:t>
            </w:r>
          </w:p>
        </w:tc>
        <w:tc>
          <w:tcPr>
            <w:tcW w:type="dxa" w:w="2400"/>
            <w:shd w:fill="E8E8E8" w:val="clear"/>
            <w:vAlign w:val="center"/>
          </w:tcPr>
          <w:p>
            <w:pPr>
              <w:keepNext/>
              <w:spacing w:after="60"/>
            </w:pPr>
            <w:r>
              <w:rPr>
                <w:rFonts w:ascii="Times New Roman" w:cs="Times New Roman" w:eastAsia="Times New Roman" w:hAnsi="Times New Roman"/>
                <w:b/>
                <w:bCs/>
                <w:sz w:val="22"/>
                <w:szCs w:val="22"/>
              </w:rPr>
              <w:t xml:space="preserve">Claim R1</w:t>
            </w:r>
          </w:p>
        </w:tc>
        <w:tc>
          <w:tcPr>
            <w:tcW w:type="dxa" w:w="2400"/>
            <w:shd w:fill="E8E8E8" w:val="clear"/>
            <w:vAlign w:val="center"/>
          </w:tcPr>
          <w:p>
            <w:pPr>
              <w:keepNext/>
              <w:spacing w:after="60"/>
            </w:pPr>
            <w:r>
              <w:rPr>
                <w:rFonts w:ascii="Times New Roman" w:cs="Times New Roman" w:eastAsia="Times New Roman" w:hAnsi="Times New Roman"/>
                <w:b/>
                <w:bCs/>
                <w:sz w:val="22"/>
                <w:szCs w:val="22"/>
              </w:rPr>
              <w:t xml:space="preserve">Claim R2</w:t>
            </w:r>
          </w:p>
        </w:tc>
        <w:tc>
          <w:tcPr>
            <w:tcW w:type="dxa" w:w="2400"/>
            <w:shd w:fill="E8E8E8" w:val="clear"/>
            <w:vAlign w:val="center"/>
          </w:tcPr>
          <w:p>
            <w:pPr>
              <w:keepNext/>
              <w:spacing w:after="60"/>
            </w:pPr>
            <w:r>
              <w:rPr>
                <w:rFonts w:ascii="Times New Roman" w:cs="Times New Roman" w:eastAsia="Times New Roman" w:hAnsi="Times New Roman"/>
                <w:b/>
                <w:bCs/>
                <w:sz w:val="22"/>
                <w:szCs w:val="22"/>
              </w:rPr>
              <w:t xml:space="preserve">Claim W1</w:t>
            </w:r>
          </w:p>
        </w:tc>
      </w:tr>
      <w:tr>
        <w:trPr>
          <w:cantSplit/>
        </w:trPr>
        <w:tc>
          <w:tcPr>
            <w:tcW w:type="dxa" w:w="2000"/>
            <w:vAlign w:val="center"/>
          </w:tcPr>
          <w:p>
            <w:pPr>
              <w:keepNext/>
              <w:keepLines/>
              <w:spacing w:after="60"/>
            </w:pPr>
            <w:r>
              <w:rPr>
                <w:rFonts w:ascii="Times New Roman" w:cs="Times New Roman" w:eastAsia="Times New Roman" w:hAnsi="Times New Roman"/>
                <w:sz w:val="22"/>
                <w:szCs w:val="22"/>
              </w:rPr>
              <w:t xml:space="preserve">Mark justified</w:t>
            </w:r>
          </w:p>
        </w:tc>
        <w:tc>
          <w:tcPr>
            <w:tcW w:type="dxa" w:w="2400"/>
            <w:vAlign w:val="center"/>
          </w:tcPr>
          <w:p>
            <w:pPr>
              <w:keepNext/>
              <w:keepLines/>
              <w:spacing w:after="60"/>
            </w:pPr>
            <w:r>
              <w:rPr>
                <w:rFonts w:ascii="Times New Roman" w:cs="Times New Roman" w:eastAsia="Times New Roman" w:hAnsi="Times New Roman"/>
                <w:sz w:val="22"/>
                <w:szCs w:val="22"/>
              </w:rPr>
              <w:t xml:space="preserve">Reading</w:t>
            </w:r>
          </w:p>
        </w:tc>
        <w:tc>
          <w:tcPr>
            <w:tcW w:type="dxa" w:w="2400"/>
            <w:vAlign w:val="center"/>
          </w:tcPr>
          <w:p>
            <w:pPr>
              <w:keepNext/>
              <w:keepLines/>
              <w:spacing w:after="60"/>
            </w:pPr>
            <w:r>
              <w:rPr>
                <w:rFonts w:ascii="Times New Roman" w:cs="Times New Roman" w:eastAsia="Times New Roman" w:hAnsi="Times New Roman"/>
                <w:sz w:val="22"/>
                <w:szCs w:val="22"/>
              </w:rPr>
              <w:t xml:space="preserve">Reading</w:t>
            </w:r>
          </w:p>
        </w:tc>
        <w:tc>
          <w:tcPr>
            <w:tcW w:type="dxa" w:w="2400"/>
            <w:vAlign w:val="center"/>
          </w:tcPr>
          <w:p>
            <w:pPr>
              <w:keepNext/>
              <w:keepLines/>
              <w:spacing w:after="60"/>
            </w:pPr>
            <w:r>
              <w:rPr>
                <w:rFonts w:ascii="Times New Roman" w:cs="Times New Roman" w:eastAsia="Times New Roman" w:hAnsi="Times New Roman"/>
                <w:sz w:val="22"/>
                <w:szCs w:val="22"/>
              </w:rPr>
              <w:t xml:space="preserve">Writing</w:t>
            </w:r>
          </w:p>
        </w:tc>
      </w:tr>
      <w:tr>
        <w:trPr>
          <w:cantSplit/>
        </w:trPr>
        <w:tc>
          <w:tcPr>
            <w:tcW w:type="dxa" w:w="2000"/>
            <w:vAlign w:val="center"/>
          </w:tcPr>
          <w:p>
            <w:pPr>
              <w:keepNext/>
              <w:keepLines/>
              <w:spacing w:after="60"/>
            </w:pPr>
            <w:r>
              <w:rPr>
                <w:rFonts w:ascii="Times New Roman" w:cs="Times New Roman" w:eastAsia="Times New Roman" w:hAnsi="Times New Roman"/>
                <w:sz w:val="22"/>
                <w:szCs w:val="22"/>
              </w:rPr>
              <w:t xml:space="preserve">AI claim</w:t>
            </w:r>
          </w:p>
        </w:tc>
        <w:tc>
          <w:tcPr>
            <w:tcW w:type="dxa" w:w="2400"/>
            <w:vAlign w:val="center"/>
          </w:tcPr>
          <w:p>
            <w:pPr>
              <w:keepNext/>
              <w:keepLines/>
              <w:spacing w:after="60"/>
            </w:pPr>
            <w:r>
              <w:rPr>
                <w:rFonts w:ascii="Times New Roman" w:cs="Times New Roman" w:eastAsia="Times New Roman" w:hAnsi="Times New Roman"/>
                <w:sz w:val="22"/>
                <w:szCs w:val="22"/>
              </w:rPr>
              <w:t xml:space="preserve">“The summary identifies the saving on household food costs.”</w:t>
            </w:r>
          </w:p>
        </w:tc>
        <w:tc>
          <w:tcPr>
            <w:tcW w:type="dxa" w:w="2400"/>
            <w:vAlign w:val="center"/>
          </w:tcPr>
          <w:p>
            <w:pPr>
              <w:keepNext/>
              <w:keepLines/>
              <w:spacing w:after="60"/>
            </w:pPr>
            <w:r>
              <w:rPr>
                <w:rFonts w:ascii="Times New Roman" w:cs="Times New Roman" w:eastAsia="Times New Roman" w:hAnsi="Times New Roman"/>
                <w:sz w:val="22"/>
                <w:szCs w:val="22"/>
              </w:rPr>
              <w:t xml:space="preserve">“The summary is clear and fluent, showing strong understanding.”</w:t>
            </w:r>
          </w:p>
        </w:tc>
        <w:tc>
          <w:tcPr>
            <w:tcW w:type="dxa" w:w="2400"/>
            <w:vAlign w:val="center"/>
          </w:tcPr>
          <w:p>
            <w:pPr>
              <w:keepNext/>
              <w:keepLines/>
              <w:spacing w:after="60"/>
            </w:pPr>
            <w:r>
              <w:rPr>
                <w:rFonts w:ascii="Times New Roman" w:cs="Times New Roman" w:eastAsia="Times New Roman" w:hAnsi="Times New Roman"/>
                <w:sz w:val="22"/>
                <w:szCs w:val="22"/>
              </w:rPr>
              <w:t xml:space="preserve">“The student copies long phrases from the passage.”</w:t>
            </w:r>
          </w:p>
        </w:tc>
      </w:tr>
      <w:tr>
        <w:trPr>
          <w:cantSplit/>
        </w:trPr>
        <w:tc>
          <w:tcPr>
            <w:tcW w:type="dxa" w:w="2000"/>
            <w:vAlign w:val="center"/>
          </w:tcPr>
          <w:p>
            <w:pPr>
              <w:keepNext/>
              <w:keepLines/>
              <w:spacing w:after="60"/>
            </w:pPr>
            <w:r>
              <w:rPr>
                <w:rFonts w:ascii="Times New Roman" w:cs="Times New Roman" w:eastAsia="Times New Roman" w:hAnsi="Times New Roman"/>
                <w:sz w:val="22"/>
                <w:szCs w:val="22"/>
              </w:rPr>
              <w:t xml:space="preserve">Student evidence</w:t>
            </w:r>
          </w:p>
        </w:tc>
        <w:tc>
          <w:tcPr>
            <w:tcW w:type="dxa" w:w="2400"/>
            <w:vAlign w:val="center"/>
          </w:tcPr>
          <w:p>
            <w:pPr>
              <w:keepNext/>
              <w:keepLines/>
              <w:spacing w:after="60"/>
            </w:pPr>
            <w:r>
              <w:rPr>
                <w:rFonts w:ascii="Times New Roman" w:cs="Times New Roman" w:eastAsia="Times New Roman" w:hAnsi="Times New Roman"/>
                <w:sz w:val="22"/>
                <w:szCs w:val="22"/>
              </w:rPr>
              <w:t xml:space="preserve">“families can grow cheaper food together”</w:t>
            </w:r>
          </w:p>
        </w:tc>
        <w:tc>
          <w:tcPr>
            <w:tcW w:type="dxa" w:w="2400"/>
            <w:vAlign w:val="center"/>
          </w:tcPr>
          <w:p>
            <w:pPr>
              <w:keepNext/>
              <w:keepLines/>
              <w:spacing w:after="60"/>
            </w:pPr>
            <w:r>
              <w:rPr>
                <w:rFonts w:ascii="Times New Roman" w:cs="Times New Roman" w:eastAsia="Times New Roman" w:hAnsi="Times New Roman"/>
                <w:sz w:val="22"/>
                <w:szCs w:val="22"/>
              </w:rPr>
              <w:t xml:space="preserve">Summary reads fluently throughout</w:t>
            </w:r>
          </w:p>
        </w:tc>
        <w:tc>
          <w:tcPr>
            <w:tcW w:type="dxa" w:w="2400"/>
            <w:vAlign w:val="center"/>
          </w:tcPr>
          <w:p>
            <w:pPr>
              <w:keepNext/>
              <w:keepLines/>
              <w:spacing w:after="60"/>
            </w:pPr>
            <w:r>
              <w:rPr>
                <w:rFonts w:ascii="Times New Roman" w:cs="Times New Roman" w:eastAsia="Times New Roman" w:hAnsi="Times New Roman"/>
                <w:sz w:val="22"/>
                <w:szCs w:val="22"/>
              </w:rPr>
              <w:t xml:space="preserve">Only short shared terms (e.g., “community gardens”)</w:t>
            </w:r>
          </w:p>
        </w:tc>
      </w:tr>
      <w:tr>
        <w:trPr>
          <w:cantSplit/>
        </w:trPr>
        <w:tc>
          <w:tcPr>
            <w:tcW w:type="dxa" w:w="2000"/>
            <w:vAlign w:val="center"/>
          </w:tcPr>
          <w:p>
            <w:pPr>
              <w:keepNext/>
              <w:keepLines/>
              <w:spacing w:after="60"/>
            </w:pPr>
            <w:r>
              <w:rPr>
                <w:rFonts w:ascii="Times New Roman" w:cs="Times New Roman" w:eastAsia="Times New Roman" w:hAnsi="Times New Roman"/>
                <w:sz w:val="22"/>
                <w:szCs w:val="22"/>
              </w:rPr>
              <w:t xml:space="preserve">Source evidence</w:t>
            </w:r>
          </w:p>
        </w:tc>
        <w:tc>
          <w:tcPr>
            <w:tcW w:type="dxa" w:w="2400"/>
            <w:vAlign w:val="center"/>
          </w:tcPr>
          <w:p>
            <w:pPr>
              <w:keepNext/>
              <w:keepLines/>
              <w:spacing w:after="60"/>
            </w:pPr>
            <w:r>
              <w:rPr>
                <w:rFonts w:ascii="Times New Roman" w:cs="Times New Roman" w:eastAsia="Times New Roman" w:hAnsi="Times New Roman"/>
                <w:sz w:val="22"/>
                <w:szCs w:val="22"/>
              </w:rPr>
              <w:t xml:space="preserve">Passage point on lower household food costs</w:t>
            </w:r>
          </w:p>
        </w:tc>
        <w:tc>
          <w:tcPr>
            <w:tcW w:type="dxa" w:w="2400"/>
            <w:vAlign w:val="center"/>
          </w:tcPr>
          <w:p>
            <w:pPr>
              <w:keepNext/>
              <w:keepLines/>
              <w:spacing w:after="60"/>
            </w:pPr>
            <w:r>
              <w:rPr>
                <w:rFonts w:ascii="Times New Roman" w:cs="Times New Roman" w:eastAsia="Times New Roman" w:hAnsi="Times New Roman"/>
                <w:sz w:val="22"/>
                <w:szCs w:val="22"/>
              </w:rPr>
              <w:t xml:space="preserve">Not applicable</w:t>
            </w:r>
          </w:p>
        </w:tc>
        <w:tc>
          <w:tcPr>
            <w:tcW w:type="dxa" w:w="2400"/>
            <w:vAlign w:val="center"/>
          </w:tcPr>
          <w:p>
            <w:pPr>
              <w:keepNext/>
              <w:keepLines/>
              <w:spacing w:after="60"/>
            </w:pPr>
            <w:r>
              <w:rPr>
                <w:rFonts w:ascii="Times New Roman" w:cs="Times New Roman" w:eastAsia="Times New Roman" w:hAnsi="Times New Roman"/>
                <w:sz w:val="22"/>
                <w:szCs w:val="22"/>
              </w:rPr>
              <w:t xml:space="preserve">No extended phrase is reproduced</w:t>
            </w:r>
          </w:p>
        </w:tc>
      </w:tr>
      <w:tr>
        <w:trPr>
          <w:cantSplit/>
        </w:trPr>
        <w:tc>
          <w:tcPr>
            <w:tcW w:type="dxa" w:w="2000"/>
            <w:vAlign w:val="center"/>
          </w:tcPr>
          <w:p>
            <w:pPr>
              <w:keepNext/>
              <w:keepLines/>
              <w:spacing w:after="60"/>
            </w:pPr>
            <w:r>
              <w:rPr>
                <w:rFonts w:ascii="Times New Roman" w:cs="Times New Roman" w:eastAsia="Times New Roman" w:hAnsi="Times New Roman"/>
                <w:sz w:val="22"/>
                <w:szCs w:val="22"/>
              </w:rPr>
              <w:t xml:space="preserve">Evidential judgement</w:t>
            </w:r>
          </w:p>
        </w:tc>
        <w:tc>
          <w:tcPr>
            <w:tcW w:type="dxa" w:w="2400"/>
            <w:vAlign w:val="center"/>
          </w:tcPr>
          <w:p>
            <w:pPr>
              <w:keepNext/>
              <w:keepLines/>
              <w:spacing w:after="60"/>
            </w:pPr>
            <w:r>
              <w:rPr>
                <w:rFonts w:ascii="Times New Roman" w:cs="Times New Roman" w:eastAsia="Times New Roman" w:hAnsi="Times New Roman"/>
                <w:sz w:val="22"/>
                <w:szCs w:val="22"/>
              </w:rPr>
              <w:t xml:space="preserve">Supported</w:t>
            </w:r>
          </w:p>
        </w:tc>
        <w:tc>
          <w:tcPr>
            <w:tcW w:type="dxa" w:w="2400"/>
            <w:vAlign w:val="center"/>
          </w:tcPr>
          <w:p>
            <w:pPr>
              <w:keepNext/>
              <w:keepLines/>
              <w:spacing w:after="60"/>
            </w:pPr>
            <w:r>
              <w:rPr>
                <w:rFonts w:ascii="Times New Roman" w:cs="Times New Roman" w:eastAsia="Times New Roman" w:hAnsi="Times New Roman"/>
                <w:sz w:val="22"/>
                <w:szCs w:val="22"/>
              </w:rPr>
              <w:t xml:space="preserve">Supported (the summary is fluent)</w:t>
            </w:r>
          </w:p>
        </w:tc>
        <w:tc>
          <w:tcPr>
            <w:tcW w:type="dxa" w:w="2400"/>
            <w:vAlign w:val="center"/>
          </w:tcPr>
          <w:p>
            <w:pPr>
              <w:keepNext/>
              <w:keepLines/>
              <w:spacing w:after="60"/>
            </w:pPr>
            <w:r>
              <w:rPr>
                <w:rFonts w:ascii="Times New Roman" w:cs="Times New Roman" w:eastAsia="Times New Roman" w:hAnsi="Times New Roman"/>
                <w:sz w:val="22"/>
                <w:szCs w:val="22"/>
              </w:rPr>
              <w:t xml:space="preserve">Contradicted</w:t>
            </w:r>
          </w:p>
        </w:tc>
      </w:tr>
      <w:tr>
        <w:trPr>
          <w:cantSplit/>
        </w:trPr>
        <w:tc>
          <w:tcPr>
            <w:tcW w:type="dxa" w:w="2000"/>
            <w:vAlign w:val="center"/>
          </w:tcPr>
          <w:p>
            <w:pPr>
              <w:keepNext/>
              <w:keepLines/>
              <w:spacing w:after="60"/>
            </w:pPr>
            <w:r>
              <w:rPr>
                <w:rFonts w:ascii="Times New Roman" w:cs="Times New Roman" w:eastAsia="Times New Roman" w:hAnsi="Times New Roman"/>
                <w:sz w:val="22"/>
                <w:szCs w:val="22"/>
              </w:rPr>
              <w:t xml:space="preserve">Criterion appropriateness</w:t>
            </w:r>
          </w:p>
        </w:tc>
        <w:tc>
          <w:tcPr>
            <w:tcW w:type="dxa" w:w="2400"/>
            <w:vAlign w:val="center"/>
          </w:tcPr>
          <w:p>
            <w:pPr>
              <w:keepNext/>
              <w:keepLines/>
              <w:spacing w:after="60"/>
            </w:pPr>
            <w:r>
              <w:rPr>
                <w:rFonts w:ascii="Times New Roman" w:cs="Times New Roman" w:eastAsia="Times New Roman" w:hAnsi="Times New Roman"/>
                <w:sz w:val="22"/>
                <w:szCs w:val="22"/>
              </w:rPr>
              <w:t xml:space="preserve">Appropriate</w:t>
            </w:r>
          </w:p>
        </w:tc>
        <w:tc>
          <w:tcPr>
            <w:tcW w:type="dxa" w:w="2400"/>
            <w:vAlign w:val="center"/>
          </w:tcPr>
          <w:p>
            <w:pPr>
              <w:keepNext/>
              <w:keepLines/>
              <w:spacing w:after="60"/>
            </w:pPr>
            <w:r>
              <w:rPr>
                <w:rFonts w:ascii="Times New Roman" w:cs="Times New Roman" w:eastAsia="Times New Roman" w:hAnsi="Times New Roman"/>
                <w:sz w:val="22"/>
                <w:szCs w:val="22"/>
              </w:rPr>
              <w:t xml:space="preserve">Misattributed (fluency is a writing quality)</w:t>
            </w:r>
          </w:p>
        </w:tc>
        <w:tc>
          <w:tcPr>
            <w:tcW w:type="dxa" w:w="2400"/>
            <w:vAlign w:val="center"/>
          </w:tcPr>
          <w:p>
            <w:pPr>
              <w:keepNext/>
              <w:keepLines/>
              <w:spacing w:after="60"/>
            </w:pPr>
            <w:r>
              <w:rPr>
                <w:rFonts w:ascii="Times New Roman" w:cs="Times New Roman" w:eastAsia="Times New Roman" w:hAnsi="Times New Roman"/>
                <w:sz w:val="22"/>
                <w:szCs w:val="22"/>
              </w:rPr>
              <w:t xml:space="preserve">Appropriate (reliance on source wording is a writing descriptor)</w:t>
            </w:r>
          </w:p>
        </w:tc>
      </w:tr>
      <w:tr>
        <w:trPr>
          <w:cantSplit/>
        </w:trPr>
        <w:tc>
          <w:tcPr>
            <w:tcW w:type="dxa" w:w="2000"/>
            <w:vAlign w:val="center"/>
          </w:tcPr>
          <w:p>
            <w:pPr>
              <w:keepNext w:val="false"/>
              <w:keepLines/>
              <w:spacing w:after="60"/>
            </w:pPr>
            <w:r>
              <w:rPr>
                <w:rFonts w:ascii="Times New Roman" w:cs="Times New Roman" w:eastAsia="Times New Roman" w:hAnsi="Times New Roman"/>
                <w:sz w:val="22"/>
                <w:szCs w:val="22"/>
              </w:rPr>
              <w:t xml:space="preserve">Thematic codes</w:t>
            </w:r>
          </w:p>
        </w:tc>
        <w:tc>
          <w:tcPr>
            <w:tcW w:type="dxa" w:w="2400"/>
            <w:vAlign w:val="center"/>
          </w:tcPr>
          <w:p>
            <w:pPr>
              <w:keepNext w:val="false"/>
              <w:keepLines/>
              <w:spacing w:after="60"/>
            </w:pPr>
            <w:r>
              <w:rPr>
                <w:rFonts w:ascii="Times New Roman" w:cs="Times New Roman" w:eastAsia="Times New Roman" w:hAnsi="Times New Roman"/>
                <w:sz w:val="22"/>
                <w:szCs w:val="22"/>
              </w:rPr>
              <w:t xml:space="preserve">None</w:t>
            </w:r>
          </w:p>
        </w:tc>
        <w:tc>
          <w:tcPr>
            <w:tcW w:type="dxa" w:w="2400"/>
            <w:vAlign w:val="center"/>
          </w:tcPr>
          <w:p>
            <w:pPr>
              <w:keepNext w:val="false"/>
              <w:keepLines/>
              <w:spacing w:after="60"/>
            </w:pPr>
            <w:r>
              <w:rPr>
                <w:rFonts w:ascii="Times New Roman" w:cs="Times New Roman" w:eastAsia="Times New Roman" w:hAnsi="Times New Roman"/>
                <w:sz w:val="22"/>
                <w:szCs w:val="22"/>
              </w:rPr>
              <w:t xml:space="preserve">Rubric misapplication and construct confusion</w:t>
            </w:r>
          </w:p>
        </w:tc>
        <w:tc>
          <w:tcPr>
            <w:tcW w:type="dxa" w:w="2400"/>
            <w:vAlign w:val="center"/>
          </w:tcPr>
          <w:p>
            <w:pPr>
              <w:keepNext w:val="false"/>
              <w:keepLines/>
              <w:spacing w:after="60"/>
            </w:pPr>
            <w:r>
              <w:rPr>
                <w:rFonts w:ascii="Times New Roman" w:cs="Times New Roman" w:eastAsia="Times New Roman" w:hAnsi="Times New Roman"/>
                <w:sz w:val="22"/>
                <w:szCs w:val="22"/>
              </w:rPr>
              <w:t xml:space="preserve">Own-words transformation</w:t>
            </w:r>
          </w:p>
        </w:tc>
      </w:tr>
    </w:tbl>
    <w:p>
      <w:pPr>
        <w:spacing w:after="120" w:line="360"/>
        <w:jc w:val="both"/>
      </w:pPr>
      <w:r>
        <w:rPr>
          <w:rFonts w:ascii="Times New Roman" w:cs="Times New Roman" w:eastAsia="Times New Roman" w:hAnsi="Times New Roman"/>
          <w:sz w:val="24"/>
          <w:szCs w:val="24"/>
        </w:rPr>
        <w:t xml:space="preserve">Claim R2 shows why the two judgements are recorded separately: the statement is true, but it does not justify a reading mark.</w:t>
      </w:r>
    </w:p>
    <w:p>
      <w:pPr>
        <w:pStyle w:val="Heading1"/>
        <w:pageBreakBefore/>
        <w:spacing w:after="120" w:before="0" w:line="360"/>
      </w:pPr>
      <w:r>
        <w:rPr>
          <w:rFonts w:ascii="Times New Roman" w:cs="Times New Roman" w:eastAsia="Times New Roman" w:hAnsi="Times New Roman"/>
          <w:b/>
          <w:bCs/>
          <w:sz w:val="32"/>
          <w:szCs w:val="32"/>
        </w:rPr>
        <w:t xml:space="preserve">References</w:t>
      </w:r>
    </w:p>
    <w:p>
      <w:pPr>
        <w:keepLines/>
        <w:spacing w:after="60" w:line="264"/>
        <w:ind w:left="720" w:hanging="720"/>
        <w:jc w:val="left"/>
      </w:pPr>
      <w:r>
        <w:rPr>
          <w:rFonts w:ascii="Times New Roman" w:cs="Times New Roman" w:eastAsia="Times New Roman" w:hAnsi="Times New Roman"/>
          <w:sz w:val="22"/>
          <w:szCs w:val="22"/>
        </w:rPr>
        <w:t xml:space="preserve">American Educational Research Association, American Psychological Association, &amp; National Council on Measurement in Education. (2014). Standards for educational and psychological testing. American Educational Research Association.</w:t>
      </w:r>
    </w:p>
    <w:p>
      <w:pPr>
        <w:keepLines/>
        <w:spacing w:after="60" w:line="264"/>
        <w:ind w:left="720" w:hanging="720"/>
        <w:jc w:val="left"/>
      </w:pPr>
      <w:r>
        <w:rPr>
          <w:rFonts w:ascii="Times New Roman" w:cs="Times New Roman" w:eastAsia="Times New Roman" w:hAnsi="Times New Roman"/>
          <w:sz w:val="22"/>
          <w:szCs w:val="22"/>
        </w:rPr>
        <w:t xml:space="preserve">Anthropic. (n.d.-a). Use incognito chats. Claude Help Center. Retrieved October 9, 2026, from https://support.claude.com/en/articles/12260368</w:t>
      </w:r>
    </w:p>
    <w:p>
      <w:pPr>
        <w:keepLines/>
        <w:spacing w:after="60" w:line="264"/>
        <w:ind w:left="720" w:hanging="720"/>
        <w:jc w:val="left"/>
      </w:pPr>
      <w:r>
        <w:rPr>
          <w:rFonts w:ascii="Times New Roman" w:cs="Times New Roman" w:eastAsia="Times New Roman" w:hAnsi="Times New Roman"/>
          <w:sz w:val="22"/>
          <w:szCs w:val="22"/>
        </w:rPr>
        <w:t xml:space="preserve">Anthropic. (n.d.-b). I would like to input sensitive data into my chats with Claude. Who can view my conversations? Claude Help Center. Retrieved October 9, 2026, from https://support.claude.com/en/articles/8325621</w:t>
      </w:r>
    </w:p>
    <w:p>
      <w:pPr>
        <w:keepLines/>
        <w:spacing w:after="60" w:line="264"/>
        <w:ind w:left="720" w:hanging="720"/>
        <w:jc w:val="left"/>
      </w:pPr>
      <w:r>
        <w:rPr>
          <w:rFonts w:ascii="Times New Roman" w:cs="Times New Roman" w:eastAsia="Times New Roman" w:hAnsi="Times New Roman"/>
          <w:sz w:val="22"/>
          <w:szCs w:val="22"/>
        </w:rPr>
        <w:t xml:space="preserve">Anthropic. (2025, August 27). Anthropic Education Report: How educators use Claude. https://www.anthropic.com/news/anthropic-education-report-how-educators-use-claude</w:t>
      </w:r>
    </w:p>
    <w:p>
      <w:pPr>
        <w:keepLines/>
        <w:spacing w:after="60" w:line="264"/>
        <w:ind w:left="720" w:hanging="720"/>
        <w:jc w:val="left"/>
      </w:pPr>
      <w:r>
        <w:rPr>
          <w:rFonts w:ascii="Times New Roman" w:cs="Times New Roman" w:eastAsia="Times New Roman" w:hAnsi="Times New Roman"/>
          <w:sz w:val="22"/>
          <w:szCs w:val="22"/>
        </w:rPr>
        <w:t xml:space="preserve">Atil, B., Aykent, S., Chittams, A., Fu, L., Passonneau, R. J., Radcliffe, E., Rajagopal, G. R., Sloan, A., Tudrej, T., Ture, F., Wu, Z., Xu, L., &amp; Baldwin, B. (2025). Non-determinism of “deterministic” LLM settings (arXiv:2408.04667v5) [Preprint]. arXiv. https://doi.org/10.48550/arXiv.2408.04667</w:t>
      </w:r>
    </w:p>
    <w:p>
      <w:pPr>
        <w:keepLines/>
        <w:spacing w:after="60" w:line="264"/>
        <w:ind w:left="720" w:hanging="720"/>
        <w:jc w:val="left"/>
      </w:pPr>
      <w:r>
        <w:rPr>
          <w:rFonts w:ascii="Times New Roman" w:cs="Times New Roman" w:eastAsia="Times New Roman" w:hAnsi="Times New Roman"/>
          <w:sz w:val="22"/>
          <w:szCs w:val="22"/>
        </w:rPr>
        <w:t xml:space="preserve">Baldwin, P., Yaneva, V., North, K., Ha, L. A., Zhou, Y., Mechaber, A. J., &amp; Clauser, B. E. (2025). The vulnerability of AI-based scoring systems to gaming strategies: A case study. Journal of Educational Measurement, 62(1), 172–194. https://doi.org/10.1111/jedm.12427</w:t>
      </w:r>
    </w:p>
    <w:p>
      <w:pPr>
        <w:keepLines/>
        <w:spacing w:after="60" w:line="264"/>
        <w:ind w:left="720" w:hanging="720"/>
        <w:jc w:val="left"/>
      </w:pPr>
      <w:r>
        <w:rPr>
          <w:rFonts w:ascii="Times New Roman" w:cs="Times New Roman" w:eastAsia="Times New Roman" w:hAnsi="Times New Roman"/>
          <w:sz w:val="22"/>
          <w:szCs w:val="22"/>
        </w:rPr>
        <w:t xml:space="preserve">Bates, D., Mächler, M., Bolker, B. M., &amp; Walker, S. C. (2015). Fitting linear mixed-effects models using lme4. Journal of Statistical Software, 67(1), 1–48. https://doi.org/10.18637/jss.v067.i01</w:t>
      </w:r>
    </w:p>
    <w:p>
      <w:pPr>
        <w:keepLines/>
        <w:spacing w:after="60" w:line="264"/>
        <w:ind w:left="720" w:hanging="720"/>
        <w:jc w:val="left"/>
      </w:pPr>
      <w:r>
        <w:rPr>
          <w:rFonts w:ascii="Times New Roman" w:cs="Times New Roman" w:eastAsia="Times New Roman" w:hAnsi="Times New Roman"/>
          <w:sz w:val="22"/>
          <w:szCs w:val="22"/>
        </w:rPr>
        <w:t xml:space="preserve">Baxter, G., &amp; Neumann, H. (2023). Source-based writing of the high- and low-proficiency adolescent writer in the high-school L2 classroom. Journal of Second Language Writing, 62, Article 101064. https://doi.org/10.1016/j.jslw.2023.101064</w:t>
      </w:r>
    </w:p>
    <w:p>
      <w:pPr>
        <w:keepLines/>
        <w:spacing w:after="60" w:line="264"/>
        <w:ind w:left="720" w:hanging="720"/>
        <w:jc w:val="left"/>
      </w:pPr>
      <w:r>
        <w:rPr>
          <w:rFonts w:ascii="Times New Roman" w:cs="Times New Roman" w:eastAsia="Times New Roman" w:hAnsi="Times New Roman"/>
          <w:sz w:val="22"/>
          <w:szCs w:val="22"/>
        </w:rPr>
        <w:t xml:space="preserve">Bland, J. M., &amp; Altman, D. G. (1986). Statistical methods for assessing agreement between two methods of clinical measurement. The Lancet, 327(8476), 307–310. https://doi.org/10.1016/S0140-6736(86)90837-8</w:t>
      </w:r>
    </w:p>
    <w:p>
      <w:pPr>
        <w:keepLines/>
        <w:spacing w:after="60" w:line="264"/>
        <w:ind w:left="720" w:hanging="720"/>
        <w:jc w:val="left"/>
      </w:pPr>
      <w:r>
        <w:rPr>
          <w:rFonts w:ascii="Times New Roman" w:cs="Times New Roman" w:eastAsia="Times New Roman" w:hAnsi="Times New Roman"/>
          <w:sz w:val="22"/>
          <w:szCs w:val="22"/>
        </w:rPr>
        <w:t xml:space="preserve">Brown, A. L., &amp; Day, J. D. (1983). Macrorules for summarizing texts: The development of expertise. Journal of Verbal Learning and Verbal Behavior, 22(1), 1–14. https://doi.org/10.1016/S0022-5371(83)80002-4</w:t>
      </w:r>
    </w:p>
    <w:p>
      <w:pPr>
        <w:keepLines/>
        <w:spacing w:after="60" w:line="264"/>
        <w:ind w:left="720" w:hanging="720"/>
        <w:jc w:val="left"/>
      </w:pPr>
      <w:r>
        <w:rPr>
          <w:rFonts w:ascii="Times New Roman" w:cs="Times New Roman" w:eastAsia="Times New Roman" w:hAnsi="Times New Roman"/>
          <w:sz w:val="22"/>
          <w:szCs w:val="22"/>
        </w:rPr>
        <w:t xml:space="preserve">Bui, N. M., &amp; Barrot, J. S. (2025). ChatGPT as an automated essay scoring tool in the writing classrooms: How it compares with human scoring. Education and Information Technologies, 30(2), 2041–2058. https://doi.org/10.1007/s10639-024-12891-w</w:t>
      </w:r>
    </w:p>
    <w:p>
      <w:pPr>
        <w:keepLines/>
        <w:spacing w:after="60" w:line="264"/>
        <w:ind w:left="720" w:hanging="720"/>
        <w:jc w:val="left"/>
      </w:pPr>
      <w:r>
        <w:rPr>
          <w:rFonts w:ascii="Times New Roman" w:cs="Times New Roman" w:eastAsia="Times New Roman" w:hAnsi="Times New Roman"/>
          <w:sz w:val="22"/>
          <w:szCs w:val="22"/>
        </w:rPr>
        <w:t xml:space="preserve">Cambridge International Education. (2024a). 0990 First Language English (9–1) June 2024: Principal examiner report for teachers. Cambridge University Press &amp; Assessment.</w:t>
      </w:r>
    </w:p>
    <w:p>
      <w:pPr>
        <w:keepLines/>
        <w:spacing w:after="60" w:line="264"/>
        <w:ind w:left="720" w:hanging="720"/>
        <w:jc w:val="left"/>
      </w:pPr>
      <w:r>
        <w:rPr>
          <w:rFonts w:ascii="Times New Roman" w:cs="Times New Roman" w:eastAsia="Times New Roman" w:hAnsi="Times New Roman"/>
          <w:sz w:val="22"/>
          <w:szCs w:val="22"/>
        </w:rPr>
        <w:t xml:space="preserve">Cambridge International Education. (2024b). Cambridge IGCSE First Language English 0500/01 Paper 1 Reading: Specimen mark scheme (for examination from 2027). Cambridge University Press &amp; Assessment. https://www.cambridgeinternational.org/Images/718838-2027-specimen-paper-1-mark-scheme.pdf</w:t>
      </w:r>
    </w:p>
    <w:p>
      <w:pPr>
        <w:keepLines/>
        <w:spacing w:after="60" w:line="264"/>
        <w:ind w:left="720" w:hanging="720"/>
        <w:jc w:val="left"/>
      </w:pPr>
      <w:r>
        <w:rPr>
          <w:rFonts w:ascii="Times New Roman" w:cs="Times New Roman" w:eastAsia="Times New Roman" w:hAnsi="Times New Roman"/>
          <w:sz w:val="22"/>
          <w:szCs w:val="22"/>
        </w:rPr>
        <w:t xml:space="preserve">Cambridge International Education. (2024c). Cambridge IGCSE First Language English 0500: Syllabus for examination in 2027, 2028 and 2029 (Version 1). Cambridge University Press &amp; Assessment.</w:t>
      </w:r>
    </w:p>
    <w:p>
      <w:pPr>
        <w:keepLines/>
        <w:spacing w:after="60" w:line="264"/>
        <w:ind w:left="720" w:hanging="720"/>
        <w:jc w:val="left"/>
      </w:pPr>
      <w:r>
        <w:rPr>
          <w:rFonts w:ascii="Times New Roman" w:cs="Times New Roman" w:eastAsia="Times New Roman" w:hAnsi="Times New Roman"/>
          <w:sz w:val="22"/>
          <w:szCs w:val="22"/>
        </w:rPr>
        <w:t xml:space="preserve">Carder, M. (2007). Bilingualism in international schools: A model for enriching language education. Multilingual Matters. https://doi.org/10.21832/9781853599422</w:t>
      </w:r>
    </w:p>
    <w:p>
      <w:pPr>
        <w:keepLines/>
        <w:spacing w:after="60" w:line="264"/>
        <w:ind w:left="720" w:hanging="720"/>
        <w:jc w:val="left"/>
      </w:pPr>
      <w:r>
        <w:rPr>
          <w:rFonts w:ascii="Times New Roman" w:cs="Times New Roman" w:eastAsia="Times New Roman" w:hAnsi="Times New Roman"/>
          <w:sz w:val="22"/>
          <w:szCs w:val="22"/>
        </w:rPr>
        <w:t xml:space="preserve">Chen, L., Zaharia, M., &amp; Zou, J. (2024). How is ChatGPT’s behavior changing over time? Harvard Data Science Review, 6(2). https://doi.org/10.1162/99608f92.5317da47</w:t>
      </w:r>
    </w:p>
    <w:p>
      <w:pPr>
        <w:keepLines/>
        <w:spacing w:after="60" w:line="264"/>
        <w:ind w:left="720" w:hanging="720"/>
        <w:jc w:val="left"/>
      </w:pPr>
      <w:r>
        <w:rPr>
          <w:rFonts w:ascii="Times New Roman" w:cs="Times New Roman" w:eastAsia="Times New Roman" w:hAnsi="Times New Roman"/>
          <w:sz w:val="22"/>
          <w:szCs w:val="22"/>
        </w:rPr>
        <w:t xml:space="preserve">Choi, J., Tate, T. P., &amp; Warschauer, M. (2026). Anchor is the key: Toward accessible automated essay scoring with large language model through prompting. Assessing Writing, 69, Article 101053. https://doi.org/10.1016/j.asw.2026.101053</w:t>
      </w:r>
    </w:p>
    <w:p>
      <w:pPr>
        <w:keepLines/>
        <w:spacing w:after="60" w:line="264"/>
        <w:ind w:left="720" w:hanging="720"/>
        <w:jc w:val="left"/>
      </w:pPr>
      <w:r>
        <w:rPr>
          <w:rFonts w:ascii="Times New Roman" w:cs="Times New Roman" w:eastAsia="Times New Roman" w:hAnsi="Times New Roman"/>
          <w:sz w:val="22"/>
          <w:szCs w:val="22"/>
        </w:rPr>
        <w:t xml:space="preserve">Clauser, B. E., Kane, M. T., &amp; Swanson, D. B. (2002). Validity issues for performance-based tests scored with computer-automated scoring systems. Applied Measurement in Education, 15(4), 413–432. https://doi.org/10.1207/S15324818AME1504_05</w:t>
      </w:r>
    </w:p>
    <w:p>
      <w:pPr>
        <w:keepLines/>
        <w:spacing w:after="60" w:line="264"/>
        <w:ind w:left="720" w:hanging="720"/>
        <w:jc w:val="left"/>
      </w:pPr>
      <w:r>
        <w:rPr>
          <w:rFonts w:ascii="Times New Roman" w:cs="Times New Roman" w:eastAsia="Times New Roman" w:hAnsi="Times New Roman"/>
          <w:sz w:val="22"/>
          <w:szCs w:val="22"/>
        </w:rPr>
        <w:t xml:space="preserve">Cohen, J. (1968). Weighted kappa: Nominal scale agreement provision for scaled disagreement or partial credit. Psychological Bulletin, 70(4), 213–220. https://doi.org/10.1037/h0026256</w:t>
      </w:r>
    </w:p>
    <w:p>
      <w:pPr>
        <w:keepLines/>
        <w:spacing w:after="60" w:line="264"/>
        <w:ind w:left="720" w:hanging="720"/>
        <w:jc w:val="left"/>
      </w:pPr>
      <w:r>
        <w:rPr>
          <w:rFonts w:ascii="Times New Roman" w:cs="Times New Roman" w:eastAsia="Times New Roman" w:hAnsi="Times New Roman"/>
          <w:sz w:val="22"/>
          <w:szCs w:val="22"/>
        </w:rPr>
        <w:t xml:space="preserve">Cumming, A. (2013). Assessing integrated writing tasks for academic purposes: Promises and perils. Language Assessment Quarterly, 10(1), 1–8. https://doi.org/10.1080/15434303.2011.622016</w:t>
      </w:r>
    </w:p>
    <w:p>
      <w:pPr>
        <w:keepLines/>
        <w:spacing w:after="60" w:line="264"/>
        <w:ind w:left="720" w:hanging="720"/>
        <w:jc w:val="left"/>
      </w:pPr>
      <w:r>
        <w:rPr>
          <w:rFonts w:ascii="Times New Roman" w:cs="Times New Roman" w:eastAsia="Times New Roman" w:hAnsi="Times New Roman"/>
          <w:sz w:val="22"/>
          <w:szCs w:val="22"/>
        </w:rPr>
        <w:t xml:space="preserve">Doewes, A., Kurdhi, N. A., &amp; Saxena, A. (2023). Evaluating quadratic weighted kappa as the standard performance metric for automated essay scoring. In M. Feng, T. Käser, &amp; P. Talukdar (Eds.), Proceedings of the 16th International Conference on Educational Data Mining (pp. 103–113). International Educational Data Mining Society. https://doi.org/10.5281/zenodo.8115784</w:t>
      </w:r>
    </w:p>
    <w:p>
      <w:pPr>
        <w:keepLines/>
        <w:spacing w:after="60" w:line="264"/>
        <w:ind w:left="720" w:hanging="720"/>
        <w:jc w:val="left"/>
      </w:pPr>
      <w:r>
        <w:rPr>
          <w:rFonts w:ascii="Times New Roman" w:cs="Times New Roman" w:eastAsia="Times New Roman" w:hAnsi="Times New Roman"/>
          <w:sz w:val="22"/>
          <w:szCs w:val="22"/>
        </w:rPr>
        <w:t xml:space="preserve">Eckes, T. (2015). Introduction to many-facet Rasch measurement: Analyzing and evaluating rater-mediated assessments (2nd rev. and updated ed.). Peter Lang. https://doi.org/10.3726/978-3-653-04844-5</w:t>
      </w:r>
    </w:p>
    <w:p>
      <w:pPr>
        <w:keepLines/>
        <w:spacing w:after="60" w:line="264"/>
        <w:ind w:left="720" w:hanging="720"/>
        <w:jc w:val="left"/>
      </w:pPr>
      <w:r>
        <w:rPr>
          <w:rFonts w:ascii="Times New Roman" w:cs="Times New Roman" w:eastAsia="Times New Roman" w:hAnsi="Times New Roman"/>
          <w:sz w:val="22"/>
          <w:szCs w:val="22"/>
        </w:rPr>
        <w:t xml:space="preserve">Gallagher, E. (2008). Equal rights to the curriculum: Many languages, one message. Multilingual Matters. https://doi.org/10.21832/9781847690692</w:t>
      </w:r>
    </w:p>
    <w:p>
      <w:pPr>
        <w:keepLines/>
        <w:spacing w:after="60" w:line="264"/>
        <w:ind w:left="720" w:hanging="720"/>
        <w:jc w:val="left"/>
      </w:pPr>
      <w:r>
        <w:rPr>
          <w:rFonts w:ascii="Times New Roman" w:cs="Times New Roman" w:eastAsia="Times New Roman" w:hAnsi="Times New Roman"/>
          <w:sz w:val="22"/>
          <w:szCs w:val="22"/>
        </w:rPr>
        <w:t xml:space="preserve">Gallup &amp; Walton Family Foundation. (2025). Teaching for tomorrow: Unlocking six weeks a year with AI. Gallup. https://news.gallup.com/poll/691967/three-teachers-weekly-saving-six-weeks-year.aspx</w:t>
      </w:r>
    </w:p>
    <w:p>
      <w:pPr>
        <w:keepLines/>
        <w:spacing w:after="60" w:line="264"/>
        <w:ind w:left="720" w:hanging="720"/>
        <w:jc w:val="left"/>
      </w:pPr>
      <w:r>
        <w:rPr>
          <w:rFonts w:ascii="Times New Roman" w:cs="Times New Roman" w:eastAsia="Times New Roman" w:hAnsi="Times New Roman"/>
          <w:sz w:val="22"/>
          <w:szCs w:val="22"/>
        </w:rPr>
        <w:t xml:space="preserve">Hassun, H. (2022). Private schools in the Kurdistan Region of Iraq: An evidence based approach on their functions. University of Bamberg Press. https://doi.org/10.20378/irb-58324</w:t>
      </w:r>
    </w:p>
    <w:p>
      <w:pPr>
        <w:keepLines/>
        <w:spacing w:after="60" w:line="264"/>
        <w:ind w:left="720" w:hanging="720"/>
        <w:jc w:val="left"/>
      </w:pPr>
      <w:r>
        <w:rPr>
          <w:rFonts w:ascii="Times New Roman" w:cs="Times New Roman" w:eastAsia="Times New Roman" w:hAnsi="Times New Roman"/>
          <w:sz w:val="22"/>
          <w:szCs w:val="22"/>
        </w:rPr>
        <w:t xml:space="preserve">Hidi, S., &amp; Anderson, V. (1986). Producing written summaries: Task demands, cognitive operations, and implications for instruction. Review of Educational Research, 56(4), 473–493. https://doi.org/10.3102/00346543056004473</w:t>
      </w:r>
    </w:p>
    <w:p>
      <w:pPr>
        <w:keepLines/>
        <w:spacing w:after="60" w:line="264"/>
        <w:ind w:left="720" w:hanging="720"/>
        <w:jc w:val="left"/>
      </w:pPr>
      <w:r>
        <w:rPr>
          <w:rFonts w:ascii="Times New Roman" w:cs="Times New Roman" w:eastAsia="Times New Roman" w:hAnsi="Times New Roman"/>
          <w:sz w:val="22"/>
          <w:szCs w:val="22"/>
        </w:rPr>
        <w:t xml:space="preserve">Hirvela, A., &amp; Du, Q. (2013). “Why am I paraphrasing?”: Undergraduate ESL writers’ engagement with source-based academic writing and reading. Journal of English for Academic Purposes, 12(2), 87–98. https://doi.org/10.1016/j.jeap.2012.11.005</w:t>
      </w:r>
    </w:p>
    <w:p>
      <w:pPr>
        <w:keepLines/>
        <w:spacing w:after="60" w:line="264"/>
        <w:ind w:left="720" w:hanging="720"/>
        <w:jc w:val="left"/>
      </w:pPr>
      <w:r>
        <w:rPr>
          <w:rFonts w:ascii="Times New Roman" w:cs="Times New Roman" w:eastAsia="Times New Roman" w:hAnsi="Times New Roman"/>
          <w:sz w:val="22"/>
          <w:szCs w:val="22"/>
        </w:rPr>
        <w:t xml:space="preserve">Holm, S. (1979). A simple sequentially rejective multiple test procedure. Scandinavian Journal of Statistics, 6(2), 65–70.</w:t>
      </w:r>
    </w:p>
    <w:p>
      <w:pPr>
        <w:keepLines/>
        <w:spacing w:after="60" w:line="264"/>
        <w:ind w:left="720" w:hanging="720"/>
        <w:jc w:val="left"/>
      </w:pPr>
      <w:r>
        <w:rPr>
          <w:rFonts w:ascii="Times New Roman" w:cs="Times New Roman" w:eastAsia="Times New Roman" w:hAnsi="Times New Roman"/>
          <w:sz w:val="22"/>
          <w:szCs w:val="22"/>
        </w:rPr>
        <w:t xml:space="preserve">Jiao, H., Song, D., &amp; Lee, W.-C. (2025). Comparing human and AI rater effects using the many-facet Rasch model (arXiv:2505.18486) [Preprint]. arXiv. https://doi.org/10.48550/arXiv.2505.18486</w:t>
      </w:r>
    </w:p>
    <w:p>
      <w:pPr>
        <w:keepLines/>
        <w:spacing w:after="60" w:line="264"/>
        <w:ind w:left="720" w:hanging="720"/>
        <w:jc w:val="left"/>
      </w:pPr>
      <w:r>
        <w:rPr>
          <w:rFonts w:ascii="Times New Roman" w:cs="Times New Roman" w:eastAsia="Times New Roman" w:hAnsi="Times New Roman"/>
          <w:sz w:val="22"/>
          <w:szCs w:val="22"/>
        </w:rPr>
        <w:t xml:space="preserve">Jin, R., Zhao, M., Niu, C., Xia, Y., Zhou, H., &amp; Liu, N. (2025). Evaluating the performance of ChatGPT and Claude in automated writing scoring: Insights from the many-facet Rasch model. Education and Information Technologies, 30(18), 25881–25908. https://doi.org/10.1007/s10639-025-13774-4</w:t>
      </w:r>
    </w:p>
    <w:p>
      <w:pPr>
        <w:keepLines/>
        <w:spacing w:after="60" w:line="264"/>
        <w:ind w:left="720" w:hanging="720"/>
        <w:jc w:val="left"/>
      </w:pPr>
      <w:r>
        <w:rPr>
          <w:rFonts w:ascii="Times New Roman" w:cs="Times New Roman" w:eastAsia="Times New Roman" w:hAnsi="Times New Roman"/>
          <w:sz w:val="22"/>
          <w:szCs w:val="22"/>
        </w:rPr>
        <w:t xml:space="preserve">Johns, A. M., &amp; Mayes, P. (1990). An analysis of summary protocols of university ESL students. Applied Linguistics, 11(3), 253–271. https://doi.org/10.1093/applin/11.3.253</w:t>
      </w:r>
    </w:p>
    <w:p>
      <w:pPr>
        <w:keepLines/>
        <w:spacing w:after="60" w:line="264"/>
        <w:ind w:left="720" w:hanging="720"/>
        <w:jc w:val="left"/>
      </w:pPr>
      <w:r>
        <w:rPr>
          <w:rFonts w:ascii="Times New Roman" w:cs="Times New Roman" w:eastAsia="Times New Roman" w:hAnsi="Times New Roman"/>
          <w:sz w:val="22"/>
          <w:szCs w:val="22"/>
        </w:rPr>
        <w:t xml:space="preserve">Kane, M. T. (2013). Validating the interpretations and uses of test scores. Journal of Educational Measurement, 50(1), 1–73. https://doi.org/10.1111/jedm.12000</w:t>
      </w:r>
    </w:p>
    <w:p>
      <w:pPr>
        <w:keepLines/>
        <w:spacing w:after="60" w:line="264"/>
        <w:ind w:left="720" w:hanging="720"/>
        <w:jc w:val="left"/>
      </w:pPr>
      <w:r>
        <w:rPr>
          <w:rFonts w:ascii="Times New Roman" w:cs="Times New Roman" w:eastAsia="Times New Roman" w:hAnsi="Times New Roman"/>
          <w:sz w:val="22"/>
          <w:szCs w:val="22"/>
        </w:rPr>
        <w:t xml:space="preserve">Keck, C. (2006). The use of paraphrase in summary writing: A comparison of L1 and L2 writers. Journal of Second Language Writing, 15(4), 261–278. https://doi.org/10.1016/j.jslw.2006.09.006</w:t>
      </w:r>
    </w:p>
    <w:p>
      <w:pPr>
        <w:keepLines/>
        <w:spacing w:after="60" w:line="264"/>
        <w:ind w:left="720" w:hanging="720"/>
        <w:jc w:val="left"/>
      </w:pPr>
      <w:r>
        <w:rPr>
          <w:rFonts w:ascii="Times New Roman" w:cs="Times New Roman" w:eastAsia="Times New Roman" w:hAnsi="Times New Roman"/>
          <w:sz w:val="22"/>
          <w:szCs w:val="22"/>
        </w:rPr>
        <w:t xml:space="preserve">Keck, C. (2014). Copying, paraphrasing, and academic writing development: A re-examination of L1 and L2 summarization practices. Journal of Second Language Writing, 25, 4–22. https://doi.org/10.1016/j.jslw.2014.05.005</w:t>
      </w:r>
    </w:p>
    <w:p>
      <w:pPr>
        <w:keepLines/>
        <w:spacing w:after="60" w:line="264"/>
        <w:ind w:left="720" w:hanging="720"/>
        <w:jc w:val="left"/>
      </w:pPr>
      <w:r>
        <w:rPr>
          <w:rFonts w:ascii="Times New Roman" w:cs="Times New Roman" w:eastAsia="Times New Roman" w:hAnsi="Times New Roman"/>
          <w:sz w:val="22"/>
          <w:szCs w:val="22"/>
        </w:rPr>
        <w:t xml:space="preserve">Kintsch, W., &amp; van Dijk, T. A. (1978). Toward a model of text comprehension and production. Psychological Review, 85(5), 363–394. https://doi.org/10.1037/0033-295X.85.5.363</w:t>
      </w:r>
    </w:p>
    <w:p>
      <w:pPr>
        <w:keepLines/>
        <w:spacing w:after="60" w:line="264"/>
        <w:ind w:left="720" w:hanging="720"/>
        <w:jc w:val="left"/>
      </w:pPr>
      <w:r>
        <w:rPr>
          <w:rFonts w:ascii="Times New Roman" w:cs="Times New Roman" w:eastAsia="Times New Roman" w:hAnsi="Times New Roman"/>
          <w:sz w:val="22"/>
          <w:szCs w:val="22"/>
        </w:rPr>
        <w:t xml:space="preserve">Koo, T. K., &amp; Li, M. Y. (2016). A guideline of selecting and reporting intraclass correlation coefficients for reliability research. Journal of Chiropractic Medicine, 15(2), 155–163. https://doi.org/10.1016/j.jcm.2016.02.012</w:t>
      </w:r>
    </w:p>
    <w:p>
      <w:pPr>
        <w:keepLines/>
        <w:spacing w:after="60" w:line="264"/>
        <w:ind w:left="720" w:hanging="720"/>
        <w:jc w:val="left"/>
      </w:pPr>
      <w:r>
        <w:rPr>
          <w:rFonts w:ascii="Times New Roman" w:cs="Times New Roman" w:eastAsia="Times New Roman" w:hAnsi="Times New Roman"/>
          <w:sz w:val="22"/>
          <w:szCs w:val="22"/>
        </w:rPr>
        <w:t xml:space="preserve">Liu, T., Ye, L., &amp; Yan, W. (2026). A framework for evaluation of large language models in essay assessment: Reliability, alignment, and causal reasoning. Computers and Education: Artificial Intelligence, 10, Article 100565. https://doi.org/10.1016/j.caeai.2026.100565</w:t>
      </w:r>
    </w:p>
    <w:p>
      <w:pPr>
        <w:keepLines/>
        <w:spacing w:after="60" w:line="264"/>
        <w:ind w:left="720" w:hanging="720"/>
        <w:jc w:val="left"/>
      </w:pPr>
      <w:r>
        <w:rPr>
          <w:rFonts w:ascii="Times New Roman" w:cs="Times New Roman" w:eastAsia="Times New Roman" w:hAnsi="Times New Roman"/>
          <w:sz w:val="22"/>
          <w:szCs w:val="22"/>
        </w:rPr>
        <w:t xml:space="preserve">Lumley, T., &amp; McNamara, T. F. (1995). Rater characteristics and rater bias: Implications for training. Language Testing, 12(1), 54–71. https://doi.org/10.1177/026553229501200104</w:t>
      </w:r>
    </w:p>
    <w:p>
      <w:pPr>
        <w:keepLines/>
        <w:spacing w:after="60" w:line="264"/>
        <w:ind w:left="720" w:hanging="720"/>
        <w:jc w:val="left"/>
      </w:pPr>
      <w:r>
        <w:rPr>
          <w:rFonts w:ascii="Times New Roman" w:cs="Times New Roman" w:eastAsia="Times New Roman" w:hAnsi="Times New Roman"/>
          <w:sz w:val="22"/>
          <w:szCs w:val="22"/>
        </w:rPr>
        <w:t xml:space="preserve">McNamara, T. F. (1996). Measuring second language performance. Longman.</w:t>
      </w:r>
    </w:p>
    <w:p>
      <w:pPr>
        <w:keepLines/>
        <w:spacing w:after="60" w:line="264"/>
        <w:ind w:left="720" w:hanging="720"/>
        <w:jc w:val="left"/>
      </w:pPr>
      <w:r>
        <w:rPr>
          <w:rFonts w:ascii="Times New Roman" w:cs="Times New Roman" w:eastAsia="Times New Roman" w:hAnsi="Times New Roman"/>
          <w:sz w:val="22"/>
          <w:szCs w:val="22"/>
        </w:rPr>
        <w:t xml:space="preserve">Menze, D., Radović, S., &amp; Seidel, N. (2026). AI-assisted MCQ creation increases item-writing flaws through automation bias: Evaluation of a workflow of multiple AI agents with teachers. Frontiers in Computer Science, 8, Article 1831250. https://doi.org/10.3389/fcomp.2026.1831250</w:t>
      </w:r>
    </w:p>
    <w:p>
      <w:pPr>
        <w:keepLines/>
        <w:spacing w:after="60" w:line="264"/>
        <w:ind w:left="720" w:hanging="720"/>
        <w:jc w:val="left"/>
      </w:pPr>
      <w:r>
        <w:rPr>
          <w:rFonts w:ascii="Times New Roman" w:cs="Times New Roman" w:eastAsia="Times New Roman" w:hAnsi="Times New Roman"/>
          <w:sz w:val="22"/>
          <w:szCs w:val="22"/>
        </w:rPr>
        <w:t xml:space="preserve">Messick, S. (1989). Validity. In R. L. Linn (Ed.), Educational measurement (3rd ed., pp. 13–103). American Council on Education &amp; Macmillan.</w:t>
      </w:r>
    </w:p>
    <w:p>
      <w:pPr>
        <w:keepLines/>
        <w:spacing w:after="60" w:line="264"/>
        <w:ind w:left="720" w:hanging="720"/>
        <w:jc w:val="left"/>
      </w:pPr>
      <w:r>
        <w:rPr>
          <w:rFonts w:ascii="Times New Roman" w:cs="Times New Roman" w:eastAsia="Times New Roman" w:hAnsi="Times New Roman"/>
          <w:sz w:val="22"/>
          <w:szCs w:val="22"/>
        </w:rPr>
        <w:t xml:space="preserve">Mizumoto, A., &amp; Eguchi, M. (2023). Exploring the potential of using an AI language model for automated essay scoring. Research Methods in Applied Linguistics, 2(2), Article 100050. https://doi.org/10.1016/j.rmal.2023.100050</w:t>
      </w:r>
    </w:p>
    <w:p>
      <w:pPr>
        <w:keepLines/>
        <w:spacing w:after="60" w:line="264"/>
        <w:ind w:left="720" w:hanging="720"/>
        <w:jc w:val="left"/>
      </w:pPr>
      <w:r>
        <w:rPr>
          <w:rFonts w:ascii="Times New Roman" w:cs="Times New Roman" w:eastAsia="Times New Roman" w:hAnsi="Times New Roman"/>
          <w:sz w:val="22"/>
          <w:szCs w:val="22"/>
        </w:rPr>
        <w:t xml:space="preserve">Nosek, B. A., Ebersole, C. R., DeHaven, A. C., &amp; Mellor, D. T. (2018). The preregistration revolution. Proceedings of the National Academy of Sciences, 115(11), 2600–2606. https://doi.org/10.1073/pnas.1708274114</w:t>
      </w:r>
    </w:p>
    <w:p>
      <w:pPr>
        <w:keepLines/>
        <w:spacing w:after="60" w:line="264"/>
        <w:ind w:left="720" w:hanging="720"/>
        <w:jc w:val="left"/>
      </w:pPr>
      <w:r>
        <w:rPr>
          <w:rFonts w:ascii="Times New Roman" w:cs="Times New Roman" w:eastAsia="Times New Roman" w:hAnsi="Times New Roman"/>
          <w:sz w:val="22"/>
          <w:szCs w:val="22"/>
        </w:rPr>
        <w:t xml:space="preserve">OpenAI. (n.d.-a). Model release notes. OpenAI Help Center. Retrieved October 9, 2026, from https://help.openai.com/en/articles/9624314-model-release-notes</w:t>
      </w:r>
    </w:p>
    <w:p>
      <w:pPr>
        <w:keepLines/>
        <w:spacing w:after="60" w:line="264"/>
        <w:ind w:left="720" w:hanging="720"/>
        <w:jc w:val="left"/>
      </w:pPr>
      <w:r>
        <w:rPr>
          <w:rFonts w:ascii="Times New Roman" w:cs="Times New Roman" w:eastAsia="Times New Roman" w:hAnsi="Times New Roman"/>
          <w:sz w:val="22"/>
          <w:szCs w:val="22"/>
        </w:rPr>
        <w:t xml:space="preserve">OpenAI. (n.d.-b). Temporary chat FAQ. OpenAI Help Center. Retrieved October 9, 2026, from https://help.openai.com/en/articles/8914046-temporary-chat-faq</w:t>
      </w:r>
    </w:p>
    <w:p>
      <w:pPr>
        <w:keepLines/>
        <w:spacing w:after="60" w:line="264"/>
        <w:ind w:left="720" w:hanging="720"/>
        <w:jc w:val="left"/>
      </w:pPr>
      <w:r>
        <w:rPr>
          <w:rFonts w:ascii="Times New Roman" w:cs="Times New Roman" w:eastAsia="Times New Roman" w:hAnsi="Times New Roman"/>
          <w:sz w:val="22"/>
          <w:szCs w:val="22"/>
        </w:rPr>
        <w:t xml:space="preserve">Ouyang, S., Zhang, J. M., Harman, M., &amp; Wang, M. (2025). An empirical study of the non-determinism of ChatGPT in code generation. ACM Transactions on Software Engineering and Methodology, 34(2), 1–28. https://doi.org/10.1145/3697010</w:t>
      </w:r>
    </w:p>
    <w:p>
      <w:pPr>
        <w:keepLines/>
        <w:spacing w:after="60" w:line="264"/>
        <w:ind w:left="720" w:hanging="720"/>
        <w:jc w:val="left"/>
      </w:pPr>
      <w:r>
        <w:rPr>
          <w:rFonts w:ascii="Times New Roman" w:cs="Times New Roman" w:eastAsia="Times New Roman" w:hAnsi="Times New Roman"/>
          <w:sz w:val="22"/>
          <w:szCs w:val="22"/>
        </w:rPr>
        <w:t xml:space="preserve">Pack, A., Barrett, A., &amp; Escalante, J. (2024). Large language models and automated essay scoring of English language learner writing: Insights into validity and reliability. Computers and Education: Artificial Intelligence, 6, Article 100234. https://doi.org/10.1016/j.caeai.2024.100234</w:t>
      </w:r>
    </w:p>
    <w:p>
      <w:pPr>
        <w:keepLines/>
        <w:spacing w:after="60" w:line="264"/>
        <w:ind w:left="720" w:hanging="720"/>
        <w:jc w:val="left"/>
      </w:pPr>
      <w:r>
        <w:rPr>
          <w:rFonts w:ascii="Times New Roman" w:cs="Times New Roman" w:eastAsia="Times New Roman" w:hAnsi="Times New Roman"/>
          <w:sz w:val="22"/>
          <w:szCs w:val="22"/>
        </w:rPr>
        <w:t xml:space="preserve">Parasuraman, R., &amp; Manzey, D. H. (2010). Complacency and bias in human use of automation: An attentional integration. Human Factors, 52(3), 381–410. https://doi.org/10.1177/0018720810376055</w:t>
      </w:r>
    </w:p>
    <w:p>
      <w:pPr>
        <w:keepLines/>
        <w:spacing w:after="60" w:line="264"/>
        <w:ind w:left="720" w:hanging="720"/>
        <w:jc w:val="left"/>
      </w:pPr>
      <w:r>
        <w:rPr>
          <w:rFonts w:ascii="Times New Roman" w:cs="Times New Roman" w:eastAsia="Times New Roman" w:hAnsi="Times New Roman"/>
          <w:sz w:val="22"/>
          <w:szCs w:val="22"/>
        </w:rPr>
        <w:t xml:space="preserve">Pecorari, D. (2003). Good and original: Plagiarism and patchwriting in academic second-language writing. Journal of Second Language Writing, 12(4), 317–345. https://doi.org/10.1016/j.jslw.2003.08.004</w:t>
      </w:r>
    </w:p>
    <w:p>
      <w:pPr>
        <w:keepLines/>
        <w:spacing w:after="60" w:line="264"/>
        <w:ind w:left="720" w:hanging="720"/>
        <w:jc w:val="left"/>
      </w:pPr>
      <w:r>
        <w:rPr>
          <w:rFonts w:ascii="Times New Roman" w:cs="Times New Roman" w:eastAsia="Times New Roman" w:hAnsi="Times New Roman"/>
          <w:sz w:val="22"/>
          <w:szCs w:val="22"/>
        </w:rPr>
        <w:t xml:space="preserve">Powers, D. E., Burstein, J. C., Chodorow, M., Fowles, M. E., &amp; Kukich, K. (2002). Stumping e-rater: Challenging the validity of automated essay scoring. Computers in Human Behavior, 18(2), 103–134. https://doi.org/10.1016/S0747-5632(01)00052-8</w:t>
      </w:r>
    </w:p>
    <w:p>
      <w:pPr>
        <w:keepLines/>
        <w:spacing w:after="60" w:line="264"/>
        <w:ind w:left="720" w:hanging="720"/>
        <w:jc w:val="left"/>
      </w:pPr>
      <w:r>
        <w:rPr>
          <w:rFonts w:ascii="Times New Roman" w:cs="Times New Roman" w:eastAsia="Times New Roman" w:hAnsi="Times New Roman"/>
          <w:sz w:val="22"/>
          <w:szCs w:val="22"/>
        </w:rPr>
        <w:t xml:space="preserve">Sawaki, Y., Ishii, Y., Yamada, H., &amp; Tokunaga, T. (2025). Examining the consistency of instructor versus large language model ratings on summary content: Toward checklist-based feedback provision with second language writers. Language Testing, 42(4), 447–475. https://doi.org/10.1177/02655322251349217</w:t>
      </w:r>
    </w:p>
    <w:p>
      <w:pPr>
        <w:keepLines/>
        <w:spacing w:after="60" w:line="264"/>
        <w:ind w:left="720" w:hanging="720"/>
        <w:jc w:val="left"/>
      </w:pPr>
      <w:r>
        <w:rPr>
          <w:rFonts w:ascii="Times New Roman" w:cs="Times New Roman" w:eastAsia="Times New Roman" w:hAnsi="Times New Roman"/>
          <w:sz w:val="22"/>
          <w:szCs w:val="22"/>
        </w:rPr>
        <w:t xml:space="preserve">Sclar, M., Choi, Y., Tsvetkov, Y., &amp; Suhr, A. (2024). Quantifying language models’ sensitivity to spurious features in prompt design. In The Twelfth International Conference on Learning Representations (ICLR 2024).</w:t>
      </w:r>
    </w:p>
    <w:p>
      <w:pPr>
        <w:keepLines/>
        <w:spacing w:after="60" w:line="264"/>
        <w:ind w:left="720" w:hanging="720"/>
        <w:jc w:val="left"/>
      </w:pPr>
      <w:r>
        <w:rPr>
          <w:rFonts w:ascii="Times New Roman" w:cs="Times New Roman" w:eastAsia="Times New Roman" w:hAnsi="Times New Roman"/>
          <w:sz w:val="22"/>
          <w:szCs w:val="22"/>
        </w:rPr>
        <w:t xml:space="preserve">Shi, L. (2004). Textual borrowing in second-language writing. Written Communication, 21(2), 171–200. https://doi.org/10.1177/0741088303262846</w:t>
      </w:r>
    </w:p>
    <w:p>
      <w:pPr>
        <w:keepLines/>
        <w:spacing w:after="60" w:line="264"/>
        <w:ind w:left="720" w:hanging="720"/>
        <w:jc w:val="left"/>
      </w:pPr>
      <w:r>
        <w:rPr>
          <w:rFonts w:ascii="Times New Roman" w:cs="Times New Roman" w:eastAsia="Times New Roman" w:hAnsi="Times New Roman"/>
          <w:sz w:val="22"/>
          <w:szCs w:val="22"/>
        </w:rPr>
        <w:t xml:space="preserve">Tate, T. P., Steiss, J., Bailey, D., Graham, S., Moon, Y., Ritchie, D., Tseng, W., &amp; Warschauer, M. (2024). Can AI provide useful holistic essay scoring? Computers and Education: Artificial Intelligence, 7, Article 100255. https://doi.org/10.1016/j.caeai.2024.100255</w:t>
      </w:r>
    </w:p>
    <w:p>
      <w:pPr>
        <w:keepLines/>
        <w:spacing w:after="60" w:line="264"/>
        <w:ind w:left="720" w:hanging="720"/>
        <w:jc w:val="left"/>
      </w:pPr>
      <w:r>
        <w:rPr>
          <w:rFonts w:ascii="Times New Roman" w:cs="Times New Roman" w:eastAsia="Times New Roman" w:hAnsi="Times New Roman"/>
          <w:sz w:val="22"/>
          <w:szCs w:val="22"/>
        </w:rPr>
        <w:t xml:space="preserve">Williamson, D. M., Xi, X., &amp; Breyer, F. J. (2012). A framework for evaluation and use of automated scoring. Educational Measurement: Issues and Practice, 31(1), 2–13. https://doi.org/10.1111/j.1745-3992.2011.00223.x</w:t>
      </w:r>
    </w:p>
    <w:p>
      <w:pPr>
        <w:keepLines/>
        <w:spacing w:after="60" w:line="264"/>
        <w:ind w:left="720" w:hanging="720"/>
        <w:jc w:val="left"/>
      </w:pPr>
      <w:r>
        <w:rPr>
          <w:rFonts w:ascii="Times New Roman" w:cs="Times New Roman" w:eastAsia="Times New Roman" w:hAnsi="Times New Roman"/>
          <w:sz w:val="22"/>
          <w:szCs w:val="22"/>
        </w:rPr>
        <w:t xml:space="preserve">Wind, S. A., &amp; Peterson, M. E. (2018). A systematic review of methods for evaluating rating quality in language assessment. Language Testing, 35(2), 161–192. https://doi.org/10.1177/0265532216686999</w:t>
      </w:r>
    </w:p>
    <w:p>
      <w:pPr>
        <w:keepLines/>
        <w:spacing w:after="60" w:line="264"/>
        <w:ind w:left="720" w:hanging="720"/>
        <w:jc w:val="left"/>
      </w:pPr>
      <w:r>
        <w:rPr>
          <w:rFonts w:ascii="Times New Roman" w:cs="Times New Roman" w:eastAsia="Times New Roman" w:hAnsi="Times New Roman"/>
          <w:sz w:val="22"/>
          <w:szCs w:val="22"/>
        </w:rPr>
        <w:t xml:space="preserve">Wu, H.-N., Chu, M.-N., &amp; Hsu, J.-L. (2026). Comparing GPT and human raters in essay assessment: Variability, bias, and the potential of LLM-based scoring. Computers and Education Open, 10, Article 100341. https://doi.org/10.1016/j.caeo.2026.100341</w:t>
      </w:r>
    </w:p>
    <w:p>
      <w:pPr>
        <w:keepLines/>
        <w:spacing w:after="60" w:line="264"/>
        <w:ind w:left="720" w:hanging="720"/>
        <w:jc w:val="left"/>
      </w:pPr>
      <w:r>
        <w:rPr>
          <w:rFonts w:ascii="Times New Roman" w:cs="Times New Roman" w:eastAsia="Times New Roman" w:hAnsi="Times New Roman"/>
          <w:sz w:val="22"/>
          <w:szCs w:val="22"/>
        </w:rPr>
        <w:t xml:space="preserve">Xi, X. (2010). Automated scoring and feedback systems: Where are we and where are we heading? Language Testing, 27(3), 291–300. https://doi.org/10.1177/0265532210364643</w:t>
      </w:r>
    </w:p>
    <w:p>
      <w:pPr>
        <w:keepLines/>
        <w:spacing w:after="60" w:line="264"/>
        <w:ind w:left="720" w:hanging="720"/>
        <w:jc w:val="left"/>
      </w:pPr>
      <w:r>
        <w:rPr>
          <w:rFonts w:ascii="Times New Roman" w:cs="Times New Roman" w:eastAsia="Times New Roman" w:hAnsi="Times New Roman"/>
          <w:sz w:val="22"/>
          <w:szCs w:val="22"/>
        </w:rPr>
        <w:t xml:space="preserve">Yancey, K. P., Laflair, G., Verardi, A., &amp; Burstein, J. (2023). Rating short L2 essays on the CEFR scale with GPT-4. In Proceedings of the 18th Workshop on Innovative Use of NLP for Building Educational Applications (BEA 2023) (pp. 576–584). Association for Computational Linguistics. https://doi.org/10.18653/v1/2023.bea-1.49</w:t>
      </w:r>
    </w:p>
    <w:p>
      <w:pPr>
        <w:keepLines/>
        <w:spacing w:after="60" w:line="264"/>
        <w:ind w:left="720" w:hanging="720"/>
        <w:jc w:val="left"/>
      </w:pPr>
      <w:r>
        <w:rPr>
          <w:rFonts w:ascii="Times New Roman" w:cs="Times New Roman" w:eastAsia="Times New Roman" w:hAnsi="Times New Roman"/>
          <w:sz w:val="22"/>
          <w:szCs w:val="22"/>
        </w:rPr>
        <w:t xml:space="preserve">Yun, B., Moe, M., Flynn, L. E., Öncel, P., &amp; Allen, L. K. (2026). Modeling the reading-to-writing pipeline: Knowledge graph and LLM-based assessment framework for source-based writing. Assessing Writing. Advance online publication. https://doi.org/10.1016/j.asw.2026.101098</w:t>
      </w:r>
    </w:p>
    <w:p>
      <w:pPr>
        <w:keepLines/>
        <w:spacing w:after="60" w:line="264"/>
        <w:ind w:left="720" w:hanging="720"/>
        <w:jc w:val="left"/>
      </w:pPr>
      <w:r>
        <w:rPr>
          <w:rFonts w:ascii="Times New Roman" w:cs="Times New Roman" w:eastAsia="Times New Roman" w:hAnsi="Times New Roman"/>
          <w:sz w:val="22"/>
          <w:szCs w:val="22"/>
        </w:rPr>
        <w:t xml:space="preserve">Zheng, L., Chiang, W.-L., Sheng, Y., Zhuang, S., Wu, Z., Zhuang, Y., Lin, Z., Li, Z., Li, D., Xing, E. P., Zhang, H., Gonzalez, J. E., &amp; Stoica, I. (2023). Judging LLM-as-a-judge with MT-Bench and Chatbot Arena. In Advances in Neural Information Processing Systems 36 (pp. 46595–46623).</w:t>
      </w:r>
    </w:p>
    <w:sectPr>
      <w:footerReference w:type="default" r:id="rId7"/>
      <w:footerReference w:type="first" r:id="rId8"/>
      <w:pgSz w:w="11906" w:h="16838" w:orient="portrait"/>
      <w:pgMar w:top="1440" w:right="1800" w:bottom="1440" w:left="18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2026-10-11T16:16:58.627Z</dcterms:created>
  <dcterms:modified xsi:type="dcterms:W3CDTF">2026-10-11T16:16:58.627Z</dcterms:modified>
</cp:coreProperties>
</file>

<file path=docProps/custom.xml><?xml version="1.0" encoding="utf-8"?>
<Properties xmlns="http://schemas.openxmlformats.org/officeDocument/2006/custom-properties" xmlns:vt="http://schemas.openxmlformats.org/officeDocument/2006/docPropsVTypes"/>
</file>