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 w:line="360"/>
        <w:jc w:val="center"/>
      </w:pPr>
      <w:r>
        <w:rPr>
          <w:rFonts w:ascii="Times New Roman" w:cs="Times New Roman" w:eastAsia="Times New Roman" w:hAnsi="Times New Roman"/>
          <w:b/>
          <w:bCs/>
          <w:sz w:val="36"/>
          <w:szCs w:val="36"/>
        </w:rPr>
        <w:t xml:space="preserve">Consumer AI Scoring of IGCSE Summary Writing:</w:t>
      </w:r>
    </w:p>
    <w:p>
      <w:pPr>
        <w:spacing w:after="400" w:line="360"/>
        <w:jc w:val="center"/>
      </w:pPr>
      <w:r>
        <w:rPr>
          <w:rFonts w:ascii="Times New Roman" w:cs="Times New Roman" w:eastAsia="Times New Roman" w:hAnsi="Times New Roman"/>
          <w:b/>
          <w:bCs/>
          <w:sz w:val="36"/>
          <w:szCs w:val="36"/>
        </w:rPr>
        <w:t xml:space="preserve">Consistency, Agreement and Construct Validity for Multilingual Learners</w:t>
      </w:r>
    </w:p>
    <w:p>
      <w:pPr>
        <w:spacing w:after="60"/>
        <w:jc w:val="center"/>
      </w:pPr>
      <w:r>
        <w:rPr>
          <w:rFonts w:ascii="Times New Roman" w:cs="Times New Roman" w:eastAsia="Times New Roman" w:hAnsi="Times New Roman"/>
          <w:sz w:val="28"/>
          <w:szCs w:val="28"/>
        </w:rPr>
        <w:t xml:space="preserve">Universiti Sains Malaysia</w:t>
      </w:r>
    </w:p>
    <w:p>
      <w:pPr>
        <w:spacing w:after="200"/>
        <w:jc w:val="center"/>
      </w:pPr>
      <w:r>
        <w:rPr>
          <w:rFonts w:ascii="Times New Roman" w:cs="Times New Roman" w:eastAsia="Times New Roman" w:hAnsi="Times New Roman"/>
          <w:sz w:val="28"/>
          <w:szCs w:val="28"/>
        </w:rPr>
        <w:t xml:space="preserve">School of Languages, Literacies and Translation</w:t>
      </w:r>
    </w:p>
    <w:p>
      <w:pPr>
        <w:spacing w:after="400"/>
        <w:jc w:val="center"/>
      </w:pPr>
      <w:r>
        <w:rPr>
          <w:rFonts w:ascii="Times New Roman" w:cs="Times New Roman" w:eastAsia="Times New Roman" w:hAnsi="Times New Roman"/>
          <w:i/>
          <w:iCs/>
          <w:sz w:val="24"/>
          <w:szCs w:val="24"/>
        </w:rPr>
        <w:t xml:space="preserve">PhD research proposal for supervisory review</w:t>
      </w:r>
    </w:p>
    <w:p>
      <w:pPr>
        <w:spacing w:after="120"/>
        <w:jc w:val="center"/>
      </w:pPr>
      <w:r>
        <w:rPr>
          <w:rFonts w:ascii="Times New Roman" w:cs="Times New Roman" w:eastAsia="Times New Roman" w:hAnsi="Times New Roman"/>
          <w:b/>
          <w:bCs/>
          <w:sz w:val="28"/>
          <w:szCs w:val="28"/>
        </w:rPr>
        <w:t xml:space="preserve">Ehab Hourani</w:t>
      </w:r>
    </w:p>
    <w:p>
      <w:pPr>
        <w:spacing w:after="120"/>
        <w:jc w:val="center"/>
      </w:pPr>
      <w:r>
        <w:rPr>
          <w:rFonts w:ascii="Times New Roman" w:cs="Times New Roman" w:eastAsia="Times New Roman" w:hAnsi="Times New Roman"/>
          <w:sz w:val="24"/>
          <w:szCs w:val="24"/>
        </w:rPr>
        <w:t xml:space="preserve">Doctor of Philosophy (Language Studies), by research</w:t>
      </w:r>
    </w:p>
    <w:p>
      <w:pPr>
        <w:spacing w:after="200"/>
        <w:jc w:val="center"/>
      </w:pPr>
      <w:r>
        <w:rPr>
          <w:rFonts w:ascii="Times New Roman" w:cs="Times New Roman" w:eastAsia="Times New Roman" w:hAnsi="Times New Roman"/>
          <w:sz w:val="24"/>
          <w:szCs w:val="24"/>
        </w:rPr>
        <w:t xml:space="preserve">Proposed candidature: September 2027 to August 2031</w:t>
      </w:r>
    </w:p>
    <w:p>
      <w:pPr>
        <w:spacing w:after="120"/>
        <w:jc w:val="center"/>
      </w:pPr>
      <w:r>
        <w:rPr>
          <w:rFonts w:ascii="Times New Roman" w:cs="Times New Roman" w:eastAsia="Times New Roman" w:hAnsi="Times New Roman"/>
          <w:sz w:val="24"/>
          <w:szCs w:val="24"/>
        </w:rPr>
        <w:t xml:space="preserve">October 2026</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Teachers increasingly paste student writing into consumer generative AI applications such as ChatGPT and Claude and ask for a mark. Used this way, the tools offer no control over sampling or model version and limited visibility of underlying model changes, so it is unknown whether the same script receives the same mark twice, where an AI mark diverges from a human marker’s judgement, what justifications the tools provide for their marks, or what the pattern of divergence reveals about how AI tools handle a reading-into-writing task completed by second-language learners sitting a first-language examination.</w:t>
      </w:r>
    </w:p>
    <w:p>
      <w:pPr>
        <w:spacing w:after="120" w:line="360"/>
        <w:jc w:val="both"/>
      </w:pPr>
      <w:r>
        <w:rPr>
          <w:rFonts w:ascii="Times New Roman" w:cs="Times New Roman" w:eastAsia="Times New Roman" w:hAnsi="Times New Roman"/>
          <w:sz w:val="24"/>
          <w:szCs w:val="24"/>
        </w:rPr>
        <w:t xml:space="preserve">This study examines these questions for the selective summary task of Cambridge IGCSE First Language English (0500, Paper 1, Question 2(a)): a summary of no more than 120 words, marked for reading (10 marks) and writing (5 marks). Students in four IGCSE classes at a school in Erbil, Kurdistan Region of Iraq (expected n = 65–80), will each summarise two original passages in separate sessions, yielding 130–160 scripts. Two experienced human raters will mark the typed, anonymised scripts independently and blind. Each script will then be scored through paid consumer subscriptions to ChatGPT and Claude under a rubric-embedded prompt framing, in three passes in separate sessions within the same week.</w:t>
      </w:r>
    </w:p>
    <w:p>
      <w:pPr>
        <w:spacing w:after="120" w:line="360"/>
        <w:jc w:val="both"/>
      </w:pPr>
      <w:r>
        <w:rPr>
          <w:rFonts w:ascii="Times New Roman" w:cs="Times New Roman" w:eastAsia="Times New Roman" w:hAnsi="Times New Roman"/>
          <w:sz w:val="24"/>
          <w:szCs w:val="24"/>
        </w:rPr>
        <w:t xml:space="preserve">The study introduces the scoring correction gap: the documented, criterion-level difference between an AI mark and the human-rater benchmark, analysed not only in magnitude but in the reasoning the AI tool provides. A focused content analysis of up to 10 prespecified scripts (7 high-discrepancy and 3 low-discrepancy; up to 20 rationale texts, i.e. 10 scripts × 2 tools) examines what justifications the tools provide for their marks and how well those justifications accord with the available textual evidence, with particular attention to how the tools handle source fidelity, construct-irrelevant features, and observable language features of multilingual learners. Both the candidate and the second human rater independently code all rationale texts using a shared coding scheme, and inter-coder agreement is reported. This qualitative strand examines reading–writing criterion separation: where English is itself the assessed construct, an AI scorer that confuses reading and writing constructs—for instance, rewarding fluent prose (writing) while overlooking whether the student has selected and transformed the relevant content points (reading)—introduces a distortion that aggregate agreement statistics alone cannot reveal.</w:t>
      </w:r>
    </w:p>
    <w:p>
      <w:pPr>
        <w:spacing w:after="120" w:line="360"/>
        <w:jc w:val="both"/>
      </w:pPr>
      <w:r>
        <w:rPr>
          <w:rFonts w:ascii="Times New Roman" w:cs="Times New Roman" w:eastAsia="Times New Roman" w:hAnsi="Times New Roman"/>
          <w:sz w:val="24"/>
          <w:szCs w:val="24"/>
        </w:rPr>
        <w:t xml:space="preserve">Analyses combine single-run agreement statistics (quadratic weighted kappa, intraclass correlation coefficients), a mixed model estimating tool, passage and pass effects, and the focused content analysis. The study provides a descriptive evidence base for a discrepancy-review workflow: the agreement and correction-gap evidence needed for a teacher to judge when an AI tool is sufficiently consistent to serve as a second marker, and when an AI–teacher gap warrants re-examination of a script. The central empirical question is whether consumer AI scoring of this task is sufficiently consistent and sufficiently aligned with human judgement to support such a workflow, and where it is not, what the pattern of failure reveals about the interaction between AI scoring, source-based assessment and L2 learner writing.</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Chapter 1. Introduction</w:t>
      </w:r>
    </w:p>
    <w:p>
      <w:pPr>
        <w:pStyle w:val="Heading2"/>
        <w:spacing w:after="120" w:before="240" w:line="360"/>
      </w:pPr>
      <w:r>
        <w:rPr>
          <w:rFonts w:ascii="Times New Roman" w:cs="Times New Roman" w:eastAsia="Times New Roman" w:hAnsi="Times New Roman"/>
          <w:b/>
          <w:bCs/>
          <w:sz w:val="28"/>
          <w:szCs w:val="28"/>
        </w:rPr>
        <w:t xml:space="preserve">1.1 Background</w:t>
      </w:r>
    </w:p>
    <w:p>
      <w:pPr>
        <w:spacing w:after="120" w:line="360"/>
        <w:jc w:val="both"/>
      </w:pPr>
      <w:r>
        <w:rPr>
          <w:rFonts w:ascii="Times New Roman" w:cs="Times New Roman" w:eastAsia="Times New Roman" w:hAnsi="Times New Roman"/>
          <w:sz w:val="24"/>
          <w:szCs w:val="24"/>
        </w:rPr>
        <w:t xml:space="preserve">Consumer generative AI has entered teachers’ marking. Teachers now use general-purpose chat applications for many professional tasks, including marking. In a spring 2025 survey of 2,232 United States public school teachers, 60% reported using an AI tool for their work during the 2024–25 school year, and 16% reported using AI tools to grade or provide feedback (Gallup &amp; Walton Family Foundation, 2025). An analysis of educators’ conversations with Claude found that assessing student performance accounted for about 7% of the conversations analysed, that 48.9% of grading-related conversations were automation-heavy, and that surveyed faculty rated grading as the area in which AI was least effective (Anthropic, 2025a). These populations differ from teachers in Iraq or Malaysia, but the figures indicate that using a consumer chat application as a marker is an existing practice.</w:t>
      </w:r>
    </w:p>
    <w:p>
      <w:pPr>
        <w:spacing w:after="120" w:line="360"/>
        <w:jc w:val="both"/>
      </w:pPr>
      <w:r>
        <w:rPr>
          <w:rFonts w:ascii="Times New Roman" w:cs="Times New Roman" w:eastAsia="Times New Roman" w:hAnsi="Times New Roman"/>
          <w:sz w:val="24"/>
          <w:szCs w:val="24"/>
        </w:rPr>
        <w:t xml:space="preserve">The distinction between API access and consumer access is not merely logistical; it defines a different evidence need. Studies using API access answer what large language models can do under controlled conditions—fixed model versions, specified sampling parameters, reproducible pipelines. Studies using consumer access answer what teachers will get under the conditions they actually face—undocumented model changes, default sampling, no version control. The two evidence bases are complementary but not interchangeable: a finding established under API conditions does not transfer automatically to consumer conditions, and vice versa. The present study treats consumer access as a distinct research condition whose scoring properties require their own empirical investigation.</w:t>
      </w:r>
    </w:p>
    <w:p>
      <w:pPr>
        <w:spacing w:after="120" w:line="360"/>
        <w:jc w:val="both"/>
      </w:pPr>
      <w:r>
        <w:rPr>
          <w:rFonts w:ascii="Times New Roman" w:cs="Times New Roman" w:eastAsia="Times New Roman" w:hAnsi="Times New Roman"/>
          <w:sz w:val="24"/>
          <w:szCs w:val="24"/>
        </w:rPr>
        <w:t xml:space="preserve">The ecological condition of consumer access differs from the conditions studied in most scoring research. Research on large language model (LLM) scoring has largely used application programming interfaces (APIs) or controlled settings. A teacher with a monthly subscription cannot set sampling parameters such as temperature, cannot fix a model version and has no reliable way of knowing when the model behind the application has been updated or replaced. OpenAI’s release notes, for example, record successive launches, updates and retirements of the models offered in ChatGPT (OpenAI, n.d.-a). Such changes matter: Chen et al. (2024) found that the behaviour of GPT-3.5 and GPT-4 changed substantially between March and June 2023, including a decline in GPT-4’s adherence to user instructions. The present study treats consumer access not as a methodological innovation but as the ecological condition under which teachers actually use these tools—the condition whose scoring properties most urgently need evidence.</w:t>
      </w:r>
    </w:p>
    <w:p>
      <w:pPr>
        <w:spacing w:after="120" w:line="360"/>
        <w:jc w:val="both"/>
      </w:pPr>
      <w:r>
        <w:rPr>
          <w:rFonts w:ascii="Times New Roman" w:cs="Times New Roman" w:eastAsia="Times New Roman" w:hAnsi="Times New Roman"/>
          <w:sz w:val="24"/>
          <w:szCs w:val="24"/>
        </w:rPr>
        <w:t xml:space="preserve">The IGCSE selective summary is a suitable test case. In the 0500 syllabus for examination in 2027–2029, Paper 1 Question 2(a) is a selective summary written in the candidate’s own words, as continuous writing of no more than 120 words, carrying 10 reading marks and 5 writing marks (Cambridge International Education, 2024a). The task is a highly constrained, rubric-bound writing task in the qualification, it is taught in both Grade 9 and Grade 10, and its component skills transfer to English for Academic Purposes (EAP), IELTS, A-Level and IB contexts. Because it rewards both the selection of relevant content points and the quality of the writing, it cannot be marked without the source passage. This makes it a demanding but transparent test case for studying the consistency and human–AI agreement of AI scoring under consumer-use conditions. To examine whether AI scoring behaviour varies across passages within the same task type, the study uses two passages rather than one.</w:t>
      </w:r>
    </w:p>
    <w:p>
      <w:pPr>
        <w:spacing w:after="120" w:line="360"/>
        <w:jc w:val="both"/>
      </w:pPr>
      <w:r>
        <w:rPr>
          <w:rFonts w:ascii="Times New Roman" w:cs="Times New Roman" w:eastAsia="Times New Roman" w:hAnsi="Times New Roman"/>
          <w:sz w:val="24"/>
          <w:szCs w:val="24"/>
        </w:rPr>
        <w:t xml:space="preserve">Second-language learners sitting a first-language examination present a distinctive scoring challenge. The participants use Kurdish and/or Arabic at home and attend a private English-medium school in Erbil. Private English-medium schooling is significant in the region (Hassun, 2022), and second-language learners in such programmes are often assessed against first-language expectations (Carder, 2007). In a first-language examination the language is the construct, so a scorer—human or AI—must distinguish between language that is incorrect and language that is communicatively effective even where it shows features observable in multilingual writers’ prose. Messick’s (1989) distinction between construct underrepresentation and construct-irrelevant variance frames the concern: an AI scorer that confuses reading and writing constructs—for instance, using fluent prose to justify reading credit that the textual evidence does not support, or overlooking whether the student has selected and transformed the relevant content points—underrepresents the reading construct, while one that penalises language on grounds not supported by the applicable rubric descriptor—rather than on the basis of meaning or accuracy—introduces construct-irrelevant variance. Whether consumer AI tools exhibit either tendency when scoring summaries by multilingual adolescents has not, to the author’s knowledge, been addressed in the published literature reviewed in Chapter 2.</w:t>
      </w:r>
    </w:p>
    <w:p>
      <w:pPr>
        <w:spacing w:after="120" w:line="360"/>
        <w:jc w:val="both"/>
      </w:pPr>
      <w:r>
        <w:rPr>
          <w:rFonts w:ascii="Times New Roman" w:cs="Times New Roman" w:eastAsia="Times New Roman" w:hAnsi="Times New Roman"/>
          <w:sz w:val="24"/>
          <w:szCs w:val="24"/>
        </w:rPr>
        <w:t xml:space="preserve">The study’s setting contributes to geographic diversity in AI scoring research. Virtually all empirical studies of LLM scoring of second-language writing reviewed in Chapter 2 use East Asian populations (Chinese, Japanese, Korean) or, less frequently, Latin American or European learners. Kurdish–Arabic–English trilingual adolescents are absent from this literature. The Kurdistan Region of Iraq, where private English-medium schooling has expanded significantly (Hassun, 2022), represents a growing population of multilingual learners sitting first-language examinations under conditions that have not been studied. The study does not claim generalisability from one school to the region, but it provides the first empirical evidence on AI scoring of this population’s writing.</w:t>
      </w:r>
    </w:p>
    <w:p>
      <w:pPr>
        <w:spacing w:after="120" w:line="360"/>
        <w:jc w:val="both"/>
      </w:pPr>
      <w:r>
        <w:rPr>
          <w:rFonts w:ascii="Times New Roman" w:cs="Times New Roman" w:eastAsia="Times New Roman" w:hAnsi="Times New Roman"/>
          <w:sz w:val="24"/>
          <w:szCs w:val="24"/>
        </w:rPr>
        <w:t xml:space="preserve">Score reliability matters even in classroom assessment. IGCSE summary marks inform teachers’ judgements about readiness, setting and predicted grades. If an AI mark varies between submissions, a teacher relying on it may make inconsistent decisions about the same student. Validity concerns “the degree to which evidence and theory support the interpretations of test scores for proposed uses of tests” (American Educational Research Association [AERA] et al., 2014, p. 11), and information on scoring consistency is essential to estimating score precision (AERA et al., 2014, p. 92). A teacher who accepts an AI mark makes such an interpretation, usually without evidence.</w:t>
      </w:r>
    </w:p>
    <w:p>
      <w:pPr>
        <w:pStyle w:val="Heading2"/>
        <w:spacing w:after="120" w:before="24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Teachers who use ChatGPT or Claude through consumer subscriptions to mark student writing do so without evidence on three properties of the resulting scores, and without understanding of the nature of AI–human disagreement in this context. It is not known whether the same script receives the same mark when submitted repeatedly in independent sessions (pass-to-pass consistency); whether the tool’s scoring properties hold across different passages within the same task type (passage dependence); or what the AI tool’s scoring rationale reveals when its mark diverges substantially from human judgement, particularly for second-language learners whose writing may be penalised or credited on construct-irrelevant grounds.</w:t>
      </w:r>
    </w:p>
    <w:p>
      <w:pPr>
        <w:spacing w:after="120" w:line="360"/>
        <w:jc w:val="both"/>
      </w:pPr>
      <w:r>
        <w:rPr>
          <w:rFonts w:ascii="Times New Roman" w:cs="Times New Roman" w:eastAsia="Times New Roman" w:hAnsi="Times New Roman"/>
          <w:sz w:val="24"/>
          <w:szCs w:val="24"/>
        </w:rPr>
        <w:t xml:space="preserve">Existing studies of LLM scoring have mostly examined API or research access, single scoring occasions, single passages and essay tasks (Chapter 2). No published study, to the author’s knowledge, combines consumer-subscription access, two passages within the same task type, repeated scoring of the same scripts, a qualification-relevant adolescent reading-into-writing task (IGCSE), and a systematic content analysis of AI scoring rationales for high-divergence cases involving L2 writers.</w:t>
      </w:r>
    </w:p>
    <w:p>
      <w:pPr>
        <w:pStyle w:val="Heading2"/>
        <w:spacing w:after="120" w:before="240" w:line="360"/>
      </w:pPr>
      <w:r>
        <w:rPr>
          <w:rFonts w:ascii="Times New Roman" w:cs="Times New Roman" w:eastAsia="Times New Roman" w:hAnsi="Times New Roman"/>
          <w:b/>
          <w:bCs/>
          <w:sz w:val="28"/>
          <w:szCs w:val="28"/>
        </w:rPr>
        <w:t xml:space="preserve">1.3 Aim and objectives</w:t>
      </w:r>
    </w:p>
    <w:p>
      <w:pPr>
        <w:spacing w:after="120" w:line="360"/>
        <w:jc w:val="both"/>
      </w:pPr>
      <w:r>
        <w:rPr>
          <w:rFonts w:ascii="Times New Roman" w:cs="Times New Roman" w:eastAsia="Times New Roman" w:hAnsi="Times New Roman"/>
          <w:sz w:val="24"/>
          <w:szCs w:val="24"/>
        </w:rPr>
        <w:t xml:space="preserve">The aim is to provide an evidence base for a discrepancy-review workflow in which a teacher uses a consumer AI tool as a second marker for IGCSE summary writing, and to examine where AI scoring diverges from human judgement and what justifications the tools provide, with attention to multilingual learners. The objectives are to:</w:t>
      </w:r>
    </w:p>
    <w:p>
      <w:pPr>
        <w:spacing w:after="60" w:line="360"/>
        <w:ind w:left="720" w:hanging="360"/>
        <w:jc w:val="both"/>
      </w:pPr>
      <w:r>
        <w:rPr>
          <w:rFonts w:ascii="Times New Roman" w:cs="Times New Roman" w:eastAsia="Times New Roman" w:hAnsi="Times New Roman"/>
          <w:sz w:val="24"/>
          <w:szCs w:val="24"/>
        </w:rPr>
        <w:t xml:space="preserve">1. estimate the pass-to-pass consistency of ChatGPT and Claude scores for the same summaries scored three times through consumer subscriptions, across two passages;</w:t>
      </w:r>
    </w:p>
    <w:p>
      <w:pPr>
        <w:spacing w:after="60" w:line="360"/>
        <w:ind w:left="720" w:hanging="360"/>
        <w:jc w:val="both"/>
      </w:pPr>
      <w:r>
        <w:rPr>
          <w:rFonts w:ascii="Times New Roman" w:cs="Times New Roman" w:eastAsia="Times New Roman" w:hAnsi="Times New Roman"/>
          <w:sz w:val="24"/>
          <w:szCs w:val="24"/>
        </w:rPr>
        <w:t xml:space="preserve">2. measure agreement between AI and human scores, and locate the correction gap by criterion, score level and passage;</w:t>
      </w:r>
    </w:p>
    <w:p>
      <w:pPr>
        <w:spacing w:after="60" w:line="360"/>
        <w:ind w:left="720" w:hanging="360"/>
        <w:jc w:val="both"/>
      </w:pPr>
      <w:r>
        <w:rPr>
          <w:rFonts w:ascii="Times New Roman" w:cs="Times New Roman" w:eastAsia="Times New Roman" w:hAnsi="Times New Roman"/>
          <w:sz w:val="24"/>
          <w:szCs w:val="24"/>
        </w:rPr>
        <w:t xml:space="preserve">3. analyse the scoring rationales of high-divergence cases to examine what justifications the tools provide and how well those justifications accord with the available textual evidence, with attention to source fidelity, construct-irrelevant features, and observable language features of multilingual learners.</w:t>
      </w:r>
    </w:p>
    <w:p>
      <w:pPr>
        <w:spacing w:after="120" w:line="360"/>
        <w:jc w:val="both"/>
      </w:pPr>
      <w:r>
        <w:rPr>
          <w:rFonts w:ascii="Times New Roman" w:cs="Times New Roman" w:eastAsia="Times New Roman" w:hAnsi="Times New Roman"/>
          <w:sz w:val="24"/>
          <w:szCs w:val="24"/>
        </w:rPr>
        <w:t xml:space="preserve">The study’s synthesis objective is to draw on the findings of objectives 1–3 to assemble a descriptive evidence base for a discrepancy-review workflow.</w:t>
      </w:r>
    </w:p>
    <w:p>
      <w:pPr>
        <w:pStyle w:val="Heading2"/>
        <w:spacing w:after="120" w:before="240" w:line="360"/>
      </w:pPr>
      <w:r>
        <w:rPr>
          <w:rFonts w:ascii="Times New Roman" w:cs="Times New Roman" w:eastAsia="Times New Roman" w:hAnsi="Times New Roman"/>
          <w:b/>
          <w:bCs/>
          <w:sz w:val="28"/>
          <w:szCs w:val="28"/>
        </w:rPr>
        <w:t xml:space="preserve">1.4 Research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2000"/>
      </w:tblGrid>
      <w:tr>
        <w:trPr>
          <w:tblHeader/>
        </w:trPr>
        <w:tc>
          <w:tcPr>
            <w:tcW w:type="dxa" w:w="800"/>
            <w:shd w:fill="E8E8E8" w:val="clear"/>
            <w:vAlign w:val="center"/>
          </w:tcPr>
          <w:p>
            <w:pPr>
              <w:spacing w:after="60"/>
            </w:pPr>
            <w:r>
              <w:rPr>
                <w:rFonts w:ascii="Times New Roman" w:cs="Times New Roman" w:eastAsia="Times New Roman" w:hAnsi="Times New Roman"/>
                <w:b/>
                <w:bCs/>
                <w:sz w:val="22"/>
                <w:szCs w:val="22"/>
              </w:rPr>
              <w:t xml:space="preserve">RQ</w:t>
            </w:r>
          </w:p>
        </w:tc>
        <w:tc>
          <w:tcPr>
            <w:tcW w:type="dxa" w:w="6400"/>
            <w:shd w:fill="E8E8E8" w:val="clear"/>
            <w:vAlign w:val="center"/>
          </w:tcPr>
          <w:p>
            <w:pPr>
              <w:spacing w:after="60"/>
            </w:pPr>
            <w:r>
              <w:rPr>
                <w:rFonts w:ascii="Times New Roman" w:cs="Times New Roman" w:eastAsia="Times New Roman" w:hAnsi="Times New Roman"/>
                <w:b/>
                <w:bCs/>
                <w:sz w:val="22"/>
                <w:szCs w:val="22"/>
              </w:rPr>
              <w:t xml:space="preserve">Question</w:t>
            </w:r>
          </w:p>
        </w:tc>
        <w:tc>
          <w:tcPr>
            <w:tcW w:type="dxa" w:w="2000"/>
            <w:shd w:fill="E8E8E8" w:val="clear"/>
            <w:vAlign w:val="center"/>
          </w:tcPr>
          <w:p>
            <w:pPr>
              <w:spacing w:after="60"/>
            </w:pPr>
            <w:r>
              <w:rPr>
                <w:rFonts w:ascii="Times New Roman" w:cs="Times New Roman" w:eastAsia="Times New Roman" w:hAnsi="Times New Roman"/>
                <w:b/>
                <w:bCs/>
                <w:sz w:val="22"/>
                <w:szCs w:val="22"/>
              </w:rPr>
              <w:t xml:space="preserve">Layer</w:t>
            </w:r>
          </w:p>
        </w:tc>
      </w:tr>
      <w:tr>
        <w:tc>
          <w:tcPr>
            <w:tcW w:type="dxa" w:w="800"/>
            <w:vAlign w:val="center"/>
          </w:tcPr>
          <w:p>
            <w:pPr>
              <w:spacing w:after="60"/>
            </w:pPr>
            <w:r>
              <w:rPr>
                <w:rFonts w:ascii="Times New Roman" w:cs="Times New Roman" w:eastAsia="Times New Roman" w:hAnsi="Times New Roman"/>
                <w:sz w:val="22"/>
                <w:szCs w:val="22"/>
              </w:rPr>
              <w:t xml:space="preserve">RQ1</w:t>
            </w:r>
          </w:p>
        </w:tc>
        <w:tc>
          <w:tcPr>
            <w:tcW w:type="dxa" w:w="6400"/>
            <w:vAlign w:val="center"/>
          </w:tcPr>
          <w:p>
            <w:pPr>
              <w:spacing w:after="60"/>
            </w:pPr>
            <w:r>
              <w:rPr>
                <w:rFonts w:ascii="Times New Roman" w:cs="Times New Roman" w:eastAsia="Times New Roman" w:hAnsi="Times New Roman"/>
                <w:sz w:val="22"/>
                <w:szCs w:val="22"/>
              </w:rPr>
              <w:t xml:space="preserve">To what extent do ChatGPT and Claude, used through consumer subscriptions, give consistent scores to the same summary when it is scored three times in independent sessions, and does consistency differ across passages?</w:t>
            </w:r>
          </w:p>
        </w:tc>
        <w:tc>
          <w:tcPr>
            <w:tcW w:type="dxa" w:w="2000"/>
            <w:vAlign w:val="center"/>
          </w:tcPr>
          <w:p>
            <w:pPr>
              <w:spacing w:after="60"/>
            </w:pPr>
            <w:r>
              <w:rPr>
                <w:rFonts w:ascii="Times New Roman" w:cs="Times New Roman" w:eastAsia="Times New Roman" w:hAnsi="Times New Roman"/>
                <w:sz w:val="22"/>
                <w:szCs w:val="22"/>
              </w:rPr>
              <w:t xml:space="preserve">Pass-to-pass consistency</w:t>
            </w:r>
          </w:p>
        </w:tc>
      </w:tr>
      <w:tr>
        <w:tc>
          <w:tcPr>
            <w:tcW w:type="dxa" w:w="800"/>
            <w:vAlign w:val="center"/>
          </w:tcPr>
          <w:p>
            <w:pPr>
              <w:spacing w:after="60"/>
            </w:pPr>
            <w:r>
              <w:rPr>
                <w:rFonts w:ascii="Times New Roman" w:cs="Times New Roman" w:eastAsia="Times New Roman" w:hAnsi="Times New Roman"/>
                <w:sz w:val="22"/>
                <w:szCs w:val="22"/>
              </w:rPr>
              <w:t xml:space="preserve">RQ2</w:t>
            </w:r>
          </w:p>
        </w:tc>
        <w:tc>
          <w:tcPr>
            <w:tcW w:type="dxa" w:w="6400"/>
            <w:vAlign w:val="center"/>
          </w:tcPr>
          <w:p>
            <w:pPr>
              <w:spacing w:after="60"/>
            </w:pPr>
            <w:r>
              <w:rPr>
                <w:rFonts w:ascii="Times New Roman" w:cs="Times New Roman" w:eastAsia="Times New Roman" w:hAnsi="Times New Roman"/>
                <w:sz w:val="22"/>
                <w:szCs w:val="22"/>
              </w:rPr>
              <w:t xml:space="preserve">How closely do AI scores agree with those of two experienced human raters, and where (by criterion, score level and passage) do they diverge?</w:t>
            </w:r>
          </w:p>
        </w:tc>
        <w:tc>
          <w:tcPr>
            <w:tcW w:type="dxa" w:w="2000"/>
            <w:vAlign w:val="center"/>
          </w:tcPr>
          <w:p>
            <w:pPr>
              <w:spacing w:after="60"/>
            </w:pPr>
            <w:r>
              <w:rPr>
                <w:rFonts w:ascii="Times New Roman" w:cs="Times New Roman" w:eastAsia="Times New Roman" w:hAnsi="Times New Roman"/>
                <w:sz w:val="22"/>
                <w:szCs w:val="22"/>
              </w:rPr>
              <w:t xml:space="preserve">Agreement and correction gap</w:t>
            </w:r>
          </w:p>
        </w:tc>
      </w:tr>
      <w:tr>
        <w:tc>
          <w:tcPr>
            <w:tcW w:type="dxa" w:w="800"/>
            <w:vAlign w:val="center"/>
          </w:tcPr>
          <w:p>
            <w:pPr>
              <w:spacing w:after="60"/>
            </w:pPr>
            <w:r>
              <w:rPr>
                <w:rFonts w:ascii="Times New Roman" w:cs="Times New Roman" w:eastAsia="Times New Roman" w:hAnsi="Times New Roman"/>
                <w:sz w:val="22"/>
                <w:szCs w:val="22"/>
              </w:rPr>
              <w:t xml:space="preserve">RQ3</w:t>
            </w:r>
          </w:p>
        </w:tc>
        <w:tc>
          <w:tcPr>
            <w:tcW w:type="dxa" w:w="6400"/>
            <w:vAlign w:val="center"/>
          </w:tcPr>
          <w:p>
            <w:pPr>
              <w:spacing w:after="60"/>
            </w:pPr>
            <w:r>
              <w:rPr>
                <w:rFonts w:ascii="Times New Roman" w:cs="Times New Roman" w:eastAsia="Times New Roman" w:hAnsi="Times New Roman"/>
                <w:sz w:val="22"/>
                <w:szCs w:val="22"/>
              </w:rPr>
              <w:t xml:space="preserve">What justifications do the AI tools provide for their marks in high-divergence cases, how well do those justifications accord with the available textual evidence, and what do they reveal about how the tools handle source fidelity, construct-irrelevant features and observable language features of multilingual learners?</w:t>
            </w:r>
          </w:p>
        </w:tc>
        <w:tc>
          <w:tcPr>
            <w:tcW w:type="dxa" w:w="2000"/>
            <w:vAlign w:val="center"/>
          </w:tcPr>
          <w:p>
            <w:pPr>
              <w:spacing w:after="60"/>
            </w:pPr>
            <w:r>
              <w:rPr>
                <w:rFonts w:ascii="Times New Roman" w:cs="Times New Roman" w:eastAsia="Times New Roman" w:hAnsi="Times New Roman"/>
                <w:sz w:val="22"/>
                <w:szCs w:val="22"/>
              </w:rPr>
              <w:t xml:space="preserve">The scoring correction gap explained</w:t>
            </w:r>
          </w:p>
        </w:tc>
      </w:tr>
    </w:tbl>
    <w:p>
      <w:pPr>
        <w:spacing w:after="200" w:line="360"/>
        <w:jc w:val="both"/>
      </w:pPr>
      <w:r>
        <w:rPr>
          <w:rFonts w:ascii="Times New Roman" w:cs="Times New Roman" w:eastAsia="Times New Roman" w:hAnsi="Times New Roman"/>
          <w:sz w:val="24"/>
          <w:szCs w:val="24"/>
        </w:rPr>
        <w:t xml:space="preserve">The discrepancy-review workflow is the study’s synthesis objective, not a separate research question. The synthesis draws on the findings of RQ1–RQ3 to assemble the descriptive evidence base for a discrepancy-review workflow (see Section 3.7).</w:t>
      </w:r>
    </w:p>
    <w:p>
      <w:pPr>
        <w:pStyle w:val="Heading2"/>
        <w:spacing w:after="120" w:before="240" w:line="360"/>
      </w:pPr>
      <w:r>
        <w:rPr>
          <w:rFonts w:ascii="Times New Roman" w:cs="Times New Roman" w:eastAsia="Times New Roman" w:hAnsi="Times New Roman"/>
          <w:b/>
          <w:bCs/>
          <w:sz w:val="28"/>
          <w:szCs w:val="28"/>
        </w:rPr>
        <w:t xml:space="preserve">1.5 Significance</w:t>
      </w:r>
    </w:p>
    <w:p>
      <w:pPr>
        <w:spacing w:after="120" w:line="360"/>
        <w:jc w:val="both"/>
      </w:pPr>
      <w:r>
        <w:rPr>
          <w:rFonts w:ascii="Times New Roman" w:cs="Times New Roman" w:eastAsia="Times New Roman" w:hAnsi="Times New Roman"/>
          <w:b/>
          <w:bCs/>
          <w:sz w:val="24"/>
          <w:szCs w:val="24"/>
        </w:rPr>
        <w:t xml:space="preserve">For teachers and schools. </w:t>
      </w:r>
      <w:r>
        <w:rPr>
          <w:rFonts w:ascii="Times New Roman" w:cs="Times New Roman" w:eastAsia="Times New Roman" w:hAnsi="Times New Roman"/>
          <w:sz w:val="24"/>
          <w:szCs w:val="24"/>
        </w:rPr>
        <w:t xml:space="preserve">The study will give teachers who already use consumer AI tools descriptive evidence on the consistency and agreement properties of consumer AI scoring, informing their consideration of whether a tool is consistent enough to use as a second marker—under the ecological conditions of ordinary consumer access rather than through an API pipeline that most teachers cannot build. The content analysis of high-divergence cases will illustrate the kinds of scoring justifications AI tools produce and how well those justifications hold up against the textual evidence, and the analysis of observable language features will address a concern specific to the many international schools where multilingual learners sit first-language examinations.</w:t>
      </w:r>
    </w:p>
    <w:p>
      <w:pPr>
        <w:spacing w:after="120" w:line="360"/>
        <w:jc w:val="both"/>
      </w:pPr>
      <w:r>
        <w:rPr>
          <w:rFonts w:ascii="Times New Roman" w:cs="Times New Roman" w:eastAsia="Times New Roman" w:hAnsi="Times New Roman"/>
          <w:b/>
          <w:bCs/>
          <w:sz w:val="24"/>
          <w:szCs w:val="24"/>
        </w:rPr>
        <w:t xml:space="preserve">For language assessment research. </w:t>
      </w:r>
      <w:r>
        <w:rPr>
          <w:rFonts w:ascii="Times New Roman" w:cs="Times New Roman" w:eastAsia="Times New Roman" w:hAnsi="Times New Roman"/>
          <w:sz w:val="24"/>
          <w:szCs w:val="24"/>
        </w:rPr>
        <w:t xml:space="preserve">The study treats the consumer AI application as a rater whose behaviour may vary across passages within the same task type. Repeated scoring across two passages allows within-passage pass-to-pass variation and passage effects to be estimated separately from human–AI disagreement. The scoring correction gap—a proposed analytical label for the criterion-level, rationale-supported description of where AI scores diverge and what justifications the tools offer—describes what a teacher must understand about an AI mark before acting on it. This label, and the structured evidence-checking procedure that supports it, is the study’s descriptive contribution. The study also contributes to geographic diversity: it provides the first published evidence on AI scoring of writing by Kurdish–Arabic–English trilingual adolescents, a population absent from the existing literature on LLM-based scoring.</w:t>
      </w:r>
    </w:p>
    <w:p>
      <w:pPr>
        <w:spacing w:after="120" w:line="360"/>
        <w:jc w:val="both"/>
      </w:pPr>
      <w:r>
        <w:rPr>
          <w:rFonts w:ascii="Times New Roman" w:cs="Times New Roman" w:eastAsia="Times New Roman" w:hAnsi="Times New Roman"/>
          <w:b/>
          <w:bCs/>
          <w:sz w:val="24"/>
          <w:szCs w:val="24"/>
        </w:rPr>
        <w:t xml:space="preserve">For validity theory applied to AI scoring. </w:t>
      </w:r>
      <w:r>
        <w:rPr>
          <w:rFonts w:ascii="Times New Roman" w:cs="Times New Roman" w:eastAsia="Times New Roman" w:hAnsi="Times New Roman"/>
          <w:sz w:val="24"/>
          <w:szCs w:val="24"/>
        </w:rPr>
        <w:t xml:space="preserve">The study applies an argument-based approach (Kane, 2013) to a use outside the operational settings for which automated scoring frameworks were developed (Williamson et al., 2012; Xi, 2010), showing which inferences in a teacher’s use of an AI mark can be supported in a qualification-relevant classroom context (IGCSE). The reading–writing criterion-separation analysis contributes to the broader question of whether AI scoring introduces construct-irrelevant variance for L2 populations. If AI scoring introduces construct-irrelevant variance for multilingual populations sitting first-language examinations, it compounds an existing equity concern in international school assessment. Multilingual learners in English-medium international schools are routinely assessed against first-language expectations (Carder, 2007), and the appropriateness of this practice is itself debated (Gallagher, 2008; Sears, 2015). An AI scoring tool that amplifies construct-irrelevant penalisation of multilingual language features would deepen, rather than mitigate, this structural disadvantage.</w:t>
      </w:r>
    </w:p>
    <w:p>
      <w:pPr>
        <w:pStyle w:val="Heading2"/>
        <w:spacing w:after="120" w:before="240" w:line="360"/>
      </w:pPr>
      <w:r>
        <w:rPr>
          <w:rFonts w:ascii="Times New Roman" w:cs="Times New Roman" w:eastAsia="Times New Roman" w:hAnsi="Times New Roman"/>
          <w:b/>
          <w:bCs/>
          <w:sz w:val="28"/>
          <w:szCs w:val="28"/>
        </w:rPr>
        <w:t xml:space="preserve">1.6 Scope and key definitions</w:t>
      </w:r>
    </w:p>
    <w:p>
      <w:pPr>
        <w:spacing w:after="120" w:line="360"/>
        <w:jc w:val="both"/>
      </w:pPr>
      <w:r>
        <w:rPr>
          <w:rFonts w:ascii="Times New Roman" w:cs="Times New Roman" w:eastAsia="Times New Roman" w:hAnsi="Times New Roman"/>
          <w:sz w:val="24"/>
          <w:szCs w:val="24"/>
        </w:rPr>
        <w:t xml:space="preserve">The study is bounded to one task (Question 2(a)), two original passages, one school, two consumer AI tools and one scoring wave.</w:t>
      </w:r>
    </w:p>
    <w:p>
      <w:pPr>
        <w:spacing w:after="120" w:line="360"/>
        <w:jc w:val="both"/>
      </w:pPr>
      <w:r>
        <w:rPr>
          <w:rFonts w:ascii="Times New Roman" w:cs="Times New Roman" w:eastAsia="Times New Roman" w:hAnsi="Times New Roman"/>
          <w:b/>
          <w:bCs/>
          <w:sz w:val="24"/>
          <w:szCs w:val="24"/>
        </w:rPr>
        <w:t xml:space="preserve">Consumer AI access (ecological condition). </w:t>
      </w:r>
      <w:r>
        <w:rPr>
          <w:rFonts w:ascii="Times New Roman" w:cs="Times New Roman" w:eastAsia="Times New Roman" w:hAnsi="Times New Roman"/>
          <w:sz w:val="24"/>
          <w:szCs w:val="24"/>
        </w:rPr>
        <w:t xml:space="preserve">Use of ChatGPT or Claude through a paid individual subscription to the provider’s chat application, without API access, using the latest flagship model offered on the paid plan, chosen in the model picker. The user cannot set sampling parameters, fix a model version or reliably see model changes; the model name and reasoning mode are therefore logged for every submission. The study treats this as the ecological condition under which teachers use these tools, not as a methodological choice.</w:t>
      </w:r>
    </w:p>
    <w:p>
      <w:pPr>
        <w:spacing w:after="120" w:line="360"/>
        <w:jc w:val="both"/>
      </w:pPr>
      <w:r>
        <w:rPr>
          <w:rFonts w:ascii="Times New Roman" w:cs="Times New Roman" w:eastAsia="Times New Roman" w:hAnsi="Times New Roman"/>
          <w:b/>
          <w:bCs/>
          <w:sz w:val="24"/>
          <w:szCs w:val="24"/>
        </w:rPr>
        <w:t xml:space="preserve">Repeatability under consumer-use conditions. </w:t>
      </w:r>
      <w:r>
        <w:rPr>
          <w:rFonts w:ascii="Times New Roman" w:cs="Times New Roman" w:eastAsia="Times New Roman" w:hAnsi="Times New Roman"/>
          <w:sz w:val="24"/>
          <w:szCs w:val="24"/>
        </w:rPr>
        <w:t xml:space="preserve">Variation in the scores a single tool assigns to the same script across three independent passes in separate sessions within the same week, under the same framing. This estimate includes both within-session random variation and any between-session variation from the service. With three passes, the estimate of within-script variability rests on three scores per script, providing a within-script variance estimate that does not depend on a single difference. Also referred to as pass-to-pass consistency in this proposal.</w:t>
      </w:r>
    </w:p>
    <w:p>
      <w:pPr>
        <w:spacing w:after="120" w:line="360"/>
        <w:jc w:val="both"/>
      </w:pPr>
      <w:r>
        <w:rPr>
          <w:rFonts w:ascii="Times New Roman" w:cs="Times New Roman" w:eastAsia="Times New Roman" w:hAnsi="Times New Roman"/>
          <w:b/>
          <w:bCs/>
          <w:sz w:val="24"/>
          <w:szCs w:val="24"/>
        </w:rPr>
        <w:t xml:space="preserve">Correction gap (scoring). </w:t>
      </w:r>
      <w:r>
        <w:rPr>
          <w:rFonts w:ascii="Times New Roman" w:cs="Times New Roman" w:eastAsia="Times New Roman" w:hAnsi="Times New Roman"/>
          <w:sz w:val="24"/>
          <w:szCs w:val="24"/>
        </w:rPr>
        <w:t xml:space="preserve">The AI score minus the mean of the two human raters’ scores, so that a positive value indicates AI leniency, analysed by criterion, score level and passage. Scoring correction gap is proposed as an analytical label—informed by prior work on evaluating and revising machine output—for describing, at the criterion level, the documented difference between what the AI awards and what the human benchmark awards, characterised not only by magnitude but by the reasoning the AI provides. It is not a new theoretical construct; it is a descriptive tool for organising the comparison of AI and human scoring. The prompt framing requests a short reason alongside the mark; these reasons are retained in the response log and are analysed for up to 10 prespecified scripts (Section 3.7).</w:t>
      </w:r>
    </w:p>
    <w:p>
      <w:pPr>
        <w:spacing w:after="120" w:line="360"/>
        <w:jc w:val="both"/>
      </w:pPr>
      <w:r>
        <w:rPr>
          <w:rFonts w:ascii="Times New Roman" w:cs="Times New Roman" w:eastAsia="Times New Roman" w:hAnsi="Times New Roman"/>
          <w:b/>
          <w:bCs/>
          <w:sz w:val="24"/>
          <w:szCs w:val="24"/>
        </w:rPr>
        <w:t xml:space="preserve">Reading–writing criterion separation. </w:t>
      </w:r>
      <w:r>
        <w:rPr>
          <w:rFonts w:ascii="Times New Roman" w:cs="Times New Roman" w:eastAsia="Times New Roman" w:hAnsi="Times New Roman"/>
          <w:sz w:val="24"/>
          <w:szCs w:val="24"/>
        </w:rPr>
        <w:t xml:space="preserve">In a first-language examination, the language is the construct. The central risk is that an AI scorer confuses reading and writing constructs: using fluent, well-formed prose (a writing quality) to justify reading credit that the textual evidence does not support, or overlooking whether the student has selected and faithfully transformed the relevant content points (the reading construct), or penalising language features observable in multilingual learners’ writing on grounds not supported by the applicable rubric descriptor. The content analysis examines whether AI scoring rationales show either tendency.</w:t>
      </w:r>
    </w:p>
    <w:p>
      <w:pPr>
        <w:spacing w:after="120" w:line="360"/>
        <w:jc w:val="both"/>
      </w:pPr>
      <w:r>
        <w:rPr>
          <w:rFonts w:ascii="Times New Roman" w:cs="Times New Roman" w:eastAsia="Times New Roman" w:hAnsi="Times New Roman"/>
          <w:b/>
          <w:bCs/>
          <w:sz w:val="24"/>
          <w:szCs w:val="24"/>
        </w:rPr>
        <w:t xml:space="preserve">Discrepancy-review workflow. </w:t>
      </w:r>
      <w:r>
        <w:rPr>
          <w:rFonts w:ascii="Times New Roman" w:cs="Times New Roman" w:eastAsia="Times New Roman" w:hAnsi="Times New Roman"/>
          <w:sz w:val="24"/>
          <w:szCs w:val="24"/>
        </w:rPr>
        <w:t xml:space="preserve">A teacher-facing workflow in which the teacher marks a script first, then submits it to an AI tool, and compares the two marks. The study provides the descriptive evidence base—consistency statistics, agreement benchmarks, correction-gap profiles and qualitative explanations—needed to judge whether a given tool supports this workflow for the IGCSE summary task. It does not provide a validated operational protocol; that requires further research.</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Chapter 2. Literature Review and Conceptual Framework</w:t>
      </w:r>
    </w:p>
    <w:p>
      <w:pPr>
        <w:pStyle w:val="Heading2"/>
        <w:spacing w:after="120" w:before="240" w:line="360"/>
      </w:pPr>
      <w:r>
        <w:rPr>
          <w:rFonts w:ascii="Times New Roman" w:cs="Times New Roman" w:eastAsia="Times New Roman" w:hAnsi="Times New Roman"/>
          <w:b/>
          <w:bCs/>
          <w:sz w:val="28"/>
          <w:szCs w:val="28"/>
        </w:rPr>
        <w:t xml:space="preserve">2.1 Summary writing as a reading-into-writing construct</w:t>
      </w:r>
    </w:p>
    <w:p>
      <w:pPr>
        <w:spacing w:after="120" w:line="360"/>
        <w:jc w:val="both"/>
      </w:pPr>
      <w:r>
        <w:rPr>
          <w:rFonts w:ascii="Times New Roman" w:cs="Times New Roman" w:eastAsia="Times New Roman" w:hAnsi="Times New Roman"/>
          <w:sz w:val="24"/>
          <w:szCs w:val="24"/>
        </w:rPr>
        <w:t xml:space="preserve">Summary writing integrates comprehension and production. Kintsch and van Dijk (1978) modelled comprehension as the construction of a local text base and a global macrostructure, produced by macro-operators that reduce a text to its gist. Brown and Day (1983) operationalised this reduction as rules for deleting trivial and redundant information, replacing lists with superordinate terms, and selecting or inventing topic sentences; younger students relied on a “copy-delete” strategy, whereas expert summarisers restated the gist in their own words. Hidi and Anderson (1986) showed that summarisation demands depend on the text, on whether the source is available and on whether the summary is written for oneself or for a reader; the IGCSE task is reader-based and source-available.</w:t>
      </w:r>
    </w:p>
    <w:p>
      <w:pPr>
        <w:spacing w:after="120" w:line="360"/>
        <w:jc w:val="both"/>
      </w:pPr>
      <w:r>
        <w:rPr>
          <w:rFonts w:ascii="Times New Roman" w:cs="Times New Roman" w:eastAsia="Times New Roman" w:hAnsi="Times New Roman"/>
          <w:sz w:val="24"/>
          <w:szCs w:val="24"/>
        </w:rPr>
        <w:t xml:space="preserve">L2 summarising adds proficiency-related copying. Johns and Mayes (1990) found that lower- and higher-proficiency university ESL students differed significantly in replicating source sentences and in combining idea units across sentences. Shi (2004) found that students writing summaries borrowed more words from source texts than those writing opinion essays. Keck (2006) distinguished degrees of paraphrase, and Keck (2014) found that less-experienced L1 and L2 university writers relied more heavily on source-text excerpts than more-experienced peers. In assessment, Cumming (2013) identified two perils of integrated reading–writing tasks: they confound writing ability with source comprehension, and they make source language hard to distinguish from the writer’s own. The 2024 examiner report on the equivalent Cambridge question shows the same weaknesses: less effective summaries copied with minimal rewording, repeated ideas, added comment or exceeded the 120-word guidance (Cambridge International Education, 2024c). These tendencies may occur in the study corpus.</w:t>
      </w:r>
    </w:p>
    <w:p>
      <w:pPr>
        <w:pStyle w:val="Heading2"/>
        <w:spacing w:after="120" w:before="240" w:line="360"/>
      </w:pPr>
      <w:r>
        <w:rPr>
          <w:rFonts w:ascii="Times New Roman" w:cs="Times New Roman" w:eastAsia="Times New Roman" w:hAnsi="Times New Roman"/>
          <w:b/>
          <w:bCs/>
          <w:sz w:val="28"/>
          <w:szCs w:val="28"/>
        </w:rPr>
        <w:t xml:space="preserve">2.2 Accessibility, L2 writers and the first-language construct</w:t>
      </w:r>
    </w:p>
    <w:p>
      <w:pPr>
        <w:spacing w:after="120" w:line="360"/>
        <w:jc w:val="both"/>
      </w:pPr>
      <w:r>
        <w:rPr>
          <w:rFonts w:ascii="Times New Roman" w:cs="Times New Roman" w:eastAsia="Times New Roman" w:hAnsi="Times New Roman"/>
          <w:sz w:val="24"/>
          <w:szCs w:val="24"/>
        </w:rPr>
        <w:t xml:space="preserve">Messick’s (1989) distinction between construct underrepresentation and construct-irrelevant variance frames the central scoring tension for L2 writers in an L1 examination. Where language is not the construct, reducing linguistic difficulty removes irrelevant barrier. But in IGCSE 0500, reading a demanding source and transforming it into one’s own words is the construct. A student whose summary preserves meaning through communicatively effective phrasing—even where that phrasing shows features observable in multilingual writers’ prose—has demonstrated the assessed skill; a scorer that penalises such phrasing while crediting a more fluent but less faithful alternative misrepresents the construct.</w:t>
      </w:r>
    </w:p>
    <w:p>
      <w:pPr>
        <w:spacing w:after="120" w:line="360"/>
        <w:jc w:val="both"/>
      </w:pPr>
      <w:r>
        <w:rPr>
          <w:rFonts w:ascii="Times New Roman" w:cs="Times New Roman" w:eastAsia="Times New Roman" w:hAnsi="Times New Roman"/>
          <w:sz w:val="24"/>
          <w:szCs w:val="24"/>
        </w:rPr>
        <w:t xml:space="preserve">The tension between first-language assessment expectations and multilingual learner populations extends beyond individual classrooms. Gallagher (2008) examined the challenges of assessing English language learners within international school curricula designed for native speakers, arguing that assessment frameworks developed for monolingual populations may systematically disadvantage multilingual students. Sears (2015) found that international school teachers held varied and sometimes contradictory beliefs about how language proficiency should be weighed in content assessment. These findings suggest that the construct validity of first-language English examinations for multilingual learners is an unresolved question in international education. An AI scoring tool that inherits or amplifies the construct-irrelevant features of its training data could deepen this inequity without the corrective judgement that an experienced human marker might apply.</w:t>
      </w:r>
    </w:p>
    <w:p>
      <w:pPr>
        <w:spacing w:after="120" w:line="360"/>
        <w:jc w:val="both"/>
      </w:pPr>
      <w:r>
        <w:rPr>
          <w:rFonts w:ascii="Times New Roman" w:cs="Times New Roman" w:eastAsia="Times New Roman" w:hAnsi="Times New Roman"/>
          <w:sz w:val="24"/>
          <w:szCs w:val="24"/>
        </w:rPr>
        <w:t xml:space="preserve">The L2 writing literature shows that source use varies with proficiency. Pecorari (2003) argued that patchwriting in postgraduate writing was typically not intended to deceive and called for a pedagogical response. Hirvela and Du (2013) found that learners could complete paraphrasing exercises with little sense of why paraphrase mattered. Baxter and Neumann (2023) provide evidence on adolescent writers. Research on text modification shows that simplification does not consistently aid comprehension (Young, 1999), that elaboration can serve learners at least as well (Oh, 2001), and that simplified texts are processed faster (Crossley et al., 2014). These findings concern materials, but they have a scoring parallel: an AI scorer trained on large corpora of fluent English may implicitly confuse reading and writing constructs, valuing fluent prose over the faithful content-point transformations that the IGCSE rubric rewards for the reading mark.</w:t>
      </w:r>
    </w:p>
    <w:p>
      <w:pPr>
        <w:spacing w:after="120" w:line="360"/>
        <w:jc w:val="both"/>
      </w:pPr>
      <w:r>
        <w:rPr>
          <w:rFonts w:ascii="Times New Roman" w:cs="Times New Roman" w:eastAsia="Times New Roman" w:hAnsi="Times New Roman"/>
          <w:sz w:val="24"/>
          <w:szCs w:val="24"/>
        </w:rPr>
        <w:t xml:space="preserve">Whether consumer AI tools exhibit this tendency when scoring summaries by multilingual adolescents has not, to the author’s knowledge, been addressed in the literature reviewed above. The present study’s content analysis of high-divergence cases (RQ3) examines the justifications the tools provide and whether those justifications reveal confusion between reading and writing constructs.</w:t>
      </w:r>
    </w:p>
    <w:p>
      <w:pPr>
        <w:pStyle w:val="Heading2"/>
        <w:spacing w:after="120" w:before="240" w:line="360"/>
      </w:pPr>
      <w:r>
        <w:rPr>
          <w:rFonts w:ascii="Times New Roman" w:cs="Times New Roman" w:eastAsia="Times New Roman" w:hAnsi="Times New Roman"/>
          <w:b/>
          <w:bCs/>
          <w:sz w:val="28"/>
          <w:szCs w:val="28"/>
        </w:rPr>
        <w:t xml:space="preserve">2.3 Frameworks for evaluating automated scoring</w:t>
      </w:r>
    </w:p>
    <w:p>
      <w:pPr>
        <w:spacing w:after="120" w:line="360"/>
        <w:jc w:val="both"/>
      </w:pPr>
      <w:r>
        <w:rPr>
          <w:rFonts w:ascii="Times New Roman" w:cs="Times New Roman" w:eastAsia="Times New Roman" w:hAnsi="Times New Roman"/>
          <w:sz w:val="24"/>
          <w:szCs w:val="24"/>
        </w:rPr>
        <w:t xml:space="preserve">Validation frameworks for automated scoring are argument-based. Clauser et al. (2002) argued that automated scoring is judged by the same validity criteria as other scoring, but that the parts of the argument needing emphasis depend on the scoring procedure. Xi (2010) set out validity questions by inference, including whether scoring captures the construct, whether scores resist gaming and whether they generalise and support appropriate decisions. Williamson et al. (2012) proposed evaluating fit to purpose, human–automated agreement, associations with independent measures, generalisability and subgroup consequences, with agreement criteria that include a quadratic weighted kappa (QWK) of at least .70 (see also Doewes et al., 2023). The Standards require empirical support, such as agreement rates with human scorers, before automated scoring is used operationally (AERA et al., 2014, Standard 4.19).</w:t>
      </w:r>
    </w:p>
    <w:p>
      <w:pPr>
        <w:spacing w:after="120" w:line="360"/>
        <w:jc w:val="both"/>
      </w:pPr>
      <w:r>
        <w:rPr>
          <w:rFonts w:ascii="Times New Roman" w:cs="Times New Roman" w:eastAsia="Times New Roman" w:hAnsi="Times New Roman"/>
          <w:sz w:val="24"/>
          <w:szCs w:val="24"/>
        </w:rPr>
        <w:t xml:space="preserve">Applying these frameworks to consumer AI scoring requires attention to limited documentation and possible changes in the scoring system. The prompting procedure proposed here does not involve researcher-led model training or fine-tuning: the rubric is supplied in a prompt, which puts scoring within a teacher’s reach. However, a consumer chat application is undocumented to its user, may change without notice and may return different scores on resubmission. The present study keeps the frameworks’ evidential categories but treats stability over submissions as a property to be established, not assumed.</w:t>
      </w:r>
    </w:p>
    <w:p>
      <w:pPr>
        <w:pStyle w:val="Heading2"/>
        <w:spacing w:after="120" w:before="240" w:line="360"/>
      </w:pPr>
      <w:r>
        <w:rPr>
          <w:rFonts w:ascii="Times New Roman" w:cs="Times New Roman" w:eastAsia="Times New Roman" w:hAnsi="Times New Roman"/>
          <w:b/>
          <w:bCs/>
          <w:sz w:val="28"/>
          <w:szCs w:val="28"/>
        </w:rPr>
        <w:t xml:space="preserve">2.4 Empirical evidence on LLM scoring of L2 writing</w:t>
      </w:r>
    </w:p>
    <w:p>
      <w:pPr>
        <w:spacing w:after="120" w:line="360"/>
        <w:jc w:val="both"/>
      </w:pPr>
      <w:r>
        <w:rPr>
          <w:rFonts w:ascii="Times New Roman" w:cs="Times New Roman" w:eastAsia="Times New Roman" w:hAnsi="Times New Roman"/>
          <w:sz w:val="24"/>
          <w:szCs w:val="24"/>
        </w:rPr>
        <w:t xml:space="preserve">Agreement with human or benchmark scores is promising but variable. Mizumoto and Eguchi (2023) scored the 12,100 TOEFL11 essays with GPT-3 and reported agreement with human raters sufficient to support human evaluators. Yancey et al. (2023) found that GPT-4 with calibration examples performed almost as well as modern automated writing evaluation in rating short L2 essays, although agreement varied by first language. Tate et al. (2024) found that similarity in average AI and human scores could coexist with appreciable disagreement on individual essays, indicating the need for caution when interpreting aggregate agreement as sufficient for low-stakes use. By contrast, Bui and Barrot (2025) found only weak to moderate correlations between ChatGPT and an experienced human rater on 200 argumentative essays, with low consistency across two scoring rounds.</w:t>
      </w:r>
    </w:p>
    <w:p>
      <w:pPr>
        <w:spacing w:after="120" w:line="360"/>
        <w:jc w:val="both"/>
      </w:pPr>
      <w:r>
        <w:rPr>
          <w:rFonts w:ascii="Times New Roman" w:cs="Times New Roman" w:eastAsia="Times New Roman" w:hAnsi="Times New Roman"/>
          <w:sz w:val="24"/>
          <w:szCs w:val="24"/>
        </w:rPr>
        <w:t xml:space="preserve">Repeated scoring does not guarantee repeated scores. Pack et al. (2024) had four LLMs score 119 learner essays on two occasions: GPT-4 showed excellent intrarater reliability, but all models showed performance fluctuations, and agreement with human raters fell slightly over time for GPT-3.5 and GPT-4. Outside education, setting temperature to zero reduced but did not eliminate non-determinism in ChatGPT code generation (Ouyang et al., 2025), and LLMs configured to be deterministic still varied in accuracy by up to 15% across runs (Atil et al., 2025). Consumer users cannot set temperature at all.</w:t>
      </w:r>
    </w:p>
    <w:p>
      <w:pPr>
        <w:spacing w:after="120" w:line="360"/>
        <w:jc w:val="both"/>
      </w:pPr>
      <w:r>
        <w:rPr>
          <w:rFonts w:ascii="Times New Roman" w:cs="Times New Roman" w:eastAsia="Times New Roman" w:hAnsi="Times New Roman"/>
          <w:sz w:val="24"/>
          <w:szCs w:val="24"/>
        </w:rPr>
        <w:t xml:space="preserve">Scores are sensitive to the prompt and to model change. Several LLMs are highly sensitive to minor prompt formatting (Sclar et al., 2024), and in scoring studies the information supplied in the prompt has affected agreement with human raters (Jin et al., 2025; Sawaki et al., 2025; Yancey et al., 2023). Chen et al. (2024) documented substantial behavioural change in the same LLM service within three months.</w:t>
      </w:r>
    </w:p>
    <w:p>
      <w:pPr>
        <w:pStyle w:val="Heading2"/>
        <w:spacing w:after="120" w:before="240" w:line="360"/>
      </w:pPr>
      <w:r>
        <w:rPr>
          <w:rFonts w:ascii="Times New Roman" w:cs="Times New Roman" w:eastAsia="Times New Roman" w:hAnsi="Times New Roman"/>
          <w:b/>
          <w:bCs/>
          <w:sz w:val="28"/>
          <w:szCs w:val="28"/>
        </w:rPr>
        <w:t xml:space="preserve">2.5 Scoring biases and the case for understanding divergence</w:t>
      </w:r>
    </w:p>
    <w:p>
      <w:pPr>
        <w:spacing w:after="120" w:line="360"/>
        <w:jc w:val="both"/>
      </w:pPr>
      <w:r>
        <w:rPr>
          <w:rFonts w:ascii="Times New Roman" w:cs="Times New Roman" w:eastAsia="Times New Roman" w:hAnsi="Times New Roman"/>
          <w:sz w:val="24"/>
          <w:szCs w:val="24"/>
        </w:rPr>
        <w:t xml:space="preserve">Automated scorers can reward construct-irrelevant features. Powers et al. (2002) examined circumstances in which e-rater might produce inaccurate evaluations if used as the sole scorer, and Baldwin et al. (2025) showed that strategies a human would recognise as incorrect could inflate LLM scores. LLMs used as judges also show position, verbosity and self-enhancement biases (Zheng et al., 2023). People working with automated aids can fail to detect errors (Parasuraman &amp; Manzey, 2010), and Menze et al. (2026) found more item-writing flaws in items produced through teacher–AI collaboration than in teacher-only items, interpreting this as automation bias.</w:t>
      </w:r>
    </w:p>
    <w:p>
      <w:pPr>
        <w:spacing w:after="120" w:line="360"/>
        <w:jc w:val="both"/>
      </w:pPr>
      <w:r>
        <w:rPr>
          <w:rFonts w:ascii="Times New Roman" w:cs="Times New Roman" w:eastAsia="Times New Roman" w:hAnsi="Times New Roman"/>
          <w:sz w:val="24"/>
          <w:szCs w:val="24"/>
        </w:rPr>
        <w:t xml:space="preserve">These findings motivate the study’s dual approach: aggregate agreement statistics show how much AI and human scores diverge, while the content analysis of rationales examines what justifications the tools offer and how well those justifications hold up against the textual evidence. A teacher who knows only the magnitude of the gap cannot judge whether to trust or override the AI mark; a teacher who also knows the pattern of divergence—for instance, that the tool’s rationales systematically credit fluent but unfaithful summaries—can make a more informed decision.</w:t>
      </w:r>
    </w:p>
    <w:p>
      <w:pPr>
        <w:pStyle w:val="Heading2"/>
        <w:spacing w:after="120" w:before="240" w:line="360"/>
      </w:pPr>
      <w:r>
        <w:rPr>
          <w:rFonts w:ascii="Times New Roman" w:cs="Times New Roman" w:eastAsia="Times New Roman" w:hAnsi="Times New Roman"/>
          <w:b/>
          <w:bCs/>
          <w:sz w:val="28"/>
          <w:szCs w:val="28"/>
        </w:rPr>
        <w:t xml:space="preserve">2.6 Rater-mediated assessment</w:t>
      </w:r>
    </w:p>
    <w:p>
      <w:pPr>
        <w:spacing w:after="120" w:line="360"/>
        <w:jc w:val="both"/>
      </w:pPr>
      <w:r>
        <w:rPr>
          <w:rFonts w:ascii="Times New Roman" w:cs="Times New Roman" w:eastAsia="Times New Roman" w:hAnsi="Times New Roman"/>
          <w:sz w:val="24"/>
          <w:szCs w:val="24"/>
        </w:rPr>
        <w:t xml:space="preserve">Human raters differ systematically, and this can be modelled. Different raters often assign different scores to the same performance (Eckes, 2015; McNamara, 1996). Wind and Peterson (2018), reviewing 259 studies, found a continuing reliance on aggregate inter-rater reliability and argued for diagnostic, rater-specific indicators. Stability of rater characteristics across occasions is an established question for human raters (Lumley &amp; McNamara, 1995). Treating each AI tool as a rater allows its severity and agreement to be compared with human raters using the same statistics.</w:t>
      </w:r>
    </w:p>
    <w:p>
      <w:pPr>
        <w:pStyle w:val="Heading2"/>
        <w:spacing w:after="120" w:before="240" w:line="360"/>
      </w:pPr>
      <w:r>
        <w:rPr>
          <w:rFonts w:ascii="Times New Roman" w:cs="Times New Roman" w:eastAsia="Times New Roman" w:hAnsi="Times New Roman"/>
          <w:b/>
          <w:bCs/>
          <w:sz w:val="28"/>
          <w:szCs w:val="28"/>
        </w:rPr>
        <w:t xml:space="preserve">2.7 Close precursors and the present study’s contribution</w:t>
      </w:r>
    </w:p>
    <w:p>
      <w:pPr>
        <w:spacing w:after="120" w:line="360"/>
        <w:jc w:val="both"/>
      </w:pPr>
      <w:r>
        <w:rPr>
          <w:rFonts w:ascii="Times New Roman" w:cs="Times New Roman" w:eastAsia="Times New Roman" w:hAnsi="Times New Roman"/>
          <w:b/>
          <w:bCs/>
          <w:sz w:val="24"/>
          <w:szCs w:val="24"/>
        </w:rPr>
        <w:t xml:space="preserve">Jiao et al. (2025). </w:t>
      </w:r>
      <w:r>
        <w:rPr>
          <w:rFonts w:ascii="Times New Roman" w:cs="Times New Roman" w:eastAsia="Times New Roman" w:hAnsi="Times New Roman"/>
          <w:sz w:val="24"/>
          <w:szCs w:val="24"/>
        </w:rPr>
        <w:t xml:space="preserve">Jiao et al. compared ten LLMs, including ChatGPT 4o and Claude 3.5 Sonnet, with two certified human raters on 120 AP Chinese Language and Culture essays using QWK, Cronbach’s alpha and many-facet Rasch measurement (MFRM). The study’s limitations include a small sample, a single content domain with generalisation to English writing left for future exploration, only two task types, and a single prompting method. Three further features bear on the present study: the access mode and sampling settings are not reported; no essay is scored repeatedly by the same model; and no model is rescored over time.</w:t>
      </w:r>
    </w:p>
    <w:p>
      <w:pPr>
        <w:spacing w:after="120" w:line="360"/>
        <w:jc w:val="both"/>
      </w:pPr>
      <w:r>
        <w:rPr>
          <w:rFonts w:ascii="Times New Roman" w:cs="Times New Roman" w:eastAsia="Times New Roman" w:hAnsi="Times New Roman"/>
          <w:b/>
          <w:bCs/>
          <w:sz w:val="24"/>
          <w:szCs w:val="24"/>
        </w:rPr>
        <w:t xml:space="preserve">Jin et al. (2025). </w:t>
      </w:r>
      <w:r>
        <w:rPr>
          <w:rFonts w:ascii="Times New Roman" w:cs="Times New Roman" w:eastAsia="Times New Roman" w:hAnsi="Times New Roman"/>
          <w:sz w:val="24"/>
          <w:szCs w:val="24"/>
        </w:rPr>
        <w:t xml:space="preserve">Jin et al. used MFRM to compare four human raters with ChatGPT and Claude, each under zero-shot and few-shot prompting, on English essays by 117 Chinese EFL students. The LLM raters were more severe than the humans, few-shot prompting brought them closer to human severity, and the LLM raters were more internally consistent than the humans.</w:t>
      </w:r>
    </w:p>
    <w:p>
      <w:pPr>
        <w:spacing w:after="120" w:line="360"/>
        <w:jc w:val="both"/>
      </w:pPr>
      <w:r>
        <w:rPr>
          <w:rFonts w:ascii="Times New Roman" w:cs="Times New Roman" w:eastAsia="Times New Roman" w:hAnsi="Times New Roman"/>
          <w:b/>
          <w:bCs/>
          <w:sz w:val="24"/>
          <w:szCs w:val="24"/>
        </w:rPr>
        <w:t xml:space="preserve">Sawaki et al. (2025). </w:t>
      </w:r>
      <w:r>
        <w:rPr>
          <w:rFonts w:ascii="Times New Roman" w:cs="Times New Roman" w:eastAsia="Times New Roman" w:hAnsi="Times New Roman"/>
          <w:sz w:val="24"/>
          <w:szCs w:val="24"/>
        </w:rPr>
        <w:t xml:space="preserve">Sawaki et al. compared instructor and LLM ratings of 97 summaries by Japanese undergraduates on checklist items about topic sentences, under six prompt designs, with five repeated runs per design. Agreement was satisfactory for low-stakes use for some item–prompt combinations, the LLM tended to be harsher where the two disagreed, and the amount of information in the prompt affected agreement more than the order in which rating and rationale were generated. Sawaki et al. also examined the LLM’s rationales to investigate sources of disagreement, identifying problems including inappropriate criterion application and difficulty recognising paraphrase—an analytical approach that the present study extends. This is the closest published evidence on LLM rating of L2 summary content, including repeated scoring.</w:t>
      </w:r>
    </w:p>
    <w:p>
      <w:pPr>
        <w:spacing w:after="120" w:line="360"/>
        <w:jc w:val="both"/>
      </w:pPr>
      <w:r>
        <w:rPr>
          <w:rFonts w:ascii="Times New Roman" w:cs="Times New Roman" w:eastAsia="Times New Roman" w:hAnsi="Times New Roman"/>
          <w:b/>
          <w:bCs/>
          <w:sz w:val="24"/>
          <w:szCs w:val="24"/>
        </w:rPr>
        <w:t xml:space="preserve">The present study’s contribution. </w:t>
      </w:r>
      <w:r>
        <w:rPr>
          <w:rFonts w:ascii="Times New Roman" w:cs="Times New Roman" w:eastAsia="Times New Roman" w:hAnsi="Times New Roman"/>
          <w:sz w:val="24"/>
          <w:szCs w:val="24"/>
        </w:rPr>
        <w:t xml:space="preserve">The study extends rather than replaces prior work. Its contribution rests on four elements that, in combination, no published study identified in the literature review provides:</w:t>
      </w:r>
    </w:p>
    <w:p>
      <w:pPr>
        <w:spacing w:after="60" w:line="360"/>
        <w:ind w:left="720" w:hanging="360"/>
        <w:jc w:val="both"/>
      </w:pPr>
      <w:r>
        <w:rPr>
          <w:rFonts w:ascii="Times New Roman" w:cs="Times New Roman" w:eastAsia="Times New Roman" w:hAnsi="Times New Roman"/>
          <w:sz w:val="24"/>
          <w:szCs w:val="24"/>
        </w:rPr>
        <w:t xml:space="preserve">1. Consumer-subscription access under the ecological conditions teachers face, without API control—the condition whose evidence gap is most practically urgent.</w:t>
      </w:r>
    </w:p>
    <w:p>
      <w:pPr>
        <w:spacing w:after="60" w:line="360"/>
        <w:ind w:left="720" w:hanging="360"/>
        <w:jc w:val="both"/>
      </w:pPr>
      <w:r>
        <w:rPr>
          <w:rFonts w:ascii="Times New Roman" w:cs="Times New Roman" w:eastAsia="Times New Roman" w:hAnsi="Times New Roman"/>
          <w:sz w:val="24"/>
          <w:szCs w:val="24"/>
        </w:rPr>
        <w:t xml:space="preserve">2. Two passages within the same task type, allowing passage dependence to be examined for a reading-into-writing task where the source passage directly affects the scoring target.</w:t>
      </w:r>
    </w:p>
    <w:p>
      <w:pPr>
        <w:spacing w:after="60" w:line="360"/>
        <w:ind w:left="720" w:hanging="360"/>
        <w:jc w:val="both"/>
      </w:pPr>
      <w:r>
        <w:rPr>
          <w:rFonts w:ascii="Times New Roman" w:cs="Times New Roman" w:eastAsia="Times New Roman" w:hAnsi="Times New Roman"/>
          <w:sz w:val="24"/>
          <w:szCs w:val="24"/>
        </w:rPr>
        <w:t xml:space="preserve">3. The scoring correction gap: a systematic, criterion-level, rationale-supported analysis of what justifications the AI tools provide for their marks and how well those justifications accord with the available textual evidence, with particular attention to how the tools handle observable language features in multilingual learners’ writing in a first-language examination context. Sawaki et al. (2025) examined LLM rationales for checklist-based summary ratings of university writing and identified problems including inappropriate criterion application and difficulty recognising paraphrase. The present study extends this analytical approach to adolescent IGCSE writing with separate reading and writing scores, two passages under consumer-subscription access, and a structured evidence-checking procedure that verifies AI claims against the student text, source passage and rubric descriptors.</w:t>
      </w:r>
    </w:p>
    <w:p>
      <w:pPr>
        <w:spacing w:after="60" w:line="360"/>
        <w:ind w:left="720" w:hanging="360"/>
        <w:jc w:val="both"/>
      </w:pPr>
      <w:r>
        <w:rPr>
          <w:rFonts w:ascii="Times New Roman" w:cs="Times New Roman" w:eastAsia="Times New Roman" w:hAnsi="Times New Roman"/>
          <w:sz w:val="24"/>
          <w:szCs w:val="24"/>
        </w:rPr>
        <w:t xml:space="preserve">4. The content analysis of AI scoring rationales is independently coded by both the candidate and the second human rater, with inter-coder agreement reported. This addresses a limitation of prior qualitative analysis of AI scoring rationales (e.g., Sawaki et al., 2025), where coding was conducted by a single researcher.</w:t>
      </w:r>
    </w:p>
    <w:p>
      <w:pPr>
        <w:spacing w:after="120" w:line="360"/>
        <w:jc w:val="both"/>
      </w:pPr>
      <w:r>
        <w:rPr>
          <w:rFonts w:ascii="Times New Roman" w:cs="Times New Roman" w:eastAsia="Times New Roman" w:hAnsi="Times New Roman"/>
          <w:sz w:val="24"/>
          <w:szCs w:val="24"/>
        </w:rPr>
        <w:t xml:space="preserve">The specific models will age; the lasting value lies in the measurement problem, the reframing of the correction gap for scoring, and the reading–writing criterion-separation analysis.</w:t>
      </w:r>
    </w:p>
    <w:p>
      <w:pPr>
        <w:pStyle w:val="Heading2"/>
        <w:spacing w:after="120" w:before="240" w:line="360"/>
      </w:pPr>
      <w:r>
        <w:rPr>
          <w:rFonts w:ascii="Times New Roman" w:cs="Times New Roman" w:eastAsia="Times New Roman" w:hAnsi="Times New Roman"/>
          <w:b/>
          <w:bCs/>
          <w:sz w:val="28"/>
          <w:szCs w:val="28"/>
        </w:rPr>
        <w:t xml:space="preserve">2.8 Conceptual framework</w:t>
      </w:r>
    </w:p>
    <w:p>
      <w:pPr>
        <w:spacing w:after="120" w:line="360"/>
        <w:jc w:val="both"/>
      </w:pPr>
      <w:r>
        <w:rPr>
          <w:rFonts w:ascii="Times New Roman" w:cs="Times New Roman" w:eastAsia="Times New Roman" w:hAnsi="Times New Roman"/>
          <w:sz w:val="24"/>
          <w:szCs w:val="24"/>
        </w:rPr>
        <w:t xml:space="preserve">The study adopts an argument-based view of validity (AERA et al., 2014; Kane, 2013; Messick, 1989), in which a teacher’s use of an AI mark rests on a chain of inferences. Each research question supplies evidence for one or more inferences, and the discrepancy-review evidence base is the synthesis that follows.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600"/>
      </w:tblGrid>
      <w:tr>
        <w:trPr>
          <w:tblHeader/>
        </w:trPr>
        <w:tc>
          <w:tcPr>
            <w:tcW w:type="dxa" w:w="2000"/>
            <w:shd w:fill="E8E8E8" w:val="clear"/>
            <w:vAlign w:val="center"/>
          </w:tcPr>
          <w:p>
            <w:pPr>
              <w:spacing w:after="60"/>
            </w:pPr>
            <w:r>
              <w:rPr>
                <w:rFonts w:ascii="Times New Roman" w:cs="Times New Roman" w:eastAsia="Times New Roman" w:hAnsi="Times New Roman"/>
                <w:b/>
                <w:bCs/>
                <w:sz w:val="22"/>
                <w:szCs w:val="22"/>
              </w:rPr>
              <w:t xml:space="preserve">Inference (Kane, 2013; Xi, 2010)</w:t>
            </w:r>
          </w:p>
        </w:tc>
        <w:tc>
          <w:tcPr>
            <w:tcW w:type="dxa" w:w="2400"/>
            <w:shd w:fill="E8E8E8" w:val="clear"/>
            <w:vAlign w:val="center"/>
          </w:tcPr>
          <w:p>
            <w:pPr>
              <w:spacing w:after="60"/>
            </w:pPr>
            <w:r>
              <w:rPr>
                <w:rFonts w:ascii="Times New Roman" w:cs="Times New Roman" w:eastAsia="Times New Roman" w:hAnsi="Times New Roman"/>
                <w:b/>
                <w:bCs/>
                <w:sz w:val="22"/>
                <w:szCs w:val="22"/>
              </w:rPr>
              <w:t xml:space="preserve">Claim to be supported</w:t>
            </w:r>
          </w:p>
        </w:tc>
        <w:tc>
          <w:tcPr>
            <w:tcW w:type="dxa" w:w="2200"/>
            <w:shd w:fill="E8E8E8" w:val="clear"/>
            <w:vAlign w:val="center"/>
          </w:tcPr>
          <w:p>
            <w:pPr>
              <w:spacing w:after="60"/>
            </w:pPr>
            <w:r>
              <w:rPr>
                <w:rFonts w:ascii="Times New Roman" w:cs="Times New Roman" w:eastAsia="Times New Roman" w:hAnsi="Times New Roman"/>
                <w:b/>
                <w:bCs/>
                <w:sz w:val="22"/>
                <w:szCs w:val="22"/>
              </w:rPr>
              <w:t xml:space="preserve">Evidence (RQ)</w:t>
            </w:r>
          </w:p>
        </w:tc>
        <w:tc>
          <w:tcPr>
            <w:tcW w:type="dxa" w:w="2600"/>
            <w:shd w:fill="E8E8E8" w:val="clear"/>
            <w:vAlign w:val="center"/>
          </w:tcPr>
          <w:p>
            <w:pPr>
              <w:spacing w:after="60"/>
            </w:pPr>
            <w:r>
              <w:rPr>
                <w:rFonts w:ascii="Times New Roman" w:cs="Times New Roman" w:eastAsia="Times New Roman" w:hAnsi="Times New Roman"/>
                <w:b/>
                <w:bCs/>
                <w:sz w:val="22"/>
                <w:szCs w:val="22"/>
              </w:rPr>
              <w:t xml:space="preserve">Failure that would undermine the claim</w:t>
            </w:r>
          </w:p>
        </w:tc>
      </w:tr>
      <w:tr>
        <w:tc>
          <w:tcPr>
            <w:tcW w:type="dxa" w:w="2000"/>
            <w:vAlign w:val="center"/>
          </w:tcPr>
          <w:p>
            <w:pPr>
              <w:spacing w:after="60"/>
            </w:pPr>
            <w:r>
              <w:rPr>
                <w:rFonts w:ascii="Times New Roman" w:cs="Times New Roman" w:eastAsia="Times New Roman" w:hAnsi="Times New Roman"/>
                <w:sz w:val="22"/>
                <w:szCs w:val="22"/>
              </w:rPr>
              <w:t xml:space="preserve">Scoring: stability</w:t>
            </w:r>
          </w:p>
        </w:tc>
        <w:tc>
          <w:tcPr>
            <w:tcW w:type="dxa" w:w="2400"/>
            <w:vAlign w:val="center"/>
          </w:tcPr>
          <w:p>
            <w:pPr>
              <w:spacing w:after="60"/>
            </w:pPr>
            <w:r>
              <w:rPr>
                <w:rFonts w:ascii="Times New Roman" w:cs="Times New Roman" w:eastAsia="Times New Roman" w:hAnsi="Times New Roman"/>
                <w:sz w:val="22"/>
                <w:szCs w:val="22"/>
              </w:rPr>
              <w:t xml:space="preserve">The AI mark does not depend on the occasion of submission</w:t>
            </w:r>
          </w:p>
        </w:tc>
        <w:tc>
          <w:tcPr>
            <w:tcW w:type="dxa" w:w="2200"/>
            <w:vAlign w:val="center"/>
          </w:tcPr>
          <w:p>
            <w:pPr>
              <w:spacing w:after="60"/>
            </w:pPr>
            <w:r>
              <w:rPr>
                <w:rFonts w:ascii="Times New Roman" w:cs="Times New Roman" w:eastAsia="Times New Roman" w:hAnsi="Times New Roman"/>
                <w:sz w:val="22"/>
                <w:szCs w:val="22"/>
              </w:rPr>
              <w:t xml:space="preserve">Pass-to-pass consistency (RQ1)</w:t>
            </w:r>
          </w:p>
        </w:tc>
        <w:tc>
          <w:tcPr>
            <w:tcW w:type="dxa" w:w="2600"/>
            <w:vAlign w:val="center"/>
          </w:tcPr>
          <w:p>
            <w:pPr>
              <w:spacing w:after="60"/>
            </w:pPr>
            <w:r>
              <w:rPr>
                <w:rFonts w:ascii="Times New Roman" w:cs="Times New Roman" w:eastAsia="Times New Roman" w:hAnsi="Times New Roman"/>
                <w:sz w:val="22"/>
                <w:szCs w:val="22"/>
              </w:rPr>
              <w:t xml:space="preserve">Single runs disagree beyond a tolerable range</w:t>
            </w:r>
          </w:p>
        </w:tc>
      </w:tr>
      <w:tr>
        <w:tc>
          <w:tcPr>
            <w:tcW w:type="dxa" w:w="2000"/>
            <w:vAlign w:val="center"/>
          </w:tcPr>
          <w:p>
            <w:pPr>
              <w:spacing w:after="60"/>
            </w:pPr>
            <w:r>
              <w:rPr>
                <w:rFonts w:ascii="Times New Roman" w:cs="Times New Roman" w:eastAsia="Times New Roman" w:hAnsi="Times New Roman"/>
                <w:sz w:val="22"/>
                <w:szCs w:val="22"/>
              </w:rPr>
              <w:t xml:space="preserve">Scoring: agreement with human ratings</w:t>
            </w:r>
          </w:p>
        </w:tc>
        <w:tc>
          <w:tcPr>
            <w:tcW w:type="dxa" w:w="2400"/>
            <w:vAlign w:val="center"/>
          </w:tcPr>
          <w:p>
            <w:pPr>
              <w:spacing w:after="60"/>
            </w:pPr>
            <w:r>
              <w:rPr>
                <w:rFonts w:ascii="Times New Roman" w:cs="Times New Roman" w:eastAsia="Times New Roman" w:hAnsi="Times New Roman"/>
                <w:sz w:val="22"/>
                <w:szCs w:val="22"/>
              </w:rPr>
              <w:t xml:space="preserve">The mark agrees with trained human judgement about as well as humans agree with each other</w:t>
            </w:r>
          </w:p>
        </w:tc>
        <w:tc>
          <w:tcPr>
            <w:tcW w:type="dxa" w:w="2200"/>
            <w:vAlign w:val="center"/>
          </w:tcPr>
          <w:p>
            <w:pPr>
              <w:spacing w:after="60"/>
            </w:pPr>
            <w:r>
              <w:rPr>
                <w:rFonts w:ascii="Times New Roman" w:cs="Times New Roman" w:eastAsia="Times New Roman" w:hAnsi="Times New Roman"/>
                <w:sz w:val="22"/>
                <w:szCs w:val="22"/>
              </w:rPr>
              <w:t xml:space="preserve">Agreement and correction gap (RQ2)</w:t>
            </w:r>
          </w:p>
        </w:tc>
        <w:tc>
          <w:tcPr>
            <w:tcW w:type="dxa" w:w="2600"/>
            <w:vAlign w:val="center"/>
          </w:tcPr>
          <w:p>
            <w:pPr>
              <w:spacing w:after="60"/>
            </w:pPr>
            <w:r>
              <w:rPr>
                <w:rFonts w:ascii="Times New Roman" w:cs="Times New Roman" w:eastAsia="Times New Roman" w:hAnsi="Times New Roman"/>
                <w:sz w:val="22"/>
                <w:szCs w:val="22"/>
              </w:rPr>
              <w:t xml:space="preserve">Systematic leniency or severity by criterion, score level or passage</w:t>
            </w:r>
          </w:p>
        </w:tc>
      </w:tr>
      <w:tr>
        <w:tc>
          <w:tcPr>
            <w:tcW w:type="dxa" w:w="2000"/>
            <w:vAlign w:val="center"/>
          </w:tcPr>
          <w:p>
            <w:pPr>
              <w:spacing w:after="60"/>
            </w:pPr>
            <w:r>
              <w:rPr>
                <w:rFonts w:ascii="Times New Roman" w:cs="Times New Roman" w:eastAsia="Times New Roman" w:hAnsi="Times New Roman"/>
                <w:sz w:val="22"/>
                <w:szCs w:val="22"/>
              </w:rPr>
              <w:t xml:space="preserve">Scoring: passage comparability</w:t>
            </w:r>
          </w:p>
        </w:tc>
        <w:tc>
          <w:tcPr>
            <w:tcW w:type="dxa" w:w="2400"/>
            <w:vAlign w:val="center"/>
          </w:tcPr>
          <w:p>
            <w:pPr>
              <w:spacing w:after="60"/>
            </w:pPr>
            <w:r>
              <w:rPr>
                <w:rFonts w:ascii="Times New Roman" w:cs="Times New Roman" w:eastAsia="Times New Roman" w:hAnsi="Times New Roman"/>
                <w:sz w:val="22"/>
                <w:szCs w:val="22"/>
              </w:rPr>
              <w:t xml:space="preserve">The tool’s scoring properties are comparable across passages within the same task type</w:t>
            </w:r>
          </w:p>
        </w:tc>
        <w:tc>
          <w:tcPr>
            <w:tcW w:type="dxa" w:w="2200"/>
            <w:vAlign w:val="center"/>
          </w:tcPr>
          <w:p>
            <w:pPr>
              <w:spacing w:after="60"/>
            </w:pPr>
            <w:r>
              <w:rPr>
                <w:rFonts w:ascii="Times New Roman" w:cs="Times New Roman" w:eastAsia="Times New Roman" w:hAnsi="Times New Roman"/>
                <w:sz w:val="22"/>
                <w:szCs w:val="22"/>
              </w:rPr>
              <w:t xml:space="preserve">Passage effects (RQ1, RQ2)</w:t>
            </w:r>
          </w:p>
        </w:tc>
        <w:tc>
          <w:tcPr>
            <w:tcW w:type="dxa" w:w="2600"/>
            <w:vAlign w:val="center"/>
          </w:tcPr>
          <w:p>
            <w:pPr>
              <w:spacing w:after="60"/>
            </w:pPr>
            <w:r>
              <w:rPr>
                <w:rFonts w:ascii="Times New Roman" w:cs="Times New Roman" w:eastAsia="Times New Roman" w:hAnsi="Times New Roman"/>
                <w:sz w:val="22"/>
                <w:szCs w:val="22"/>
              </w:rPr>
              <w:t xml:space="preserve">Consistency or agreement differs substantially between passages</w:t>
            </w:r>
          </w:p>
        </w:tc>
      </w:tr>
      <w:tr>
        <w:tc>
          <w:tcPr>
            <w:tcW w:type="dxa" w:w="2000"/>
            <w:vAlign w:val="center"/>
          </w:tcPr>
          <w:p>
            <w:pPr>
              <w:spacing w:after="60"/>
            </w:pPr>
            <w:r>
              <w:rPr>
                <w:rFonts w:ascii="Times New Roman" w:cs="Times New Roman" w:eastAsia="Times New Roman" w:hAnsi="Times New Roman"/>
                <w:sz w:val="22"/>
                <w:szCs w:val="22"/>
              </w:rPr>
              <w:t xml:space="preserve">Scoring: construct representation</w:t>
            </w:r>
          </w:p>
        </w:tc>
        <w:tc>
          <w:tcPr>
            <w:tcW w:type="dxa" w:w="2400"/>
            <w:vAlign w:val="center"/>
          </w:tcPr>
          <w:p>
            <w:pPr>
              <w:spacing w:after="60"/>
            </w:pPr>
            <w:r>
              <w:rPr>
                <w:rFonts w:ascii="Times New Roman" w:cs="Times New Roman" w:eastAsia="Times New Roman" w:hAnsi="Times New Roman"/>
                <w:sz w:val="22"/>
                <w:szCs w:val="22"/>
              </w:rPr>
              <w:t xml:space="preserve">The AI mark reflects the construct the rubric targets, not construct-irrelevant features</w:t>
            </w:r>
          </w:p>
        </w:tc>
        <w:tc>
          <w:tcPr>
            <w:tcW w:type="dxa" w:w="2200"/>
            <w:vAlign w:val="center"/>
          </w:tcPr>
          <w:p>
            <w:pPr>
              <w:spacing w:after="60"/>
            </w:pPr>
            <w:r>
              <w:rPr>
                <w:rFonts w:ascii="Times New Roman" w:cs="Times New Roman" w:eastAsia="Times New Roman" w:hAnsi="Times New Roman"/>
                <w:sz w:val="22"/>
                <w:szCs w:val="22"/>
              </w:rPr>
              <w:t xml:space="preserve">Scoring correction gap examined (RQ3)</w:t>
            </w:r>
          </w:p>
        </w:tc>
        <w:tc>
          <w:tcPr>
            <w:tcW w:type="dxa" w:w="2600"/>
            <w:vAlign w:val="center"/>
          </w:tcPr>
          <w:p>
            <w:pPr>
              <w:spacing w:after="60"/>
            </w:pPr>
            <w:r>
              <w:rPr>
                <w:rFonts w:ascii="Times New Roman" w:cs="Times New Roman" w:eastAsia="Times New Roman" w:hAnsi="Times New Roman"/>
                <w:sz w:val="22"/>
                <w:szCs w:val="22"/>
              </w:rPr>
              <w:t xml:space="preserve">AI rationales reveal systematic misapplication of the rubric, confusion of reading and writing constructs, or penalisation of communicatively effective language features</w:t>
            </w:r>
          </w:p>
        </w:tc>
      </w:tr>
      <w:tr>
        <w:tc>
          <w:tcPr>
            <w:tcW w:type="dxa" w:w="2000"/>
            <w:vAlign w:val="center"/>
          </w:tcPr>
          <w:p>
            <w:pPr>
              <w:spacing w:after="60"/>
            </w:pPr>
            <w:r>
              <w:rPr>
                <w:rFonts w:ascii="Times New Roman" w:cs="Times New Roman" w:eastAsia="Times New Roman" w:hAnsi="Times New Roman"/>
                <w:sz w:val="22"/>
                <w:szCs w:val="22"/>
              </w:rPr>
              <w:t xml:space="preserve">Decision</w:t>
            </w:r>
          </w:p>
        </w:tc>
        <w:tc>
          <w:tcPr>
            <w:tcW w:type="dxa" w:w="2400"/>
            <w:vAlign w:val="center"/>
          </w:tcPr>
          <w:p>
            <w:pPr>
              <w:spacing w:after="60"/>
            </w:pPr>
            <w:r>
              <w:rPr>
                <w:rFonts w:ascii="Times New Roman" w:cs="Times New Roman" w:eastAsia="Times New Roman" w:hAnsi="Times New Roman"/>
                <w:sz w:val="22"/>
                <w:szCs w:val="22"/>
              </w:rPr>
              <w:t xml:space="preserve">The teacher may retain their mark, or review a flagged discrepancy, based on the evidence</w:t>
            </w:r>
          </w:p>
        </w:tc>
        <w:tc>
          <w:tcPr>
            <w:tcW w:type="dxa" w:w="2200"/>
            <w:vAlign w:val="center"/>
          </w:tcPr>
          <w:p>
            <w:pPr>
              <w:spacing w:after="60"/>
            </w:pPr>
            <w:r>
              <w:rPr>
                <w:rFonts w:ascii="Times New Roman" w:cs="Times New Roman" w:eastAsia="Times New Roman" w:hAnsi="Times New Roman"/>
                <w:sz w:val="22"/>
                <w:szCs w:val="22"/>
              </w:rPr>
              <w:t xml:space="preserve">Synthesis (RQ1–RQ3)</w:t>
            </w:r>
          </w:p>
        </w:tc>
        <w:tc>
          <w:tcPr>
            <w:tcW w:type="dxa" w:w="2600"/>
            <w:vAlign w:val="center"/>
          </w:tcPr>
          <w:p>
            <w:pPr>
              <w:spacing w:after="60"/>
            </w:pPr>
            <w:r>
              <w:rPr>
                <w:rFonts w:ascii="Times New Roman" w:cs="Times New Roman" w:eastAsia="Times New Roman" w:hAnsi="Times New Roman"/>
                <w:sz w:val="22"/>
                <w:szCs w:val="22"/>
              </w:rPr>
              <w:t xml:space="preserve">Descriptive evidence base for discrepancy-review workflow</w:t>
            </w:r>
          </w:p>
        </w:tc>
      </w:tr>
    </w:tbl>
    <w:p>
      <w:pPr>
        <w:spacing w:after="200" w:line="360"/>
        <w:jc w:val="both"/>
      </w:pPr>
      <w:r>
        <w:rPr>
          <w:rFonts w:ascii="Times New Roman" w:cs="Times New Roman" w:eastAsia="Times New Roman" w:hAnsi="Times New Roman"/>
          <w:sz w:val="24"/>
          <w:szCs w:val="24"/>
        </w:rPr>
        <w:t xml:space="preserve">The addition of construct representation as a separate inference, evidenced through the scoring correction gap analysis (RQ3), distinguishes this framework from a purely statistical agreement study. Agreement can be high while the basis for agreement differs between human and AI raters; where it does, the AI mark may fail on different scripts in unpredictable ways. The reading–writing criterion-separation analysis examines this directly for multilingual learners, focusing on whether the AI tools confuse reading and writing constructs or penalise communicatively effective language features.</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Chapter 3. Methodology</w:t>
      </w:r>
    </w:p>
    <w:p>
      <w:pPr>
        <w:pStyle w:val="Heading2"/>
        <w:spacing w:after="120" w:before="240" w:line="360"/>
      </w:pPr>
      <w:r>
        <w:rPr>
          <w:rFonts w:ascii="Times New Roman" w:cs="Times New Roman" w:eastAsia="Times New Roman" w:hAnsi="Times New Roman"/>
          <w:b/>
          <w:bCs/>
          <w:sz w:val="28"/>
          <w:szCs w:val="28"/>
        </w:rPr>
        <w:t xml:space="preserve">3.1 Research design</w:t>
      </w:r>
    </w:p>
    <w:p>
      <w:pPr>
        <w:spacing w:after="120" w:line="360"/>
        <w:jc w:val="both"/>
      </w:pPr>
      <w:r>
        <w:rPr>
          <w:rFonts w:ascii="Times New Roman" w:cs="Times New Roman" w:eastAsia="Times New Roman" w:hAnsi="Times New Roman"/>
          <w:sz w:val="24"/>
          <w:szCs w:val="24"/>
        </w:rPr>
        <w:t xml:space="preserve">The study uses a quantitative design with a focused qualitative component. AI scores for each script are crossed by tool (ChatGPT, Claude), passage (A, B) and pass (three passes per tool per passage) under the rubric-embedded framing. Three passes, rather than two, provide a within-script variance estimate based on three data points per script rather than a single difference, strengthening the precision of the pass-to-pass consistency analysis (RQ1). Human ratings are the reference for comparison, but neither human rater is treated as ground truth. The analysis plan will be preregistered, for example on the Open Science Framework (OSF), before study data are collected, so that confirmatory and exploratory analyses are distinguished (Nosek et al., 2018).</w:t>
      </w:r>
    </w:p>
    <w:p>
      <w:pPr>
        <w:pStyle w:val="Heading2"/>
        <w:spacing w:after="120" w:before="240" w:line="360"/>
      </w:pPr>
      <w:r>
        <w:rPr>
          <w:rFonts w:ascii="Times New Roman" w:cs="Times New Roman" w:eastAsia="Times New Roman" w:hAnsi="Times New Roman"/>
          <w:b/>
          <w:bCs/>
          <w:sz w:val="28"/>
          <w:szCs w:val="28"/>
        </w:rPr>
        <w:t xml:space="preserve">3.2 Setting, participants and corpus</w:t>
      </w:r>
    </w:p>
    <w:p>
      <w:pPr>
        <w:spacing w:after="120" w:line="360"/>
        <w:jc w:val="both"/>
      </w:pPr>
      <w:r>
        <w:rPr>
          <w:rFonts w:ascii="Times New Roman" w:cs="Times New Roman" w:eastAsia="Times New Roman" w:hAnsi="Times New Roman"/>
          <w:b/>
          <w:bCs/>
          <w:sz w:val="24"/>
          <w:szCs w:val="24"/>
        </w:rPr>
        <w:t xml:space="preserve">Setting and participants. </w:t>
      </w:r>
      <w:r>
        <w:rPr>
          <w:rFonts w:ascii="Times New Roman" w:cs="Times New Roman" w:eastAsia="Times New Roman" w:hAnsi="Times New Roman"/>
          <w:sz w:val="24"/>
          <w:szCs w:val="24"/>
        </w:rPr>
        <w:t xml:space="preserve">The study will take place at the candidate’s school in Erbil, Kurdistan Region of Iraq, where he has taught IGCSE since 2019. Participants will be students in the four IGCSE classes he teaches, all entered for 0500 First Language English; the expected number is 65–80, known exactly only in the collection year (2027–28).</w:t>
      </w:r>
    </w:p>
    <w:p>
      <w:pPr>
        <w:spacing w:after="120" w:line="360"/>
        <w:jc w:val="both"/>
      </w:pPr>
      <w:r>
        <w:rPr>
          <w:rFonts w:ascii="Times New Roman" w:cs="Times New Roman" w:eastAsia="Times New Roman" w:hAnsi="Times New Roman"/>
          <w:b/>
          <w:bCs/>
          <w:sz w:val="24"/>
          <w:szCs w:val="24"/>
        </w:rPr>
        <w:t xml:space="preserve">Corpus. </w:t>
      </w:r>
      <w:r>
        <w:rPr>
          <w:rFonts w:ascii="Times New Roman" w:cs="Times New Roman" w:eastAsia="Times New Roman" w:hAnsi="Times New Roman"/>
          <w:sz w:val="24"/>
          <w:szCs w:val="24"/>
        </w:rPr>
        <w:t xml:space="preserve">Each student will write two handwritten summaries—one per passage—in separate class sessions on different days. Within each class, students will be randomly assigned to write Passage A first and Passage B second, or Passage B first and Passage A second (counterbalanced order). Scripts will be collected immediately after writing. An external anonymiser will replace names with codes and type each script verbatim, so that the candidate never sees the handwriting. The anonymiser will also remove any identifying references students may include in their writing (e.g., personal names, school name, teacher references, identifiable personal anecdotes), replacing them with neutral placeholder text (e.g., [name removed]), so that neither the candidate nor the second rater can identify individual students from writing content. This supplements the code-based anonymisation and strengthens blinding given the candidate’s dual role as teacher and Rater 1. Transcription follows these rules: crossed-out text is retained and marked [crossed out]; illegible text is marked [illegible]; spelling and punctuation are reproduced exactly as written. For marking purposes: text marked [crossed out] is excluded from the word count and is not credited. Text marked [illegible] is likewise excluded from the word count; human raters note [illegible] passages when they affect creditability of content. These rules will be stated in the human rating guide and in the AI prompt framing. A week later, the anonymiser will re-check all typed scripts against the originals before the corpus is frozen; the candidate never performs this check. All human marking will be done on the typed copies. The typed scripts then form a frozen corpus.</w:t>
      </w:r>
    </w:p>
    <w:p>
      <w:pPr>
        <w:pStyle w:val="Heading2"/>
        <w:spacing w:after="120" w:before="240" w:line="360"/>
      </w:pPr>
      <w:r>
        <w:rPr>
          <w:rFonts w:ascii="Times New Roman" w:cs="Times New Roman" w:eastAsia="Times New Roman" w:hAnsi="Times New Roman"/>
          <w:b/>
          <w:bCs/>
          <w:sz w:val="28"/>
          <w:szCs w:val="28"/>
        </w:rPr>
        <w:t xml:space="preserve">3.3 Instruments</w:t>
      </w:r>
    </w:p>
    <w:p>
      <w:pPr>
        <w:spacing w:after="120" w:line="360"/>
        <w:jc w:val="both"/>
      </w:pPr>
      <w:r>
        <w:rPr>
          <w:rFonts w:ascii="Times New Roman" w:cs="Times New Roman" w:eastAsia="Times New Roman" w:hAnsi="Times New Roman"/>
          <w:b/>
          <w:bCs/>
          <w:sz w:val="24"/>
          <w:szCs w:val="24"/>
        </w:rPr>
        <w:t xml:space="preserve">Source passages. </w:t>
      </w:r>
      <w:r>
        <w:rPr>
          <w:rFonts w:ascii="Times New Roman" w:cs="Times New Roman" w:eastAsia="Times New Roman" w:hAnsi="Times New Roman"/>
          <w:sz w:val="24"/>
          <w:szCs w:val="24"/>
        </w:rPr>
        <w:t xml:space="preserve">Two original, non-fiction passages (Passage A and Passage B), each of about 300–400 words, written by the candidate and modelled on the 0500 Paper 1 text type, will each contain a clear, countable set of content points and some irrelevant detail, so that selection is actually tested. Original passages have the fewest limitations of the available options: there is no copyright question, as unpublished original texts they are unlikely to appear in any model’s training data at the time of first submission, no published mark scheme exists for a model to have memorised, and the content points are fully controlled. The two passages will differ in topic and text structure so that passage effects, if present, are interpretable.</w:t>
      </w:r>
    </w:p>
    <w:p>
      <w:pPr>
        <w:spacing w:after="120" w:line="360"/>
        <w:jc w:val="both"/>
      </w:pPr>
      <w:r>
        <w:rPr>
          <w:rFonts w:ascii="Times New Roman" w:cs="Times New Roman" w:eastAsia="Times New Roman" w:hAnsi="Times New Roman"/>
          <w:b/>
          <w:bCs/>
          <w:sz w:val="24"/>
          <w:szCs w:val="24"/>
        </w:rPr>
        <w:t xml:space="preserve">Structured passage-authenticity check. </w:t>
      </w:r>
      <w:r>
        <w:rPr>
          <w:rFonts w:ascii="Times New Roman" w:cs="Times New Roman" w:eastAsia="Times New Roman" w:hAnsi="Times New Roman"/>
          <w:sz w:val="24"/>
          <w:szCs w:val="24"/>
        </w:rPr>
        <w:t xml:space="preserve">Because both study passages are researcher-written, a structured authenticity check will be conducted. Two or three experienced IGCSE colleagues will independently rate both study passages and two or three real published 0500 passages (from pre-2027 examination years) on a short structured rubric covering difficulty, text type, content-point density, vocabulary level and length. The colleagues’ ratings will be compared to provide evidence that the study passages are comparable with authentic examination passages. Each passage will also be compared with the specimen Text B for the 2027–2029 syllabus and with the 0500 reading level. The real exam passages are used only in this human comparison exercise and are never submitted to any AI tool.</w:t>
      </w:r>
    </w:p>
    <w:p>
      <w:pPr>
        <w:spacing w:after="120" w:line="360"/>
        <w:jc w:val="both"/>
      </w:pPr>
      <w:r>
        <w:rPr>
          <w:rFonts w:ascii="Times New Roman" w:cs="Times New Roman" w:eastAsia="Times New Roman" w:hAnsi="Times New Roman"/>
          <w:b/>
          <w:bCs/>
          <w:sz w:val="24"/>
          <w:szCs w:val="24"/>
        </w:rPr>
        <w:t xml:space="preserve">Task wording. </w:t>
      </w:r>
      <w:r>
        <w:rPr>
          <w:rFonts w:ascii="Times New Roman" w:cs="Times New Roman" w:eastAsia="Times New Roman" w:hAnsi="Times New Roman"/>
          <w:sz w:val="24"/>
          <w:szCs w:val="24"/>
        </w:rPr>
        <w:t xml:space="preserve">The task for each passage will follow the Question 2(a) format: a stated focus, continuous writing in the candidate’s own words and no more than 120 words (Cambridge International Education, 2024a), confirmed against the 2027–2029 specimen materials.</w:t>
      </w:r>
    </w:p>
    <w:p>
      <w:pPr>
        <w:spacing w:after="120" w:line="360"/>
        <w:jc w:val="both"/>
      </w:pPr>
      <w:r>
        <w:rPr>
          <w:rFonts w:ascii="Times New Roman" w:cs="Times New Roman" w:eastAsia="Times New Roman" w:hAnsi="Times New Roman"/>
          <w:b/>
          <w:bCs/>
          <w:sz w:val="24"/>
          <w:szCs w:val="24"/>
        </w:rPr>
        <w:t xml:space="preserve">Study rubric and reading keys. </w:t>
      </w:r>
      <w:r>
        <w:rPr>
          <w:rFonts w:ascii="Times New Roman" w:cs="Times New Roman" w:eastAsia="Times New Roman" w:hAnsi="Times New Roman"/>
          <w:sz w:val="24"/>
          <w:szCs w:val="24"/>
        </w:rPr>
        <w:t xml:space="preserve">The candidate will write a study rubric that mirrors Question 2(a) and contains no verbatim Cambridge text. The rubric has two separate components:</w:t>
      </w:r>
    </w:p>
    <w:p>
      <w:pPr>
        <w:spacing w:after="120" w:line="360"/>
        <w:jc w:val="both"/>
      </w:pPr>
      <w:r>
        <w:rPr>
          <w:rFonts w:ascii="Times New Roman" w:cs="Times New Roman" w:eastAsia="Times New Roman" w:hAnsi="Times New Roman"/>
          <w:i/>
          <w:iCs/>
          <w:sz w:val="24"/>
          <w:szCs w:val="24"/>
        </w:rPr>
        <w:t xml:space="preserve">Holistic reading mark (out of 10). </w:t>
      </w:r>
      <w:r>
        <w:rPr>
          <w:rFonts w:ascii="Times New Roman" w:cs="Times New Roman" w:eastAsia="Times New Roman" w:hAnsi="Times New Roman"/>
          <w:sz w:val="24"/>
          <w:szCs w:val="24"/>
        </w:rPr>
        <w:t xml:space="preserve">Reading is marked holistically through five level-descriptor bands, parallel to Cambridge’s Table A reading bands for Q2(a). The bands assess the degree to which the candidate demonstrates understanding, selects relevant ideas rather than transcribing indiscriminately, focuses on the specified aspect of the passage, and shows evidence of an overview. Each band covers two marks (for example, Level 5: 9–10; Level 4: 7–8). This holistic reading mark is the score analysed in all RQs.</w:t>
      </w:r>
    </w:p>
    <w:p>
      <w:pPr>
        <w:spacing w:after="120" w:line="360"/>
        <w:jc w:val="both"/>
      </w:pPr>
      <w:r>
        <w:rPr>
          <w:rFonts w:ascii="Times New Roman" w:cs="Times New Roman" w:eastAsia="Times New Roman" w:hAnsi="Times New Roman"/>
          <w:i/>
          <w:iCs/>
          <w:sz w:val="24"/>
          <w:szCs w:val="24"/>
        </w:rPr>
        <w:t xml:space="preserve">Reading key. </w:t>
      </w:r>
      <w:r>
        <w:rPr>
          <w:rFonts w:ascii="Times New Roman" w:cs="Times New Roman" w:eastAsia="Times New Roman" w:hAnsi="Times New Roman"/>
          <w:sz w:val="24"/>
          <w:szCs w:val="24"/>
        </w:rPr>
        <w:t xml:space="preserve">A separate reading key will be prepared for each passage. Each reading key lists the acceptable content points for that passage and will be included in the rubric-embedded prompt as a guide to what the passage offers. It informs holistic judgement but is not converted into a point-count score.</w:t>
      </w:r>
    </w:p>
    <w:p>
      <w:pPr>
        <w:spacing w:after="120" w:line="360"/>
        <w:jc w:val="both"/>
      </w:pPr>
      <w:r>
        <w:rPr>
          <w:rFonts w:ascii="Times New Roman" w:cs="Times New Roman" w:eastAsia="Times New Roman" w:hAnsi="Times New Roman"/>
          <w:i/>
          <w:iCs/>
          <w:sz w:val="24"/>
          <w:szCs w:val="24"/>
        </w:rPr>
        <w:t xml:space="preserve">Writing mark (out of 5). </w:t>
      </w:r>
      <w:r>
        <w:rPr>
          <w:rFonts w:ascii="Times New Roman" w:cs="Times New Roman" w:eastAsia="Times New Roman" w:hAnsi="Times New Roman"/>
          <w:sz w:val="24"/>
          <w:szCs w:val="24"/>
        </w:rPr>
        <w:t xml:space="preserve">The writing mark is awarded through level-descriptor bands, as in the Q2(a) mark scheme. The same writing rubric applies to both passages.</w:t>
      </w:r>
    </w:p>
    <w:p>
      <w:pPr>
        <w:spacing w:after="120" w:line="360"/>
        <w:jc w:val="both"/>
      </w:pPr>
      <w:r>
        <w:rPr>
          <w:rFonts w:ascii="Times New Roman" w:cs="Times New Roman" w:eastAsia="Times New Roman" w:hAnsi="Times New Roman"/>
          <w:sz w:val="24"/>
          <w:szCs w:val="24"/>
        </w:rPr>
        <w:t xml:space="preserve">Each reading key will be drafted by the candidate and checked by the colleague. The full study rubric, including level descriptors and both reading keys, will be included as an appendix in the submitted proposal once the passages have been written.</w:t>
      </w:r>
    </w:p>
    <w:p>
      <w:pPr>
        <w:pStyle w:val="Heading2"/>
        <w:spacing w:after="120" w:before="240" w:line="360"/>
      </w:pPr>
      <w:r>
        <w:rPr>
          <w:rFonts w:ascii="Times New Roman" w:cs="Times New Roman" w:eastAsia="Times New Roman" w:hAnsi="Times New Roman"/>
          <w:b/>
          <w:bCs/>
          <w:sz w:val="28"/>
          <w:szCs w:val="28"/>
        </w:rPr>
        <w:t xml:space="preserve">3.4 Human rating</w:t>
      </w:r>
    </w:p>
    <w:p>
      <w:pPr>
        <w:spacing w:after="120" w:line="360"/>
        <w:jc w:val="both"/>
      </w:pPr>
      <w:r>
        <w:rPr>
          <w:rFonts w:ascii="Times New Roman" w:cs="Times New Roman" w:eastAsia="Times New Roman" w:hAnsi="Times New Roman"/>
          <w:sz w:val="24"/>
          <w:szCs w:val="24"/>
        </w:rPr>
        <w:t xml:space="preserve">Two human raters will mark every script on both passages: Rater 1 is the candidate, an IGCSE teacher since 2019 and an NCUK EAP examiner and moderator; Rater 2 is an experienced IGCSE colleague.</w:t>
      </w:r>
    </w:p>
    <w:p>
      <w:pPr>
        <w:spacing w:after="120" w:line="360"/>
        <w:jc w:val="both"/>
      </w:pPr>
      <w:r>
        <w:rPr>
          <w:rFonts w:ascii="Times New Roman" w:cs="Times New Roman" w:eastAsia="Times New Roman" w:hAnsi="Times New Roman"/>
          <w:b/>
          <w:bCs/>
          <w:sz w:val="24"/>
          <w:szCs w:val="24"/>
        </w:rPr>
        <w:t xml:space="preserve">Calibration. </w:t>
      </w:r>
      <w:r>
        <w:rPr>
          <w:rFonts w:ascii="Times New Roman" w:cs="Times New Roman" w:eastAsia="Times New Roman" w:hAnsi="Times New Roman"/>
          <w:sz w:val="24"/>
          <w:szCs w:val="24"/>
        </w:rPr>
        <w:t xml:space="preserve">Before formal marking begins, both raters will independently mark a small practice set of 5–8 scripts (drawn from previous years or from publicly available student summary writing, not from the study cohort) using the study rubric. They will then meet to compare their marks, discuss disagreements and reach a shared understanding of the rubric’s application. This calibration exercise is not a reliability measure; it is a preparatory step to align rubric interpretation before formal marking begins. If the live pilot (Section 3.6) reveals H1–H2 agreement below ICC(A,1) = .60 on the reading mark, a second calibration round will be conducted using additional practice scripts and focused rubric discussion before main-study marking. This ensures the human benchmark meets the study’s minimum reliability threshold before the main corpus is marked.</w:t>
      </w:r>
    </w:p>
    <w:p>
      <w:pPr>
        <w:spacing w:after="120" w:line="360"/>
        <w:jc w:val="both"/>
      </w:pPr>
      <w:r>
        <w:rPr>
          <w:rFonts w:ascii="Times New Roman" w:cs="Times New Roman" w:eastAsia="Times New Roman" w:hAnsi="Times New Roman"/>
          <w:b/>
          <w:bCs/>
          <w:sz w:val="24"/>
          <w:szCs w:val="24"/>
        </w:rPr>
        <w:t xml:space="preserve">Formal marking. </w:t>
      </w:r>
      <w:r>
        <w:rPr>
          <w:rFonts w:ascii="Times New Roman" w:cs="Times New Roman" w:eastAsia="Times New Roman" w:hAnsi="Times New Roman"/>
          <w:sz w:val="24"/>
          <w:szCs w:val="24"/>
        </w:rPr>
        <w:t xml:space="preserve">Both raters will use the study rubric and the appropriate reading key for each passage, marking independently, blind to each other and to all AI scores, in random order, after all scripts have been typed and coded. To further mitigate the candidate’s familiarity with student writing, formal marking by both raters will begin no earlier than four weeks after the last writing session, increasing the temporal distance between classroom interaction and blind assessment of anonymised, typed scripts. After independent formal marking is complete, raters will discuss scripts on which their total marks diverge by three or more marks; their original independent marks are retained for all analyses regardless of the discussion outcome. All human marks will be locked before any AI scoring.</w:t>
      </w:r>
    </w:p>
    <w:p>
      <w:pPr>
        <w:spacing w:after="120" w:line="360"/>
        <w:jc w:val="both"/>
      </w:pPr>
      <w:r>
        <w:rPr>
          <w:rFonts w:ascii="Times New Roman" w:cs="Times New Roman" w:eastAsia="Times New Roman" w:hAnsi="Times New Roman"/>
          <w:sz w:val="24"/>
          <w:szCs w:val="24"/>
        </w:rPr>
        <w:t xml:space="preserve">If the H1–H2 ICC(A,1) on the reading mark, writing mark or total score falls below .60 for a given criterion on a given passage, this will be reported as a study limitation and the descriptive evidence base will note that the human benchmark for that criterion on that passage did not meet the study’s minimum threshold. AI scoring and the prespecified RQ1–RQ2 analyses will still be reported for all criteria. The .60 threshold is a study-specific design choice: Koo and Li (2016) place moderate reliability from .50; .60 is a more conservative floor. If the total-score human agreement falls below .60 but reading and writing each meet the threshold, the component-level agreement findings remain reportable; only the total-score agreement finding is qualified as resting on a weak human benchmark.</w:t>
      </w:r>
    </w:p>
    <w:p>
      <w:pPr>
        <w:spacing w:after="120" w:line="360"/>
        <w:jc w:val="both"/>
      </w:pPr>
      <w:r>
        <w:rPr>
          <w:rFonts w:ascii="Times New Roman" w:cs="Times New Roman" w:eastAsia="Times New Roman" w:hAnsi="Times New Roman"/>
          <w:sz w:val="24"/>
          <w:szCs w:val="24"/>
        </w:rPr>
        <w:t xml:space="preserve">Human marks produced. Two raters × (65–80 students) × 2 passages = 260–320 script assessments, each yielding a reading and writing mark.</w:t>
      </w:r>
    </w:p>
    <w:p>
      <w:pPr>
        <w:pStyle w:val="Heading2"/>
        <w:spacing w:after="120" w:before="240" w:line="360"/>
      </w:pPr>
      <w:r>
        <w:rPr>
          <w:rFonts w:ascii="Times New Roman" w:cs="Times New Roman" w:eastAsia="Times New Roman" w:hAnsi="Times New Roman"/>
          <w:b/>
          <w:bCs/>
          <w:sz w:val="28"/>
          <w:szCs w:val="28"/>
        </w:rPr>
        <w:t xml:space="preserve">3.5 AI scoring protocol</w:t>
      </w:r>
    </w:p>
    <w:p>
      <w:pPr>
        <w:spacing w:after="120" w:line="360"/>
        <w:jc w:val="both"/>
      </w:pPr>
      <w:r>
        <w:rPr>
          <w:rFonts w:ascii="Times New Roman" w:cs="Times New Roman" w:eastAsia="Times New Roman" w:hAnsi="Times New Roman"/>
          <w:b/>
          <w:bCs/>
          <w:sz w:val="24"/>
          <w:szCs w:val="24"/>
        </w:rPr>
        <w:t xml:space="preserve">Tools and models. </w:t>
      </w:r>
      <w:r>
        <w:rPr>
          <w:rFonts w:ascii="Times New Roman" w:cs="Times New Roman" w:eastAsia="Times New Roman" w:hAnsi="Times New Roman"/>
          <w:sz w:val="24"/>
          <w:szCs w:val="24"/>
        </w:rPr>
        <w:t xml:space="preserve">ChatGPT and Claude will be accessed through paid consumer subscriptions, without API access. The latest flagship model offered on the paid plan will be chosen in the model picker. The model name and reasoning mode will be logged for every submission.</w:t>
      </w:r>
    </w:p>
    <w:p>
      <w:pPr>
        <w:spacing w:after="120" w:line="360"/>
        <w:jc w:val="both"/>
      </w:pPr>
      <w:r>
        <w:rPr>
          <w:rFonts w:ascii="Times New Roman" w:cs="Times New Roman" w:eastAsia="Times New Roman" w:hAnsi="Times New Roman"/>
          <w:b/>
          <w:bCs/>
          <w:sz w:val="24"/>
          <w:szCs w:val="24"/>
        </w:rPr>
        <w:t xml:space="preserve">Framing. </w:t>
      </w:r>
      <w:r>
        <w:rPr>
          <w:rFonts w:ascii="Times New Roman" w:cs="Times New Roman" w:eastAsia="Times New Roman" w:hAnsi="Times New Roman"/>
          <w:sz w:val="24"/>
          <w:szCs w:val="24"/>
        </w:rPr>
        <w:t xml:space="preserve">Every submission contains the passage, the task and the student’s summary, mirroring the human condition. The rubric-embedded framing contains the mark allocation (10 for reading, 5 for writing), a fixed output line (“Reading _/10; Writing _/5”), a request for a short reason for the marks with reference to the level descriptors, the study rubric and the appropriate reading key for the passage. Rules for refusals and out-of-range or unparseable answers will be fixed in advance. The wording will be fixed before data collection and never changed; a draft is in Appendix A.</w:t>
      </w:r>
    </w:p>
    <w:p>
      <w:pPr>
        <w:spacing w:after="120" w:line="360"/>
        <w:jc w:val="both"/>
      </w:pPr>
      <w:r>
        <w:rPr>
          <w:rFonts w:ascii="Times New Roman" w:cs="Times New Roman" w:eastAsia="Times New Roman" w:hAnsi="Times New Roman"/>
          <w:b/>
          <w:bCs/>
          <w:sz w:val="24"/>
          <w:szCs w:val="24"/>
        </w:rPr>
        <w:t xml:space="preserve">Design summary. </w:t>
      </w:r>
      <w:r>
        <w:rPr>
          <w:rFonts w:ascii="Times New Roman" w:cs="Times New Roman" w:eastAsia="Times New Roman" w:hAnsi="Times New Roman"/>
          <w:sz w:val="24"/>
          <w:szCs w:val="24"/>
        </w:rPr>
        <w:t xml:space="preserve">The AI scoring conditions are:</w:t>
      </w:r>
    </w:p>
    <w:p>
      <w:pPr>
        <w:spacing w:after="120" w:line="360"/>
        <w:ind w:left="720"/>
        <w:jc w:val="both"/>
      </w:pPr>
      <w:r>
        <w:rPr>
          <w:rFonts w:ascii="Times New Roman" w:cs="Times New Roman" w:eastAsia="Times New Roman" w:hAnsi="Times New Roman"/>
          <w:sz w:val="24"/>
          <w:szCs w:val="24"/>
        </w:rPr>
        <w:t xml:space="preserve">Passage A: ChatGPT × 3 passes; Claude × 3 passes</w:t>
      </w:r>
    </w:p>
    <w:p>
      <w:pPr>
        <w:spacing w:after="120" w:line="360"/>
        <w:ind w:left="720"/>
        <w:jc w:val="both"/>
      </w:pPr>
      <w:r>
        <w:rPr>
          <w:rFonts w:ascii="Times New Roman" w:cs="Times New Roman" w:eastAsia="Times New Roman" w:hAnsi="Times New Roman"/>
          <w:sz w:val="24"/>
          <w:szCs w:val="24"/>
        </w:rPr>
        <w:t xml:space="preserve">Passage B: ChatGPT × 3 passes; Claude × 3 passes</w:t>
      </w:r>
    </w:p>
    <w:p>
      <w:pPr>
        <w:spacing w:after="120" w:line="360"/>
        <w:jc w:val="both"/>
      </w:pPr>
      <w:r>
        <w:rPr>
          <w:rFonts w:ascii="Times New Roman" w:cs="Times New Roman" w:eastAsia="Times New Roman" w:hAnsi="Times New Roman"/>
          <w:b/>
          <w:bCs/>
          <w:sz w:val="24"/>
          <w:szCs w:val="24"/>
        </w:rPr>
        <w:t xml:space="preserve">Valid-response rate and retry rule. </w:t>
      </w:r>
      <w:r>
        <w:rPr>
          <w:rFonts w:ascii="Times New Roman" w:cs="Times New Roman" w:eastAsia="Times New Roman" w:hAnsi="Times New Roman"/>
          <w:sz w:val="24"/>
          <w:szCs w:val="24"/>
        </w:rPr>
        <w:t xml:space="preserve">The valid-response rate will be reported as an outcome for each tool and passage. Invalid responses—refusals, malformed answers, out-of-range scores—will be characterised by type and by script. All first-attempt responses are retained in full. Where a first attempt is invalid, a single pre-specified retry is permitted and recorded, but retry scores enter only a separate sensitivity analysis. Each comparison uses its own common script set.</w:t>
      </w:r>
    </w:p>
    <w:p>
      <w:pPr>
        <w:spacing w:after="120" w:line="360"/>
        <w:jc w:val="both"/>
      </w:pPr>
      <w:r>
        <w:rPr>
          <w:rFonts w:ascii="Times New Roman" w:cs="Times New Roman" w:eastAsia="Times New Roman" w:hAnsi="Times New Roman"/>
          <w:b/>
          <w:bCs/>
          <w:sz w:val="24"/>
          <w:szCs w:val="24"/>
        </w:rPr>
        <w:t xml:space="preserve">Session controls. </w:t>
      </w:r>
      <w:r>
        <w:rPr>
          <w:rFonts w:ascii="Times New Roman" w:cs="Times New Roman" w:eastAsia="Times New Roman" w:hAnsi="Times New Roman"/>
          <w:sz w:val="24"/>
          <w:szCs w:val="24"/>
        </w:rPr>
        <w:t xml:space="preserve">Memory, personalisation and custom instructions will be switched off, as will the model-training setting; temporary chats in ChatGPT, with the unpersonalised option, and incognito chats in Claude will be used (Anthropic, n.d.-a; OpenAI, n.d.-b); and each script will be scored in a fresh chat. Every submission will be logged (Appendix B).</w:t>
      </w:r>
    </w:p>
    <w:p>
      <w:pPr>
        <w:spacing w:after="120" w:line="360"/>
        <w:jc w:val="both"/>
      </w:pPr>
      <w:r>
        <w:rPr>
          <w:rFonts w:ascii="Times New Roman" w:cs="Times New Roman" w:eastAsia="Times New Roman" w:hAnsi="Times New Roman"/>
          <w:b/>
          <w:bCs/>
          <w:sz w:val="24"/>
          <w:szCs w:val="24"/>
        </w:rPr>
        <w:t xml:space="preserve">Passes and timing. </w:t>
      </w:r>
      <w:r>
        <w:rPr>
          <w:rFonts w:ascii="Times New Roman" w:cs="Times New Roman" w:eastAsia="Times New Roman" w:hAnsi="Times New Roman"/>
          <w:sz w:val="24"/>
          <w:szCs w:val="24"/>
        </w:rPr>
        <w:t xml:space="preserve">Both tools will be used during the same collection days: within each scoring day, scripts will be scored by both ChatGPT and Claude, so that the two tools are exposed to the same temporal window and any model changes during that window are recorded for both. The three passes will run in separate sessions within a five-day window, with no more than two passes scored on the same day for the same tool. This compressed window reduces the probability of a mid-scoring model change while providing three independent scoring occasions. Within each pass, the order of scripts and passages will be randomised. If the model in the picker changes during the scoring window, scoring will continue and the change will be recorded as a covariate.</w:t>
      </w:r>
    </w:p>
    <w:p>
      <w:pPr>
        <w:spacing w:after="120" w:line="360"/>
        <w:jc w:val="both"/>
      </w:pPr>
      <w:r>
        <w:rPr>
          <w:rFonts w:ascii="Times New Roman" w:cs="Times New Roman" w:eastAsia="Times New Roman" w:hAnsi="Times New Roman"/>
          <w:b/>
          <w:bCs/>
          <w:sz w:val="24"/>
          <w:szCs w:val="24"/>
        </w:rPr>
        <w:t xml:space="preserve">Preregistered model-change decision rule. </w:t>
      </w:r>
      <w:r>
        <w:rPr>
          <w:rFonts w:ascii="Times New Roman" w:cs="Times New Roman" w:eastAsia="Times New Roman" w:hAnsi="Times New Roman"/>
          <w:sz w:val="24"/>
          <w:szCs w:val="24"/>
        </w:rPr>
        <w:t xml:space="preserve">If the flagship model available in the model picker changes between any two passes for either tool, the following preregistered decision rule applies. The affected tool’s data are analysed separately by model version as a primary analysis: pass-to-pass consistency (RQ1) is computed only within the passes that share the same model version, and agreement with human raters (RQ2) is reported separately for each model version. A combined-pass analysis pooling across model versions is reported as supplementary, with the model change entered as a covariate. This rule ensures that pass-to-pass consistency estimates are not confounded by model differences.</w:t>
      </w:r>
    </w:p>
    <w:p>
      <w:pPr>
        <w:spacing w:after="120" w:line="360"/>
        <w:jc w:val="both"/>
      </w:pPr>
      <w:r>
        <w:rPr>
          <w:rFonts w:ascii="Times New Roman" w:cs="Times New Roman" w:eastAsia="Times New Roman" w:hAnsi="Times New Roman"/>
          <w:b/>
          <w:bCs/>
          <w:sz w:val="24"/>
          <w:szCs w:val="24"/>
        </w:rPr>
        <w:t xml:space="preserve">Stability anchors. </w:t>
      </w:r>
      <w:r>
        <w:rPr>
          <w:rFonts w:ascii="Times New Roman" w:cs="Times New Roman" w:eastAsia="Times New Roman" w:hAnsi="Times New Roman"/>
          <w:sz w:val="24"/>
          <w:szCs w:val="24"/>
        </w:rPr>
        <w:t xml:space="preserve">Once per scoring day, three anchor scripts (low, mid and high) selected from the desk pilot will be scored by each tool in the rubric-embedded framing, yielding six additional submissions per scoring day. The pilot-informed threshold for flagging a day will be set from desk-pilot variance and fixed before main-study data collection. Flags will enter the analysis as a covariate, and no data will ever be excluded on the basis of an anchor check.</w:t>
      </w:r>
    </w:p>
    <w:p>
      <w:pPr>
        <w:spacing w:after="120" w:line="360"/>
        <w:jc w:val="both"/>
      </w:pPr>
      <w:r>
        <w:rPr>
          <w:rFonts w:ascii="Times New Roman" w:cs="Times New Roman" w:eastAsia="Times New Roman" w:hAnsi="Times New Roman"/>
          <w:b/>
          <w:bCs/>
          <w:sz w:val="24"/>
          <w:szCs w:val="24"/>
        </w:rPr>
        <w:t xml:space="preserve">Workload. </w:t>
      </w:r>
      <w:r>
        <w:rPr>
          <w:rFonts w:ascii="Times New Roman" w:cs="Times New Roman" w:eastAsia="Times New Roman" w:hAnsi="Times New Roman"/>
          <w:sz w:val="24"/>
          <w:szCs w:val="24"/>
        </w:rPr>
        <w:t xml:space="preserve">At approximately three minutes per submission: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0"/>
        <w:gridCol w:w="2400"/>
      </w:tblGrid>
      <w:tr>
        <w:trPr>
          <w:tblHeader/>
        </w:trPr>
        <w:tc>
          <w:tcPr>
            <w:tcW w:type="dxa" w:w="6800"/>
            <w:shd w:fill="E8E8E8" w:val="clear"/>
            <w:vAlign w:val="center"/>
          </w:tcPr>
          <w:p>
            <w:pPr>
              <w:spacing w:after="60"/>
            </w:pPr>
            <w:r>
              <w:rPr>
                <w:rFonts w:ascii="Times New Roman" w:cs="Times New Roman" w:eastAsia="Times New Roman" w:hAnsi="Times New Roman"/>
                <w:b/>
                <w:bCs/>
                <w:sz w:val="22"/>
                <w:szCs w:val="22"/>
              </w:rPr>
              <w:t xml:space="preserve">Calculation</w:t>
            </w:r>
          </w:p>
        </w:tc>
        <w:tc>
          <w:tcPr>
            <w:tcW w:type="dxa" w:w="2400"/>
            <w:shd w:fill="E8E8E8" w:val="clear"/>
            <w:vAlign w:val="center"/>
          </w:tcPr>
          <w:p>
            <w:pPr>
              <w:spacing w:after="60"/>
            </w:pPr>
            <w:r>
              <w:rPr>
                <w:rFonts w:ascii="Times New Roman" w:cs="Times New Roman" w:eastAsia="Times New Roman" w:hAnsi="Times New Roman"/>
                <w:b/>
                <w:bCs/>
                <w:sz w:val="22"/>
                <w:szCs w:val="22"/>
              </w:rPr>
              <w:t xml:space="preserve">Submissions</w:t>
            </w:r>
          </w:p>
        </w:tc>
      </w:tr>
      <w:tr>
        <w:tc>
          <w:tcPr>
            <w:tcW w:type="dxa" w:w="6800"/>
            <w:vAlign w:val="center"/>
          </w:tcPr>
          <w:p>
            <w:pPr>
              <w:spacing w:after="60"/>
            </w:pPr>
            <w:r>
              <w:rPr>
                <w:rFonts w:ascii="Times New Roman" w:cs="Times New Roman" w:eastAsia="Times New Roman" w:hAnsi="Times New Roman"/>
                <w:sz w:val="22"/>
                <w:szCs w:val="22"/>
              </w:rPr>
              <w:t xml:space="preserve">Primary: 65–80 scripts × 2 passages × 2 tools × 3 passes</w:t>
            </w:r>
          </w:p>
        </w:tc>
        <w:tc>
          <w:tcPr>
            <w:tcW w:type="dxa" w:w="2400"/>
            <w:vAlign w:val="center"/>
          </w:tcPr>
          <w:p>
            <w:pPr>
              <w:spacing w:after="60"/>
            </w:pPr>
            <w:r>
              <w:rPr>
                <w:rFonts w:ascii="Times New Roman" w:cs="Times New Roman" w:eastAsia="Times New Roman" w:hAnsi="Times New Roman"/>
                <w:sz w:val="22"/>
                <w:szCs w:val="22"/>
              </w:rPr>
              <w:t xml:space="preserve">780–960</w:t>
            </w:r>
          </w:p>
        </w:tc>
      </w:tr>
      <w:tr>
        <w:tc>
          <w:tcPr>
            <w:tcW w:type="dxa" w:w="6800"/>
            <w:vAlign w:val="center"/>
          </w:tcPr>
          <w:p>
            <w:pPr>
              <w:spacing w:after="60"/>
            </w:pPr>
            <w:r>
              <w:rPr>
                <w:rFonts w:ascii="Times New Roman" w:cs="Times New Roman" w:eastAsia="Times New Roman" w:hAnsi="Times New Roman"/>
                <w:sz w:val="22"/>
                <w:szCs w:val="22"/>
              </w:rPr>
              <w:t xml:space="preserve">Anchors: 3 scripts × 2 tools × each scoring day</w:t>
            </w:r>
          </w:p>
        </w:tc>
        <w:tc>
          <w:tcPr>
            <w:tcW w:type="dxa" w:w="2400"/>
            <w:vAlign w:val="center"/>
          </w:tcPr>
          <w:p>
            <w:pPr>
              <w:spacing w:after="60"/>
            </w:pPr>
            <w:r>
              <w:rPr>
                <w:rFonts w:ascii="Times New Roman" w:cs="Times New Roman" w:eastAsia="Times New Roman" w:hAnsi="Times New Roman"/>
                <w:sz w:val="22"/>
                <w:szCs w:val="22"/>
              </w:rPr>
              <w:t xml:space="preserve">~36</w:t>
            </w:r>
          </w:p>
        </w:tc>
      </w:tr>
      <w:tr>
        <w:tc>
          <w:tcPr>
            <w:tcW w:type="dxa" w:w="6800"/>
            <w:vAlign w:val="center"/>
          </w:tcPr>
          <w:p>
            <w:pPr>
              <w:spacing w:after="60"/>
            </w:pPr>
            <w:r>
              <w:rPr>
                <w:rFonts w:ascii="Times New Roman" w:cs="Times New Roman" w:eastAsia="Times New Roman" w:hAnsi="Times New Roman"/>
                <w:sz w:val="22"/>
                <w:szCs w:val="22"/>
              </w:rPr>
              <w:t xml:space="preserve">Total</w:t>
            </w:r>
          </w:p>
        </w:tc>
        <w:tc>
          <w:tcPr>
            <w:tcW w:type="dxa" w:w="2400"/>
            <w:vAlign w:val="center"/>
          </w:tcPr>
          <w:p>
            <w:pPr>
              <w:spacing w:after="60"/>
            </w:pPr>
            <w:r>
              <w:rPr>
                <w:rFonts w:ascii="Times New Roman" w:cs="Times New Roman" w:eastAsia="Times New Roman" w:hAnsi="Times New Roman"/>
                <w:sz w:val="22"/>
                <w:szCs w:val="22"/>
              </w:rPr>
              <w:t xml:space="preserve">~816–996 (~41–50 h)</w:t>
            </w:r>
          </w:p>
        </w:tc>
      </w:tr>
    </w:tbl>
    <w:p>
      <w:pPr>
        <w:pStyle w:val="Heading2"/>
        <w:spacing w:after="120" w:before="240" w:line="360"/>
      </w:pPr>
      <w:r>
        <w:rPr>
          <w:rFonts w:ascii="Times New Roman" w:cs="Times New Roman" w:eastAsia="Times New Roman" w:hAnsi="Times New Roman"/>
          <w:b/>
          <w:bCs/>
          <w:sz w:val="28"/>
          <w:szCs w:val="28"/>
        </w:rPr>
        <w:t xml:space="preserve">3.6 Pilot study</w:t>
      </w:r>
    </w:p>
    <w:p>
      <w:pPr>
        <w:spacing w:after="120" w:line="360"/>
        <w:jc w:val="both"/>
      </w:pPr>
      <w:r>
        <w:rPr>
          <w:rFonts w:ascii="Times New Roman" w:cs="Times New Roman" w:eastAsia="Times New Roman" w:hAnsi="Times New Roman"/>
          <w:b/>
          <w:bCs/>
          <w:sz w:val="24"/>
          <w:szCs w:val="24"/>
        </w:rPr>
        <w:t xml:space="preserve">Desk pilot. </w:t>
      </w:r>
      <w:r>
        <w:rPr>
          <w:rFonts w:ascii="Times New Roman" w:cs="Times New Roman" w:eastAsia="Times New Roman" w:hAnsi="Times New Roman"/>
          <w:sz w:val="24"/>
          <w:szCs w:val="24"/>
        </w:rPr>
        <w:t xml:space="preserve">Before data collection, 10–15 practice scripts from a previous year’s class or from publicly available student summary writing will be scored by both tools under the rubric-embedded framing, in three passes, to test the prompt wording, timing, parsing rules and message caps. These scripts are not from the study cohort; their use will be covered by the approved ethics protocol or by an applicable institutional exemption, with permitted reuse confirmed before the desk pilot begins. The desk pilot supplies the three anchor scripts and sets the anchor-flag threshold. The anchor-flag threshold and any other analysis parameters informed by pilot results will be fixed and preregistered before main-study data collection begins.</w:t>
      </w:r>
    </w:p>
    <w:p>
      <w:pPr>
        <w:spacing w:after="120" w:line="360"/>
        <w:jc w:val="both"/>
      </w:pPr>
      <w:r>
        <w:rPr>
          <w:rFonts w:ascii="Times New Roman" w:cs="Times New Roman" w:eastAsia="Times New Roman" w:hAnsi="Times New Roman"/>
          <w:b/>
          <w:bCs/>
          <w:sz w:val="24"/>
          <w:szCs w:val="24"/>
        </w:rPr>
        <w:t xml:space="preserve">Prompt-variation check. </w:t>
      </w:r>
      <w:r>
        <w:rPr>
          <w:rFonts w:ascii="Times New Roman" w:cs="Times New Roman" w:eastAsia="Times New Roman" w:hAnsi="Times New Roman"/>
          <w:sz w:val="24"/>
          <w:szCs w:val="24"/>
        </w:rPr>
        <w:t xml:space="preserve">During the desk pilot, 5–10 practice scripts will be scored under two or three minor prompt variants in addition to the primary rubric-embedded framing. Variants will test specific prompt features that prior research has shown to affect agreement (Sawaki et al., 2025; Sclar et al., 2024): for example, (a) the primary framing with the reading key omitted, (b) the primary framing with the output-format line omitted, or (c) the primary framing with the order of rubric and reading key reversed. Each variant is scored once per script per tool. The results are compared descriptively (mean scores and within-script differences) against the primary framing to provide evidence that the chosen prompt is not producing anomalous results relative to reasonable alternatives. The prompt-variation check is reported in the thesis as a design-validation exercise; it does not constitute a formal prompt-optimisation study, and the primary framing remains unchanged regardless of the results. This check pre-empts the concern, raised by Sawaki et al. (2025), that AI scoring agreement is sensitive to prompt design: it provides evidence that the study’s findings are not artefacts of a single prompt formulation.</w:t>
      </w:r>
    </w:p>
    <w:p>
      <w:pPr>
        <w:spacing w:after="120" w:line="360"/>
        <w:jc w:val="both"/>
      </w:pPr>
      <w:r>
        <w:rPr>
          <w:rFonts w:ascii="Times New Roman" w:cs="Times New Roman" w:eastAsia="Times New Roman" w:hAnsi="Times New Roman"/>
          <w:b/>
          <w:bCs/>
          <w:sz w:val="24"/>
          <w:szCs w:val="24"/>
        </w:rPr>
        <w:t xml:space="preserve">Live pilot. </w:t>
      </w:r>
      <w:r>
        <w:rPr>
          <w:rFonts w:ascii="Times New Roman" w:cs="Times New Roman" w:eastAsia="Times New Roman" w:hAnsi="Times New Roman"/>
          <w:sz w:val="24"/>
          <w:szCs w:val="24"/>
        </w:rPr>
        <w:t xml:space="preserve">Before the main data collection, a separate live pilot will be conducted using a third original passage (not used in the main study). The pilot will involve a small class of approximately 10–15 students from a colleague’s class (not the candidate’s own students), supervised by the colleague. Each script will be scored once by each tool (one pass per tool) under the rubric-embedded framing. The pilot tests the full end-to-end workflow—writing, anonymisation, typing, human marking and AI scoring—under realistic conditions. Ethics approval for the pilot will be sought as part of the main ethics application, covering the colleague’s class and the third passage. The pilot scripts do not enter the main analysis. The pilot is used to calibrate procedures, confirm timing and test the end-to-end workflow; it is not treated as an independent validation sample.</w:t>
      </w:r>
    </w:p>
    <w:p>
      <w:pPr>
        <w:spacing w:after="120" w:line="360"/>
        <w:jc w:val="both"/>
      </w:pPr>
      <w:r>
        <w:rPr>
          <w:rFonts w:ascii="Times New Roman" w:cs="Times New Roman" w:eastAsia="Times New Roman" w:hAnsi="Times New Roman"/>
          <w:b/>
          <w:bCs/>
          <w:sz w:val="24"/>
          <w:szCs w:val="24"/>
        </w:rPr>
        <w:t xml:space="preserve">Preliminary repeatability assessment. </w:t>
      </w:r>
      <w:r>
        <w:rPr>
          <w:rFonts w:ascii="Times New Roman" w:cs="Times New Roman" w:eastAsia="Times New Roman" w:hAnsi="Times New Roman"/>
          <w:sz w:val="24"/>
          <w:szCs w:val="24"/>
        </w:rPr>
        <w:t xml:space="preserve">Before preregistration, a preliminary repeatability assessment will be computed from the desk-pilot data: the mean and range of within-script absolute differences across three passes, per tool, to provide an early indication of the score variability a teacher would encounter. This assessment characterises observed score variability; it does not estimate confidence-interval width for the main agreement coefficients. A modest assessment of expected confidence-interval width for QWK and ICC at the study’s sample size will be discussed with a statistical adviser before preregistration. The preliminary repeatability assessment does not replace the formal RQ1 analysis. Any formatting or parsing change made after the pilot must be checked to ensure it does not alter scoring instructions; the supervisor and colleague will jointly make that determination and record the decision in the preregistration or pilot log.</w:t>
      </w:r>
    </w:p>
    <w:p>
      <w:pPr>
        <w:pStyle w:val="Heading2"/>
        <w:spacing w:after="120" w:before="240" w:line="360"/>
      </w:pPr>
      <w:r>
        <w:rPr>
          <w:rFonts w:ascii="Times New Roman" w:cs="Times New Roman" w:eastAsia="Times New Roman" w:hAnsi="Times New Roman"/>
          <w:b/>
          <w:bCs/>
          <w:sz w:val="28"/>
          <w:szCs w:val="28"/>
        </w:rPr>
        <w:t xml:space="preserve">3.7 Analysis</w:t>
      </w:r>
    </w:p>
    <w:p>
      <w:pPr>
        <w:spacing w:after="120" w:line="360"/>
        <w:jc w:val="both"/>
      </w:pPr>
      <w:r>
        <w:rPr>
          <w:rFonts w:ascii="Times New Roman" w:cs="Times New Roman" w:eastAsia="Times New Roman" w:hAnsi="Times New Roman"/>
          <w:b/>
          <w:bCs/>
          <w:sz w:val="24"/>
          <w:szCs w:val="24"/>
        </w:rPr>
        <w:t xml:space="preserve">Analysis hierarchy. </w:t>
      </w:r>
      <w:r>
        <w:rPr>
          <w:rFonts w:ascii="Times New Roman" w:cs="Times New Roman" w:eastAsia="Times New Roman" w:hAnsi="Times New Roman"/>
          <w:sz w:val="24"/>
          <w:szCs w:val="24"/>
        </w:rPr>
        <w:t xml:space="preserve">The primary analyses are organised by research question: RQ1—pass-to-pass consistency; RQ2—agreement and the correction gap; RQ3—content analysis of high-divergence rationales. The synthesis draws on all three RQs. Holm (1979) correction is applied within each family of primary mixed-model contrasts. With three passes, the ICC(1,1) per condition rests on three scores per script, providing a within-script variance estimate that does not depend on a single difference. The study reports ICC(1,1) as a tool-level aggregate and supplements it with per-script standard deviations across the three passes.</w:t>
      </w:r>
    </w:p>
    <w:p>
      <w:pPr>
        <w:spacing w:after="120" w:line="360"/>
        <w:jc w:val="both"/>
      </w:pPr>
      <w:r>
        <w:rPr>
          <w:rFonts w:ascii="Times New Roman" w:cs="Times New Roman" w:eastAsia="Times New Roman" w:hAnsi="Times New Roman"/>
          <w:b/>
          <w:bCs/>
          <w:sz w:val="24"/>
          <w:szCs w:val="24"/>
        </w:rPr>
        <w:t xml:space="preserve">Sensitivity analysis for sample size. </w:t>
      </w:r>
      <w:r>
        <w:rPr>
          <w:rFonts w:ascii="Times New Roman" w:cs="Times New Roman" w:eastAsia="Times New Roman" w:hAnsi="Times New Roman"/>
          <w:sz w:val="24"/>
          <w:szCs w:val="24"/>
        </w:rPr>
        <w:t xml:space="preserve">A sensitivity analysis will be reported alongside the results, estimating the minimum detectable differences in ICC and QWK at the study’s sample size (65–80 students, 130–160 scripts). This is reported in the thesis rather than conducted as a separate simulation exercise before preregistration.</w:t>
      </w:r>
    </w:p>
    <w:p>
      <w:pPr>
        <w:spacing w:after="120" w:line="360"/>
        <w:jc w:val="both"/>
      </w:pPr>
      <w:r>
        <w:rPr>
          <w:rFonts w:ascii="Times New Roman" w:cs="Times New Roman" w:eastAsia="Times New Roman" w:hAnsi="Times New Roman"/>
          <w:b/>
          <w:bCs/>
          <w:sz w:val="24"/>
          <w:szCs w:val="24"/>
        </w:rPr>
        <w:t xml:space="preserve">Primary and secondary criteria. </w:t>
      </w:r>
      <w:r>
        <w:rPr>
          <w:rFonts w:ascii="Times New Roman" w:cs="Times New Roman" w:eastAsia="Times New Roman" w:hAnsi="Times New Roman"/>
          <w:sz w:val="24"/>
          <w:szCs w:val="24"/>
        </w:rPr>
        <w:t xml:space="preserve">The reading mark (/10) is the primary criterion for all analyses in RQ1 and RQ2. Its 11-point scale (0–10) provides sufficient variance for reliable estimation of agreement statistics. The writing mark (/5) is analysed as a secondary criterion: its 6-point scale (0–5) compresses variance and limits the precision of agreement statistics. All analyses are reported for both criteria, but interpretive weight is placed on the reading mark. The total mark (/15) is reported as a supplementary measure. This hierarchy reflects a design constraint inherent in the IGCSE marking scheme, not an analytical choice.</w:t>
      </w:r>
    </w:p>
    <w:p>
      <w:pPr>
        <w:spacing w:after="120" w:line="360"/>
        <w:jc w:val="both"/>
      </w:pPr>
      <w:r>
        <w:rPr>
          <w:rFonts w:ascii="Times New Roman" w:cs="Times New Roman" w:eastAsia="Times New Roman" w:hAnsi="Times New Roman"/>
          <w:b/>
          <w:bCs/>
          <w:sz w:val="24"/>
          <w:szCs w:val="24"/>
        </w:rPr>
        <w:t xml:space="preserve">Units, missing data and uncertainty. </w:t>
      </w:r>
      <w:r>
        <w:rPr>
          <w:rFonts w:ascii="Times New Roman" w:cs="Times New Roman" w:eastAsia="Times New Roman" w:hAnsi="Times New Roman"/>
          <w:sz w:val="24"/>
          <w:szCs w:val="24"/>
        </w:rPr>
        <w:t xml:space="preserve">Agreement statistics (QWK, intraclass correlation coefficient [ICC], exact and adjacent agreement) are computed separately for reading (/10), writing (/5) and the total (/15), and separately for each passage. Analysis is complete-case by script: a script missing a human mark or a valid AI score in a given condition is excluded from analyses of that condition, and attrition is reported. Agreement statistics will have bootstrapped 95% confidence intervals (2,000 replications). The resampling unit is the student: each resampled student brings both passage scripts and all repeated scores, preserving the within-student dependence.</w:t>
      </w:r>
    </w:p>
    <w:p>
      <w:pPr>
        <w:spacing w:after="120" w:line="360"/>
        <w:jc w:val="both"/>
      </w:pPr>
      <w:r>
        <w:rPr>
          <w:rFonts w:ascii="Times New Roman" w:cs="Times New Roman" w:eastAsia="Times New Roman" w:hAnsi="Times New Roman"/>
          <w:b/>
          <w:bCs/>
          <w:sz w:val="24"/>
          <w:szCs w:val="24"/>
        </w:rPr>
        <w:t xml:space="preserve">Primary result. </w:t>
      </w:r>
      <w:r>
        <w:rPr>
          <w:rFonts w:ascii="Times New Roman" w:cs="Times New Roman" w:eastAsia="Times New Roman" w:hAnsi="Times New Roman"/>
          <w:sz w:val="24"/>
          <w:szCs w:val="24"/>
        </w:rPr>
        <w:t xml:space="preserve">Because a teacher receives a single response, the primary agreement result is the agreement of a single AI run with the humans: QWK and ICC are computed for each pass separately and reported as the mean and range across the three passes, for both passages. Agreement based on the mean of the three passes is a sensitivity check only.</w:t>
      </w:r>
    </w:p>
    <w:p>
      <w:pPr>
        <w:spacing w:after="120" w:line="360"/>
        <w:jc w:val="both"/>
      </w:pPr>
      <w:r>
        <w:rPr>
          <w:rFonts w:ascii="Times New Roman" w:cs="Times New Roman" w:eastAsia="Times New Roman" w:hAnsi="Times New Roman"/>
          <w:b/>
          <w:bCs/>
          <w:sz w:val="24"/>
          <w:szCs w:val="24"/>
        </w:rPr>
        <w:t xml:space="preserve">Agreement statistics. </w:t>
      </w:r>
      <w:r>
        <w:rPr>
          <w:rFonts w:ascii="Times New Roman" w:cs="Times New Roman" w:eastAsia="Times New Roman" w:hAnsi="Times New Roman"/>
          <w:sz w:val="24"/>
          <w:szCs w:val="24"/>
        </w:rPr>
        <w:t xml:space="preserve">Weighted kappa uses quadratic weights (Cohen, 1968). Human–AI agreement uses ICC(A,1) (two-way mixed effects, raters fixed, absolute agreement, single measures), computed separately for reading, writing and total on each passage. Each tool is compared with each human rater separately (AI–H1, AI–H2), so that the result is directly comparable with the H1–H2 baseline; QWK is computed the same way. Agreement across passes uses a one-way random-effects, single-measures ICC. ICC confidence intervals will be interpreted against the bands proposed by Koo and Li (2016): below .50 poor, .50–.75 moderate, .75–.90 good and above .90 excellent. Bland–Altman plots will show mean differences and limits of agreement (Bland &amp; Altman, 1986). QWK will be interpreted against the human–human baseline and the operational thresholds of Williamson et al. (2012).</w:t>
      </w:r>
    </w:p>
    <w:p>
      <w:pPr>
        <w:spacing w:after="120" w:line="360"/>
        <w:jc w:val="both"/>
      </w:pPr>
      <w:r>
        <w:rPr>
          <w:rFonts w:ascii="Times New Roman" w:cs="Times New Roman" w:eastAsia="Times New Roman" w:hAnsi="Times New Roman"/>
          <w:b/>
          <w:bCs/>
          <w:sz w:val="24"/>
          <w:szCs w:val="24"/>
        </w:rPr>
        <w:t xml:space="preserve">Mixed model. </w:t>
      </w:r>
      <w:r>
        <w:rPr>
          <w:rFonts w:ascii="Times New Roman" w:cs="Times New Roman" w:eastAsia="Times New Roman" w:hAnsi="Times New Roman"/>
          <w:sz w:val="24"/>
          <w:szCs w:val="24"/>
        </w:rPr>
        <w:t xml:space="preserve">Using rubric-embedded scores, fitted separately for reading and writing: score ~ tool × passage + pass + (1|student) + (1|student:passage), where pass has three levels (1, 2, 3), using lme4 in R (Bates et al., 2015). Anchor flags and any mid-scoring-window model change enter as covariates. Convergence, singular fits and boundary estimates will be reported. If the model fails to converge, a preregistered fallback will be used: within-script SDs across the three passes will be computed per script and summarised across scripts within each tool/passage cell as a descriptive substitute. This fallback is acknowledged as partial: within-script SDs characterise per-script variability but do not replace the systematic fixed-effect estimates (tool, passage, pass) that the mixed model provides.</w:t>
      </w:r>
    </w:p>
    <w:p>
      <w:pPr>
        <w:spacing w:after="120" w:line="360"/>
        <w:jc w:val="both"/>
      </w:pPr>
      <w:r>
        <w:rPr>
          <w:rFonts w:ascii="Times New Roman" w:cs="Times New Roman" w:eastAsia="Times New Roman" w:hAnsi="Times New Roman"/>
          <w:b/>
          <w:bCs/>
          <w:sz w:val="24"/>
          <w:szCs w:val="24"/>
        </w:rPr>
        <w:t xml:space="preserve">Correction gap. </w:t>
      </w:r>
      <w:r>
        <w:rPr>
          <w:rFonts w:ascii="Times New Roman" w:cs="Times New Roman" w:eastAsia="Times New Roman" w:hAnsi="Times New Roman"/>
          <w:sz w:val="24"/>
          <w:szCs w:val="24"/>
        </w:rPr>
        <w:t xml:space="preserve">The correction gap is the AI score minus the mean of the two human raters, computed per pass and per passage and summarised as mean, standard deviation and range across the three passes. The three-pass design allows the correction gap’s variability across passes to be estimated, rather than characterised by a single difference. Score level is defined by the mean of the AI and human scores (Bland &amp; Altman, 1986), because grouping by the human score alone produces a regression-to-the-mean artefact.</w:t>
      </w:r>
    </w:p>
    <w:p>
      <w:pPr>
        <w:spacing w:after="120" w:line="360"/>
        <w:jc w:val="both"/>
      </w:pPr>
      <w:r>
        <w:rPr>
          <w:rFonts w:ascii="Times New Roman" w:cs="Times New Roman" w:eastAsia="Times New Roman" w:hAnsi="Times New Roman"/>
          <w:b/>
          <w:bCs/>
          <w:sz w:val="24"/>
          <w:szCs w:val="24"/>
        </w:rPr>
        <w:t xml:space="preserve">Passage effects. </w:t>
      </w:r>
      <w:r>
        <w:rPr>
          <w:rFonts w:ascii="Times New Roman" w:cs="Times New Roman" w:eastAsia="Times New Roman" w:hAnsi="Times New Roman"/>
          <w:sz w:val="24"/>
          <w:szCs w:val="24"/>
        </w:rPr>
        <w:t xml:space="preserve">To examine whether AI scoring properties vary across passages, key statistics (ICC(1,1), QWK, mean within-script SD, correction gap) will be computed separately for each passage and compared. The passage factor in the mixed model tests differences in AI scores between the two passages; whether scoring performance differs is established by agreement, correction gaps and within-passage repeated-score differences. Two passages support comparison between these two passages; they do not establish broad generalisability across IGCSE texts. A raw score difference between passages does not by itself indicate a passage-related AI scoring weakness: if students genuinely find one passage harder, both human and AI scores may be lower. Conclusions about passage-related scoring performance will therefore draw on AI–human correction gaps, agreement with human ratings and within-passage repeated-score differences rather than on raw score differences alone.</w:t>
      </w:r>
    </w:p>
    <w:p>
      <w:pPr>
        <w:spacing w:after="120" w:line="360"/>
        <w:jc w:val="both"/>
      </w:pPr>
      <w:r>
        <w:rPr>
          <w:rFonts w:ascii="Times New Roman" w:cs="Times New Roman" w:eastAsia="Times New Roman" w:hAnsi="Times New Roman"/>
          <w:b/>
          <w:bCs/>
          <w:sz w:val="24"/>
          <w:szCs w:val="24"/>
        </w:rPr>
        <w:t xml:space="preserve">Focused content analysis of AI scoring rationales (RQ3). </w:t>
      </w:r>
      <w:r>
        <w:rPr>
          <w:rFonts w:ascii="Times New Roman" w:cs="Times New Roman" w:eastAsia="Times New Roman" w:hAnsi="Times New Roman"/>
          <w:sz w:val="24"/>
          <w:szCs w:val="24"/>
        </w:rPr>
        <w:t xml:space="preserve">A maximum of 10 unique scripts will be selected for content analysis: 7 high-discrepancy and 3 low-discrepancy, using the following prespecified procedure. For each script and each tool/passage combination, two component discrepancies are computed from the rubric-embedded framing, Pass 1: the absolute correction gap on the reading mark as a proportion of the reading scale (gap/10) and the absolute correction gap on the writing mark as a proportion of the writing scale (gap/5). The selection metric for a given script is the maximum of these proportional component discrepancies across both tools for that script’s passage. Because each script answers one passage, the metric is computed within the tool/component combinations available for that script; scripts from both passages are then ranked together. This normalisation places reading and writing discrepancies on a common proportional scale despite the different scale lengths; it does not guarantee equal contribution to selection, since the distributions of discrepancies may differ between components. A script with a large component-level discrepancy is not excluded because the total-score gap is small.</w:t>
      </w:r>
    </w:p>
    <w:p>
      <w:pPr>
        <w:spacing w:after="120" w:line="360"/>
        <w:jc w:val="both"/>
      </w:pPr>
      <w:r>
        <w:rPr>
          <w:rFonts w:ascii="Times New Roman" w:cs="Times New Roman" w:eastAsia="Times New Roman" w:hAnsi="Times New Roman"/>
          <w:sz w:val="24"/>
          <w:szCs w:val="24"/>
        </w:rPr>
        <w:t xml:space="preserve">The 7 high-discrepancy scripts are those with the largest selection metric. The 3 lowest-discrepancy scripts are drawn from the remaining pool (excluding the 7 already selected); the 3 with the smallest maximum proportional discrepancy across both tools and both components for that script’s passage are selected. Their actual discrepancy values will be reported. The two pools are therefore mutually exclusive. Where a script appears in multiple tool/passage lists, it is counted once. Ties are broken alphabetically by script code. The lowest-discrepancy cases serve as a contrast: they show what AI rationales look like when scoring is relatively close to human judgement, providing an interpretive baseline for the high-discrepancy findings. These cases are the lowest in the sample; they are not necessarily small in absolute terms.</w:t>
      </w:r>
    </w:p>
    <w:p>
      <w:pPr>
        <w:spacing w:after="120" w:line="360"/>
        <w:jc w:val="both"/>
      </w:pPr>
      <w:r>
        <w:rPr>
          <w:rFonts w:ascii="Times New Roman" w:cs="Times New Roman" w:eastAsia="Times New Roman" w:hAnsi="Times New Roman"/>
          <w:sz w:val="24"/>
          <w:szCs w:val="24"/>
        </w:rPr>
        <w:t xml:space="preserve">For each selected script, one rationale per tool is analysed—the Pass 1 rubric-embedded response—yielding up to 20 rationale texts (10 scripts × 2 tools). The rationales will be coded thematically. The coding scheme is informed by three sources: (a) prior research on AI scoring biases (Baldwin et al., 2025; Powers et al., 2002; Zheng et al., 2023), (b) the summary-writing and source-use literature (Brown &amp; Day, 1983; Keck, 2006; Kintsch &amp; van Dijk, 1978), and (c) the reading–writing criterion-separation framework, focusing on whether the tools confuse reading and writing constructs (Messick, 1989). Anticipated codes include:</w:t>
      </w:r>
    </w:p>
    <w:p>
      <w:pPr>
        <w:spacing w:after="120" w:line="360"/>
        <w:ind w:left="720"/>
        <w:jc w:val="both"/>
      </w:pPr>
      <w:r>
        <w:rPr>
          <w:rFonts w:ascii="Times New Roman" w:cs="Times New Roman" w:eastAsia="Times New Roman" w:hAnsi="Times New Roman"/>
          <w:i/>
          <w:iCs/>
          <w:sz w:val="24"/>
          <w:szCs w:val="24"/>
        </w:rPr>
        <w:t xml:space="preserve">Source fidelity errors: </w:t>
      </w:r>
      <w:r>
        <w:rPr>
          <w:rFonts w:ascii="Times New Roman" w:cs="Times New Roman" w:eastAsia="Times New Roman" w:hAnsi="Times New Roman"/>
          <w:sz w:val="24"/>
          <w:szCs w:val="24"/>
        </w:rPr>
        <w:t xml:space="preserve">AI credits a content point the student did not include, or misses one they did include; AI fails to detect meaning-changing omission or distortion</w:t>
      </w:r>
    </w:p>
    <w:p>
      <w:pPr>
        <w:spacing w:after="120" w:line="360"/>
        <w:ind w:left="720"/>
        <w:jc w:val="both"/>
      </w:pPr>
      <w:r>
        <w:rPr>
          <w:rFonts w:ascii="Times New Roman" w:cs="Times New Roman" w:eastAsia="Times New Roman" w:hAnsi="Times New Roman"/>
          <w:i/>
          <w:iCs/>
          <w:sz w:val="24"/>
          <w:szCs w:val="24"/>
        </w:rPr>
        <w:t xml:space="preserve">Construct-irrelevant rewarding: </w:t>
      </w:r>
      <w:r>
        <w:rPr>
          <w:rFonts w:ascii="Times New Roman" w:cs="Times New Roman" w:eastAsia="Times New Roman" w:hAnsi="Times New Roman"/>
          <w:sz w:val="24"/>
          <w:szCs w:val="24"/>
        </w:rPr>
        <w:t xml:space="preserve">AI over-credits fluent prose that is unfaithful to the source; AI rewards length, vocabulary sophistication or stylistic features not in the rubric</w:t>
      </w:r>
    </w:p>
    <w:p>
      <w:pPr>
        <w:spacing w:after="120" w:line="360"/>
        <w:ind w:left="720"/>
        <w:jc w:val="both"/>
      </w:pPr>
      <w:r>
        <w:rPr>
          <w:rFonts w:ascii="Times New Roman" w:cs="Times New Roman" w:eastAsia="Times New Roman" w:hAnsi="Times New Roman"/>
          <w:i/>
          <w:iCs/>
          <w:sz w:val="24"/>
          <w:szCs w:val="24"/>
        </w:rPr>
        <w:t xml:space="preserve">Observable language-feature penalisation or crediting: </w:t>
      </w:r>
      <w:r>
        <w:rPr>
          <w:rFonts w:ascii="Times New Roman" w:cs="Times New Roman" w:eastAsia="Times New Roman" w:hAnsi="Times New Roman"/>
          <w:sz w:val="24"/>
          <w:szCs w:val="24"/>
        </w:rPr>
        <w:t xml:space="preserve">AI penalises language features observable in multilingual learners’ writing that a human marker credits as effective transformation; AI fails to penalise near-copying that a human marker penalises</w:t>
      </w:r>
    </w:p>
    <w:p>
      <w:pPr>
        <w:spacing w:after="120" w:line="360"/>
        <w:ind w:left="720"/>
        <w:jc w:val="both"/>
      </w:pPr>
      <w:r>
        <w:rPr>
          <w:rFonts w:ascii="Times New Roman" w:cs="Times New Roman" w:eastAsia="Times New Roman" w:hAnsi="Times New Roman"/>
          <w:i/>
          <w:iCs/>
          <w:sz w:val="24"/>
          <w:szCs w:val="24"/>
        </w:rPr>
        <w:t xml:space="preserve">Rubric misapplication and construct confusion: </w:t>
      </w:r>
      <w:r>
        <w:rPr>
          <w:rFonts w:ascii="Times New Roman" w:cs="Times New Roman" w:eastAsia="Times New Roman" w:hAnsi="Times New Roman"/>
          <w:sz w:val="24"/>
          <w:szCs w:val="24"/>
        </w:rPr>
        <w:t xml:space="preserve">AI applies a level descriptor to the wrong criterion; AI conflates reading and writing marks (e.g., crediting fluency under the reading mark or penalising content selection under the writing mark); AI misidentifies the score band</w:t>
      </w:r>
    </w:p>
    <w:p>
      <w:pPr>
        <w:spacing w:after="120" w:line="360"/>
        <w:ind w:left="720"/>
        <w:jc w:val="both"/>
      </w:pPr>
      <w:r>
        <w:rPr>
          <w:rFonts w:ascii="Times New Roman" w:cs="Times New Roman" w:eastAsia="Times New Roman" w:hAnsi="Times New Roman"/>
          <w:i/>
          <w:iCs/>
          <w:sz w:val="24"/>
          <w:szCs w:val="24"/>
        </w:rPr>
        <w:t xml:space="preserve">Own-words transformation: </w:t>
      </w:r>
      <w:r>
        <w:rPr>
          <w:rFonts w:ascii="Times New Roman" w:cs="Times New Roman" w:eastAsia="Times New Roman" w:hAnsi="Times New Roman"/>
          <w:sz w:val="24"/>
          <w:szCs w:val="24"/>
        </w:rPr>
        <w:t xml:space="preserve">AI evaluates paraphrase quality differently from human raters; AI does not distinguish synonym substitution from structural reformulation</w:t>
      </w:r>
    </w:p>
    <w:p>
      <w:pPr>
        <w:spacing w:after="120" w:line="360"/>
        <w:jc w:val="both"/>
      </w:pPr>
      <w:r>
        <w:rPr>
          <w:rFonts w:ascii="Times New Roman" w:cs="Times New Roman" w:eastAsia="Times New Roman" w:hAnsi="Times New Roman"/>
          <w:b/>
          <w:bCs/>
          <w:sz w:val="24"/>
          <w:szCs w:val="24"/>
        </w:rPr>
        <w:t xml:space="preserve">Evidence-checking procedure. </w:t>
      </w:r>
      <w:r>
        <w:rPr>
          <w:rFonts w:ascii="Times New Roman" w:cs="Times New Roman" w:eastAsia="Times New Roman" w:hAnsi="Times New Roman"/>
          <w:sz w:val="24"/>
          <w:szCs w:val="24"/>
        </w:rPr>
        <w:t xml:space="preserve">For each of the 10 selected scripts, a structured evidence record will be compiled before coding begins. For each AI rationale claim (e.g., “the student included point X” or “the summary lacks own-words transformation”), the record documents: (a) the AI’s specific claim; (b) the relevant student wording and corresponding source-passage evidence; (c) the applicable reading or writing level descriptor; and (d) a judgement of whether the claim is supported, unsupported or ambiguous given the textual evidence. The second human rater will independently examine the 10 selected scripts and their AI rationales, completing the same evidence record, before seeing the candidate’s judgements. The raters’ original independent marks are preserved and not revisited. This procedure grounds the content analysis in verifiable textual evidence rather than impressionistic comparison.</w:t>
      </w:r>
    </w:p>
    <w:p>
      <w:pPr>
        <w:spacing w:after="120" w:line="360"/>
        <w:jc w:val="both"/>
      </w:pPr>
      <w:r>
        <w:rPr>
          <w:rFonts w:ascii="Times New Roman" w:cs="Times New Roman" w:eastAsia="Times New Roman" w:hAnsi="Times New Roman"/>
          <w:b/>
          <w:bCs/>
          <w:sz w:val="24"/>
          <w:szCs w:val="24"/>
        </w:rPr>
        <w:t xml:space="preserve">Important caveat. </w:t>
      </w:r>
      <w:r>
        <w:rPr>
          <w:rFonts w:ascii="Times New Roman" w:cs="Times New Roman" w:eastAsia="Times New Roman" w:hAnsi="Times New Roman"/>
          <w:sz w:val="24"/>
          <w:szCs w:val="24"/>
        </w:rPr>
        <w:t xml:space="preserve">AI-generated rationales are reported justifications for the marks, not verified accounts of the computational process that produced the scores. The content analysis treats them as the justifications a teacher would read and act on, not as explanations of the model’s internal scoring mechanism.</w:t>
      </w:r>
    </w:p>
    <w:p>
      <w:pPr>
        <w:spacing w:after="120" w:line="360"/>
        <w:jc w:val="both"/>
      </w:pPr>
      <w:r>
        <w:rPr>
          <w:rFonts w:ascii="Times New Roman" w:cs="Times New Roman" w:eastAsia="Times New Roman" w:hAnsi="Times New Roman"/>
          <w:sz w:val="24"/>
          <w:szCs w:val="24"/>
        </w:rPr>
        <w:t xml:space="preserve">Coding will be conducted independently by both the candidate and the second human rater using the same coding scheme. Both coders will complete the full evidence-checking procedure for all 10 selected scripts (up to 20 rationale texts) before comparing their coding. Inter-coder agreement will be reported as percentage agreement and Cohen’s kappa on the thematic codes. Disagreements will be discussed and resolved where possible; unresolved cases will be documented and reported. The supervisor will review the final coding of three selected scripts as an additional credibility check. This dual-coding procedure strengthens the qualitative strand’s trustworthiness and addresses a limitation common in prior research on AI scoring rationales, where coding was conducted by a single researcher.</w:t>
      </w:r>
    </w:p>
    <w:p>
      <w:pPr>
        <w:spacing w:after="120" w:line="360"/>
        <w:jc w:val="both"/>
      </w:pPr>
      <w:r>
        <w:rPr>
          <w:rFonts w:ascii="Times New Roman" w:cs="Times New Roman" w:eastAsia="Times New Roman" w:hAnsi="Times New Roman"/>
          <w:sz w:val="24"/>
          <w:szCs w:val="24"/>
        </w:rPr>
        <w:t xml:space="preserve">Codes will allow for defensible alternative judgements (where either the AI or the human interpretation could reasonably be correct) and unresolved cases (where the textual evidence does not clearly favour either). The analysis is a focused component of the study; it does not change any quantitative result but provides interpretive context for the correction gap (RQ2) and the reading–writing construct-separation question.</w:t>
      </w:r>
    </w:p>
    <w:p>
      <w:pPr>
        <w:spacing w:after="120" w:line="360"/>
        <w:jc w:val="both"/>
      </w:pPr>
      <w:r>
        <w:rPr>
          <w:rFonts w:ascii="Times New Roman" w:cs="Times New Roman" w:eastAsia="Times New Roman" w:hAnsi="Times New Roman"/>
          <w:b/>
          <w:bCs/>
          <w:sz w:val="24"/>
          <w:szCs w:val="24"/>
        </w:rPr>
        <w:t xml:space="preserve">Synthesis. </w:t>
      </w:r>
      <w:r>
        <w:rPr>
          <w:rFonts w:ascii="Times New Roman" w:cs="Times New Roman" w:eastAsia="Times New Roman" w:hAnsi="Times New Roman"/>
          <w:sz w:val="24"/>
          <w:szCs w:val="24"/>
        </w:rPr>
        <w:t xml:space="preserve">The synthesis draws on RQ1–RQ3 to assess whether the combined evidence supports a discrepancy-review workflow. For each tool/passage combination, the synthesis reports: (a) pass-to-pass consistency (from RQ1); (b) agreement with human raters and the direction and magnitude of the correction gap (from RQ2); and (c) the qualitative patterns that explain high-divergence cases (from RQ3). The synthesis identifies which tool/passage/criterion combinations have the strongest evidence base and which carry the greatest risk of construct-irrelevant scoring. It does not produce operational thresholds or decision rules; it provides the descriptive evidence a teacher or school would need to make an informed decision about whether and how to use a consumer AI tool as a second marker for this task.</w:t>
      </w:r>
    </w:p>
    <w:p>
      <w:pPr>
        <w:spacing w:after="120" w:line="360"/>
        <w:jc w:val="both"/>
      </w:pPr>
      <w:r>
        <w:rPr>
          <w:rFonts w:ascii="Times New Roman" w:cs="Times New Roman" w:eastAsia="Times New Roman" w:hAnsi="Times New Roman"/>
          <w:b/>
          <w:bCs/>
          <w:sz w:val="24"/>
          <w:szCs w:val="24"/>
        </w:rPr>
        <w:t xml:space="preserve">If discrepancies are small. </w:t>
      </w:r>
      <w:r>
        <w:rPr>
          <w:rFonts w:ascii="Times New Roman" w:cs="Times New Roman" w:eastAsia="Times New Roman" w:hAnsi="Times New Roman"/>
          <w:sz w:val="24"/>
          <w:szCs w:val="24"/>
        </w:rPr>
        <w:t xml:space="preserve">If AI–human agreement is high across both tools and both passages, and the content analysis reveals no systematic patterns of construct confusion or construct-irrelevant scoring, this outcome is reported as evidence that consumer AI scoring of this task, under the study’s conditions, is more consistent with human judgement than prior literature might suggest. The study’s contribution in that case lies in having established the agreement level under ecological conditions, not in having found a problem. If anticipated patterns (e.g., confusion of reading and writing constructs, penalisation of multilingual learners’ language features) do not appear in the high-discrepancy rationales, this is reported as a non-finding: the data did not support the hypothesis, and the absence is itself informative. The preregistered analysis plan will include this contingency.</w:t>
      </w:r>
    </w:p>
    <w:p>
      <w:pPr>
        <w:spacing w:after="120" w:line="360"/>
        <w:jc w:val="both"/>
      </w:pPr>
      <w:r>
        <w:rPr>
          <w:rFonts w:ascii="Times New Roman" w:cs="Times New Roman" w:eastAsia="Times New Roman" w:hAnsi="Times New Roman"/>
          <w:b/>
          <w:bCs/>
          <w:sz w:val="24"/>
          <w:szCs w:val="24"/>
        </w:rPr>
        <w:t xml:space="preserve">Teacher-judgement exercise (exploratory). </w:t>
      </w:r>
      <w:r>
        <w:rPr>
          <w:rFonts w:ascii="Times New Roman" w:cs="Times New Roman" w:eastAsia="Times New Roman" w:hAnsi="Times New Roman"/>
          <w:sz w:val="24"/>
          <w:szCs w:val="24"/>
        </w:rPr>
        <w:t xml:space="preserve">After the main analysis is complete, a brief exploratory exercise will examine whether the study’s correction-gap evidence is interpretable and actionable for practising teachers. Five to ten IGCSE-experienced colleagues (not the study’s two raters) will be shown the correction-gap profile—including AI and human scores, the direction and magnitude of the gap, and a summary of the AI’s scoring rationale—for three to five selected scripts spanning different discrepancy levels. Each colleague will be asked: (a) whether the evidence would change their own marking decision; (b) which piece of evidence (consistency, agreement or rationale) they found most informative; and (c) whether they would trust the AI tool as a second marker for this task based on the evidence presented. Responses will be collected through a short structured questionnaire and reported descriptively. This exercise does not validate the discrepancy-review workflow operationally; it provides preliminary evidence on whether the study’s outputs are useful to the teachers for whom they are intended, and it identifies directions for future research on teacher uptake. Ethics approval for this exercise will be sought as part of the main ethics application.</w:t>
      </w:r>
    </w:p>
    <w:p>
      <w:pPr>
        <w:spacing w:after="120" w:line="360"/>
        <w:jc w:val="both"/>
      </w:pPr>
      <w:r>
        <w:rPr>
          <w:rFonts w:ascii="Times New Roman" w:cs="Times New Roman" w:eastAsia="Times New Roman" w:hAnsi="Times New Roman"/>
          <w:b/>
          <w:bCs/>
          <w:sz w:val="24"/>
          <w:szCs w:val="24"/>
        </w:rPr>
        <w:t xml:space="preserve">Time-based workload comparison. </w:t>
      </w:r>
      <w:r>
        <w:rPr>
          <w:rFonts w:ascii="Times New Roman" w:cs="Times New Roman" w:eastAsia="Times New Roman" w:hAnsi="Times New Roman"/>
          <w:sz w:val="24"/>
          <w:szCs w:val="24"/>
        </w:rPr>
        <w:t xml:space="preserve">To inform the practical significance, the following time estimates will be reported from actual study timings: (a) average time per script for the AI submission and response-parsing workflow; (b) average time per script for human marking; (c) total preparation and AI-scoring time per script compared with human marking time per script. Teacher review and resolution of discrepancies are not timed and are not included in the comparison. The comparison will report two scenarios: (i) writing already available digitally, and (ii) handwritten writing requiring transcription.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rPr>
          <w:tblHeader/>
        </w:trPr>
        <w:tc>
          <w:tcPr>
            <w:tcW w:type="dxa" w:w="1200"/>
            <w:shd w:fill="E8E8E8" w:val="clear"/>
            <w:vAlign w:val="center"/>
          </w:tcPr>
          <w:p>
            <w:pPr>
              <w:spacing w:after="60"/>
            </w:pPr>
            <w:r>
              <w:rPr>
                <w:rFonts w:ascii="Times New Roman" w:cs="Times New Roman" w:eastAsia="Times New Roman" w:hAnsi="Times New Roman"/>
                <w:b/>
                <w:bCs/>
                <w:sz w:val="22"/>
                <w:szCs w:val="22"/>
              </w:rPr>
              <w:t xml:space="preserve">RQ</w:t>
            </w:r>
          </w:p>
        </w:tc>
        <w:tc>
          <w:tcPr>
            <w:tcW w:type="dxa" w:w="8000"/>
            <w:shd w:fill="E8E8E8" w:val="clear"/>
            <w:vAlign w:val="center"/>
          </w:tcPr>
          <w:p>
            <w:pPr>
              <w:spacing w:after="60"/>
            </w:pPr>
            <w:r>
              <w:rPr>
                <w:rFonts w:ascii="Times New Roman" w:cs="Times New Roman" w:eastAsia="Times New Roman" w:hAnsi="Times New Roman"/>
                <w:b/>
                <w:bCs/>
                <w:sz w:val="22"/>
                <w:szCs w:val="22"/>
              </w:rPr>
              <w:t xml:space="preserve">Analysis</w:t>
            </w:r>
          </w:p>
        </w:tc>
      </w:tr>
      <w:tr>
        <w:tc>
          <w:tcPr>
            <w:tcW w:type="dxa" w:w="1200"/>
            <w:vAlign w:val="center"/>
          </w:tcPr>
          <w:p>
            <w:pPr>
              <w:spacing w:after="60"/>
            </w:pPr>
            <w:r>
              <w:rPr>
                <w:rFonts w:ascii="Times New Roman" w:cs="Times New Roman" w:eastAsia="Times New Roman" w:hAnsi="Times New Roman"/>
                <w:sz w:val="22"/>
                <w:szCs w:val="22"/>
              </w:rPr>
              <w:t xml:space="preserve">RQ1</w:t>
            </w:r>
          </w:p>
        </w:tc>
        <w:tc>
          <w:tcPr>
            <w:tcW w:type="dxa" w:w="8000"/>
            <w:vAlign w:val="center"/>
          </w:tcPr>
          <w:p>
            <w:pPr>
              <w:spacing w:after="60"/>
            </w:pPr>
            <w:r>
              <w:rPr>
                <w:rFonts w:ascii="Times New Roman" w:cs="Times New Roman" w:eastAsia="Times New Roman" w:hAnsi="Times New Roman"/>
                <w:sz w:val="22"/>
                <w:szCs w:val="22"/>
              </w:rPr>
              <w:t xml:space="preserve">Primary: one-way random-effects ICC(1,1) across three passes per tool, passage and criterion (reading mark primary; writing mark secondary). Supplementary: per-script SD and range across three passes; exact and adjacent agreement; passage comparison</w:t>
            </w:r>
          </w:p>
        </w:tc>
      </w:tr>
      <w:tr>
        <w:tc>
          <w:tcPr>
            <w:tcW w:type="dxa" w:w="1200"/>
            <w:vAlign w:val="center"/>
          </w:tcPr>
          <w:p>
            <w:pPr>
              <w:spacing w:after="60"/>
            </w:pPr>
            <w:r>
              <w:rPr>
                <w:rFonts w:ascii="Times New Roman" w:cs="Times New Roman" w:eastAsia="Times New Roman" w:hAnsi="Times New Roman"/>
                <w:sz w:val="22"/>
                <w:szCs w:val="22"/>
              </w:rPr>
              <w:t xml:space="preserve">RQ2</w:t>
            </w:r>
          </w:p>
        </w:tc>
        <w:tc>
          <w:tcPr>
            <w:tcW w:type="dxa" w:w="8000"/>
            <w:vAlign w:val="center"/>
          </w:tcPr>
          <w:p>
            <w:pPr>
              <w:spacing w:after="60"/>
            </w:pPr>
            <w:r>
              <w:rPr>
                <w:rFonts w:ascii="Times New Roman" w:cs="Times New Roman" w:eastAsia="Times New Roman" w:hAnsi="Times New Roman"/>
                <w:sz w:val="22"/>
                <w:szCs w:val="22"/>
              </w:rPr>
              <w:t xml:space="preserve">Primary: single-run QWK and ICC(A,1), AI–H1 and AI–H2 (mean and range across passes), per passage. Supplementary: human–human baseline; correction gap per pass and passage; Bland–Altman plots</w:t>
            </w:r>
          </w:p>
        </w:tc>
      </w:tr>
      <w:tr>
        <w:tc>
          <w:tcPr>
            <w:tcW w:type="dxa" w:w="1200"/>
            <w:vAlign w:val="center"/>
          </w:tcPr>
          <w:p>
            <w:pPr>
              <w:spacing w:after="60"/>
            </w:pPr>
            <w:r>
              <w:rPr>
                <w:rFonts w:ascii="Times New Roman" w:cs="Times New Roman" w:eastAsia="Times New Roman" w:hAnsi="Times New Roman"/>
                <w:sz w:val="22"/>
                <w:szCs w:val="22"/>
              </w:rPr>
              <w:t xml:space="preserve">RQ3</w:t>
            </w:r>
          </w:p>
        </w:tc>
        <w:tc>
          <w:tcPr>
            <w:tcW w:type="dxa" w:w="8000"/>
            <w:vAlign w:val="center"/>
          </w:tcPr>
          <w:p>
            <w:pPr>
              <w:spacing w:after="60"/>
            </w:pPr>
            <w:r>
              <w:rPr>
                <w:rFonts w:ascii="Times New Roman" w:cs="Times New Roman" w:eastAsia="Times New Roman" w:hAnsi="Times New Roman"/>
                <w:sz w:val="22"/>
                <w:szCs w:val="22"/>
              </w:rPr>
              <w:t xml:space="preserve">Focused content analysis of AI rationales for 10 scripts (7 high-discrepancy, 3 low-discrepancy): dual-coded thematic coding of scoring justifications with inter-coder agreement, with attention to source fidelity, construct-irrelevant features, construct confusion (reading vs. writing) and observable language features of multilingual learners</w:t>
            </w:r>
          </w:p>
        </w:tc>
      </w:tr>
      <w:tr>
        <w:tc>
          <w:tcPr>
            <w:tcW w:type="dxa" w:w="1200"/>
            <w:vAlign w:val="center"/>
          </w:tcPr>
          <w:p>
            <w:pPr>
              <w:spacing w:after="60"/>
            </w:pPr>
            <w:r>
              <w:rPr>
                <w:rFonts w:ascii="Times New Roman" w:cs="Times New Roman" w:eastAsia="Times New Roman" w:hAnsi="Times New Roman"/>
                <w:sz w:val="22"/>
                <w:szCs w:val="22"/>
              </w:rPr>
              <w:t xml:space="preserve">Synthesis</w:t>
            </w:r>
          </w:p>
        </w:tc>
        <w:tc>
          <w:tcPr>
            <w:tcW w:type="dxa" w:w="8000"/>
            <w:vAlign w:val="center"/>
          </w:tcPr>
          <w:p>
            <w:pPr>
              <w:spacing w:after="60"/>
            </w:pPr>
            <w:r>
              <w:rPr>
                <w:rFonts w:ascii="Times New Roman" w:cs="Times New Roman" w:eastAsia="Times New Roman" w:hAnsi="Times New Roman"/>
                <w:sz w:val="22"/>
                <w:szCs w:val="22"/>
              </w:rPr>
              <w:t xml:space="preserve">Descriptive evidence base for a discrepancy-review workflow, drawing on RQ1–RQ3, by tool, passage and criterion; teacher-judgement exercise; time-based workload comparison</w:t>
            </w:r>
          </w:p>
        </w:tc>
      </w:tr>
    </w:tbl>
    <w:p>
      <w:pPr>
        <w:pStyle w:val="Heading2"/>
        <w:spacing w:after="120" w:before="240" w:line="360"/>
      </w:pPr>
      <w:r>
        <w:rPr>
          <w:rFonts w:ascii="Times New Roman" w:cs="Times New Roman" w:eastAsia="Times New Roman" w:hAnsi="Times New Roman"/>
          <w:b/>
          <w:bCs/>
          <w:sz w:val="28"/>
          <w:szCs w:val="28"/>
        </w:rPr>
        <w:t xml:space="preserve">3.8 Ethics and data protection</w:t>
      </w:r>
    </w:p>
    <w:p>
      <w:pPr>
        <w:spacing w:after="120" w:line="360"/>
        <w:jc w:val="both"/>
      </w:pPr>
      <w:r>
        <w:rPr>
          <w:rFonts w:ascii="Times New Roman" w:cs="Times New Roman" w:eastAsia="Times New Roman" w:hAnsi="Times New Roman"/>
          <w:b/>
          <w:bCs/>
          <w:sz w:val="24"/>
          <w:szCs w:val="24"/>
        </w:rPr>
        <w:t xml:space="preserve">Approvals and consent. </w:t>
      </w:r>
      <w:r>
        <w:rPr>
          <w:rFonts w:ascii="Times New Roman" w:cs="Times New Roman" w:eastAsia="Times New Roman" w:hAnsi="Times New Roman"/>
          <w:sz w:val="24"/>
          <w:szCs w:val="24"/>
        </w:rPr>
        <w:t xml:space="preserve">The study requires USM ethics approval and the principal’s permission. No data will be collected before ethics approval is in place. Whether permission from the Kurdistan Regional Government (KRG) Ministry of Education or the school’s owner is also needed will be checked before enrolment. Parental consent and student assent will be obtained independently of the teacher–student relationship; consent forms will make clear that participation has no bearing on grades, and consent collection will not be conducted by the candidate in his teaching role. Students may withdraw at any time up to the corpus-freezing date. Up to that date, the linkage key (the record matching student identity to script code) is held by the anonymiser and never seen by the candidate. After the corpus-freezing date, the linkage key is destroyed. Students will be informed of this deadline in the consent form and again before typing begins.</w:t>
      </w:r>
    </w:p>
    <w:p>
      <w:pPr>
        <w:spacing w:after="120" w:line="360"/>
        <w:jc w:val="both"/>
      </w:pPr>
      <w:r>
        <w:rPr>
          <w:rFonts w:ascii="Times New Roman" w:cs="Times New Roman" w:eastAsia="Times New Roman" w:hAnsi="Times New Roman"/>
          <w:b/>
          <w:bCs/>
          <w:sz w:val="24"/>
          <w:szCs w:val="24"/>
        </w:rPr>
        <w:t xml:space="preserve">Data access and storage. </w:t>
      </w:r>
      <w:r>
        <w:rPr>
          <w:rFonts w:ascii="Times New Roman" w:cs="Times New Roman" w:eastAsia="Times New Roman" w:hAnsi="Times New Roman"/>
          <w:sz w:val="24"/>
          <w:szCs w:val="24"/>
        </w:rPr>
        <w:t xml:space="preserve">Original handwritten scripts are held by the anonymiser only. Linkage records are held by the anonymiser only and destroyed on the corpus-freezing date. Typed scoring texts (coded, de-identified transcripts) are accessible to the candidate, the supervisor, and the second human rater. These are stored in encrypted form on USM-approved research storage. AI response logs and screenshots are accessible to the candidate and supervisor only, except that the second human rater will have access to the selected, de-identified AI responses for the 10 scripts used in the evidence-checking procedure (Section 3.7). Disagreements between the two evidence records will be documented in an evidence-review log, preserving both initial independent judgements alongside any agreed or unresolved outcome. All materials are retained for the period specified in the USM research data management policy. The anonymiser remains the continuing custodian of potentially re-identifiable originals; the ethics application will specify how access to these materials is audited.</w:t>
      </w:r>
    </w:p>
    <w:p>
      <w:pPr>
        <w:spacing w:after="120" w:line="360"/>
        <w:jc w:val="both"/>
      </w:pPr>
      <w:r>
        <w:rPr>
          <w:rFonts w:ascii="Times New Roman" w:cs="Times New Roman" w:eastAsia="Times New Roman" w:hAnsi="Times New Roman"/>
          <w:b/>
          <w:bCs/>
          <w:sz w:val="24"/>
          <w:szCs w:val="24"/>
        </w:rPr>
        <w:t xml:space="preserve">Data in AI applications. </w:t>
      </w:r>
      <w:r>
        <w:rPr>
          <w:rFonts w:ascii="Times New Roman" w:cs="Times New Roman" w:eastAsia="Times New Roman" w:hAnsi="Times New Roman"/>
          <w:sz w:val="24"/>
          <w:szCs w:val="24"/>
        </w:rPr>
        <w:t xml:space="preserve">Scripts will be coded, de-identified and typed before entering any AI application, and the model-training setting will be off in both. ChatGPT temporary chats are not used for model training and may be kept for up to 30 days for safety purposes (OpenAI, n.d.-b). Claude’s incognito chats are not used for training, even when model improvement is enabled (Anthropic, n.d.-a, n.d.-b). These terms will be checked at the time of data collection.</w:t>
      </w:r>
    </w:p>
    <w:p>
      <w:pPr>
        <w:spacing w:after="120" w:line="360"/>
        <w:jc w:val="both"/>
      </w:pPr>
      <w:r>
        <w:rPr>
          <w:rFonts w:ascii="Times New Roman" w:cs="Times New Roman" w:eastAsia="Times New Roman" w:hAnsi="Times New Roman"/>
          <w:b/>
          <w:bCs/>
          <w:sz w:val="24"/>
          <w:szCs w:val="24"/>
        </w:rPr>
        <w:t xml:space="preserve">Insider research. </w:t>
      </w:r>
      <w:r>
        <w:rPr>
          <w:rFonts w:ascii="Times New Roman" w:cs="Times New Roman" w:eastAsia="Times New Roman" w:hAnsi="Times New Roman"/>
          <w:sz w:val="24"/>
          <w:szCs w:val="24"/>
        </w:rPr>
        <w:t xml:space="preserve">The candidate occupies three roles: the students’ teacher, the principal researcher and Rater 1. This triple role is the study’s most significant ethical and methodological tension, and is mitigated at multiple levels. First, the consent process will make clear that study participation has no bearing on grades, and consent collection will not be conducted by the candidate in his teaching role. Second, all scripts are anonymised, typed verbatim and stripped of identifying content by an external anonymiser before the candidate sees any script. Third, scripts are marked in randomised order, blind to student identity and to all AI scores, with marks locked before AI scoring begins. Fourth, formal marking begins no earlier than four weeks after the last writing session, increasing temporal distance between classroom interaction and assessment. Fifth, the second human rater provides an independent, fully blind benchmark: where the candidate’s marks diverge systematically from the second rater’s, this is detectable in the H1–H2 agreement statistics. Sixth, the candidate will not conduct the re-checking of typed scripts against originals; this is the anonymiser’s responsibility. Despite these mitigations, the candidate’s familiarity with his students’ writing abilities cannot be fully eliminated. This is acknowledged as a limitation; the second rater’s marks serve as the primary check against unconscious bias.</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Chapter 4. Schedule, Outputs and Limitations</w:t>
      </w:r>
    </w:p>
    <w:p>
      <w:pPr>
        <w:pStyle w:val="Heading2"/>
        <w:spacing w:after="120" w:before="240" w:line="360"/>
      </w:pPr>
      <w:r>
        <w:rPr>
          <w:rFonts w:ascii="Times New Roman" w:cs="Times New Roman" w:eastAsia="Times New Roman" w:hAnsi="Times New Roman"/>
          <w:b/>
          <w:bCs/>
          <w:sz w:val="28"/>
          <w:szCs w:val="28"/>
        </w:rPr>
        <w:t xml:space="preserve">4.1 Timeline</w:t>
      </w:r>
    </w:p>
    <w:p>
      <w:pPr>
        <w:spacing w:after="120" w:line="360"/>
        <w:jc w:val="both"/>
      </w:pPr>
      <w:r>
        <w:rPr>
          <w:rFonts w:ascii="Times New Roman" w:cs="Times New Roman" w:eastAsia="Times New Roman" w:hAnsi="Times New Roman"/>
          <w:sz w:val="24"/>
          <w:szCs w:val="24"/>
        </w:rPr>
        <w:t xml:space="preserve">The candidature runs from September 2027 to August 2031.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spacing w:after="60"/>
            </w:pPr>
            <w:r>
              <w:rPr>
                <w:rFonts w:ascii="Times New Roman" w:cs="Times New Roman" w:eastAsia="Times New Roman" w:hAnsi="Times New Roman"/>
                <w:b/>
                <w:bCs/>
                <w:sz w:val="22"/>
                <w:szCs w:val="22"/>
              </w:rPr>
              <w:t xml:space="preserve">Period</w:t>
            </w:r>
          </w:p>
        </w:tc>
        <w:tc>
          <w:tcPr>
            <w:tcW w:type="dxa" w:w="6800"/>
            <w:shd w:fill="E8E8E8" w:val="clear"/>
            <w:vAlign w:val="center"/>
          </w:tcPr>
          <w:p>
            <w:pPr>
              <w:spacing w:after="60"/>
            </w:pPr>
            <w:r>
              <w:rPr>
                <w:rFonts w:ascii="Times New Roman" w:cs="Times New Roman" w:eastAsia="Times New Roman" w:hAnsi="Times New Roman"/>
                <w:b/>
                <w:bCs/>
                <w:sz w:val="22"/>
                <w:szCs w:val="22"/>
              </w:rPr>
              <w:t xml:space="preserve">Work</w:t>
            </w:r>
          </w:p>
        </w:tc>
      </w:tr>
      <w:tr>
        <w:tc>
          <w:tcPr>
            <w:tcW w:type="dxa" w:w="2400"/>
            <w:vAlign w:val="center"/>
          </w:tcPr>
          <w:p>
            <w:pPr>
              <w:spacing w:after="60"/>
            </w:pPr>
            <w:r>
              <w:rPr>
                <w:rFonts w:ascii="Times New Roman" w:cs="Times New Roman" w:eastAsia="Times New Roman" w:hAnsi="Times New Roman"/>
                <w:sz w:val="22"/>
                <w:szCs w:val="22"/>
              </w:rPr>
              <w:t xml:space="preserve">Before enrolment (by Aug 2027)</w:t>
            </w:r>
          </w:p>
        </w:tc>
        <w:tc>
          <w:tcPr>
            <w:tcW w:type="dxa" w:w="6800"/>
            <w:vAlign w:val="center"/>
          </w:tcPr>
          <w:p>
            <w:pPr>
              <w:spacing w:after="60"/>
            </w:pPr>
            <w:r>
              <w:rPr>
                <w:rFonts w:ascii="Times New Roman" w:cs="Times New Roman" w:eastAsia="Times New Roman" w:hAnsi="Times New Roman"/>
                <w:sz w:val="22"/>
                <w:szCs w:val="22"/>
              </w:rPr>
              <w:t xml:space="preserve">Prepare ethics documents</w:t>
            </w:r>
          </w:p>
        </w:tc>
      </w:tr>
      <w:tr>
        <w:tc>
          <w:tcPr>
            <w:tcW w:type="dxa" w:w="2400"/>
            <w:vAlign w:val="center"/>
          </w:tcPr>
          <w:p>
            <w:pPr>
              <w:spacing w:after="60"/>
            </w:pPr>
            <w:r>
              <w:rPr>
                <w:rFonts w:ascii="Times New Roman" w:cs="Times New Roman" w:eastAsia="Times New Roman" w:hAnsi="Times New Roman"/>
                <w:sz w:val="22"/>
                <w:szCs w:val="22"/>
              </w:rPr>
              <w:t xml:space="preserve">Sep–Dec 2027</w:t>
            </w:r>
          </w:p>
        </w:tc>
        <w:tc>
          <w:tcPr>
            <w:tcW w:type="dxa" w:w="6800"/>
            <w:vAlign w:val="center"/>
          </w:tcPr>
          <w:p>
            <w:pPr>
              <w:spacing w:after="60"/>
            </w:pPr>
            <w:r>
              <w:rPr>
                <w:rFonts w:ascii="Times New Roman" w:cs="Times New Roman" w:eastAsia="Times New Roman" w:hAnsi="Times New Roman"/>
                <w:sz w:val="22"/>
                <w:szCs w:val="22"/>
              </w:rPr>
              <w:t xml:space="preserve">Write both study passages, rubrics and reading keys; colleague review; structured passage-authenticity check; submit ethics application; check KRG permissions</w:t>
            </w:r>
          </w:p>
        </w:tc>
      </w:tr>
      <w:tr>
        <w:tc>
          <w:tcPr>
            <w:tcW w:type="dxa" w:w="2400"/>
            <w:vAlign w:val="center"/>
          </w:tcPr>
          <w:p>
            <w:pPr>
              <w:spacing w:after="60"/>
            </w:pPr>
            <w:r>
              <w:rPr>
                <w:rFonts w:ascii="Times New Roman" w:cs="Times New Roman" w:eastAsia="Times New Roman" w:hAnsi="Times New Roman"/>
                <w:sz w:val="22"/>
                <w:szCs w:val="22"/>
              </w:rPr>
              <w:t xml:space="preserve">Jan 2028</w:t>
            </w:r>
          </w:p>
        </w:tc>
        <w:tc>
          <w:tcPr>
            <w:tcW w:type="dxa" w:w="6800"/>
            <w:vAlign w:val="center"/>
          </w:tcPr>
          <w:p>
            <w:pPr>
              <w:spacing w:after="60"/>
            </w:pPr>
            <w:r>
              <w:rPr>
                <w:rFonts w:ascii="Times New Roman" w:cs="Times New Roman" w:eastAsia="Times New Roman" w:hAnsi="Times New Roman"/>
                <w:sz w:val="22"/>
                <w:szCs w:val="22"/>
              </w:rPr>
              <w:t xml:space="preserve">Fix the prompt wording. Run prompt-variation check on 5–10 practice scripts under two or three prompt variants (~20–30 additional submissions per tool). Run desk pilot on practice scripts (~40–60 AI submissions). Compute preliminary repeatability assessment. Run live pilot on third passage with colleague’s class (~10–15 students, one pass per tool, ~20–30 AI submissions plus third passage preparation, recruitment, transcription and human marking). Check H1–H2 agreement on pilot data; if reading-mark ICC(A,1) &lt; .60, conduct second calibration round before main-study marking. Discuss expected CI width with statistical adviser. Use results to finalise anchors and timings. Fix and preregister the analysis plan before main-study data collection.</w:t>
            </w:r>
          </w:p>
        </w:tc>
      </w:tr>
      <w:tr>
        <w:tc>
          <w:tcPr>
            <w:tcW w:type="dxa" w:w="2400"/>
            <w:vAlign w:val="center"/>
          </w:tcPr>
          <w:p>
            <w:pPr>
              <w:spacing w:after="60"/>
            </w:pPr>
            <w:r>
              <w:rPr>
                <w:rFonts w:ascii="Times New Roman" w:cs="Times New Roman" w:eastAsia="Times New Roman" w:hAnsi="Times New Roman"/>
                <w:sz w:val="22"/>
                <w:szCs w:val="22"/>
              </w:rPr>
              <w:t xml:space="preserve">Feb–Apr 2028</w:t>
            </w:r>
          </w:p>
        </w:tc>
        <w:tc>
          <w:tcPr>
            <w:tcW w:type="dxa" w:w="6800"/>
            <w:vAlign w:val="center"/>
          </w:tcPr>
          <w:p>
            <w:pPr>
              <w:spacing w:after="60"/>
            </w:pPr>
            <w:r>
              <w:rPr>
                <w:rFonts w:ascii="Times New Roman" w:cs="Times New Roman" w:eastAsia="Times New Roman" w:hAnsi="Times New Roman"/>
                <w:sz w:val="22"/>
                <w:szCs w:val="22"/>
              </w:rPr>
              <w:t xml:space="preserve">Students write summaries of both passages in separate sessions (Feb–Mar); anonymiser codes, types and re-checks all scripts before corpus freezing; locked human marking of all scripts</w:t>
            </w:r>
          </w:p>
        </w:tc>
      </w:tr>
      <w:tr>
        <w:tc>
          <w:tcPr>
            <w:tcW w:type="dxa" w:w="2400"/>
            <w:vAlign w:val="center"/>
          </w:tcPr>
          <w:p>
            <w:pPr>
              <w:spacing w:after="60"/>
            </w:pPr>
            <w:r>
              <w:rPr>
                <w:rFonts w:ascii="Times New Roman" w:cs="Times New Roman" w:eastAsia="Times New Roman" w:hAnsi="Times New Roman"/>
                <w:sz w:val="22"/>
                <w:szCs w:val="22"/>
              </w:rPr>
              <w:t xml:space="preserve">May–Aug 2028</w:t>
            </w:r>
          </w:p>
        </w:tc>
        <w:tc>
          <w:tcPr>
            <w:tcW w:type="dxa" w:w="6800"/>
            <w:vAlign w:val="center"/>
          </w:tcPr>
          <w:p>
            <w:pPr>
              <w:spacing w:after="60"/>
            </w:pPr>
            <w:r>
              <w:rPr>
                <w:rFonts w:ascii="Times New Roman" w:cs="Times New Roman" w:eastAsia="Times New Roman" w:hAnsi="Times New Roman"/>
                <w:sz w:val="22"/>
                <w:szCs w:val="22"/>
              </w:rPr>
              <w:t xml:space="preserve">AI scoring (both tools interleaved on the same days; three passes per tool within a five-day window); anchor checks; apply model-change decision rule if applicable</w:t>
            </w:r>
          </w:p>
        </w:tc>
      </w:tr>
      <w:tr>
        <w:tc>
          <w:tcPr>
            <w:tcW w:type="dxa" w:w="2400"/>
            <w:vAlign w:val="center"/>
          </w:tcPr>
          <w:p>
            <w:pPr>
              <w:spacing w:after="60"/>
            </w:pPr>
            <w:r>
              <w:rPr>
                <w:rFonts w:ascii="Times New Roman" w:cs="Times New Roman" w:eastAsia="Times New Roman" w:hAnsi="Times New Roman"/>
                <w:sz w:val="22"/>
                <w:szCs w:val="22"/>
              </w:rPr>
              <w:t xml:space="preserve">Sep 2028 – Aug 2029</w:t>
            </w:r>
          </w:p>
        </w:tc>
        <w:tc>
          <w:tcPr>
            <w:tcW w:type="dxa" w:w="6800"/>
            <w:vAlign w:val="center"/>
          </w:tcPr>
          <w:p>
            <w:pPr>
              <w:spacing w:after="60"/>
            </w:pPr>
            <w:r>
              <w:rPr>
                <w:rFonts w:ascii="Times New Roman" w:cs="Times New Roman" w:eastAsia="Times New Roman" w:hAnsi="Times New Roman"/>
                <w:sz w:val="22"/>
                <w:szCs w:val="22"/>
              </w:rPr>
              <w:t xml:space="preserve">Analysis; dual-coded content analysis of high-divergence rationales; teacher-judgement exercise; Papers 1–2 drafted</w:t>
            </w:r>
          </w:p>
        </w:tc>
      </w:tr>
      <w:tr>
        <w:tc>
          <w:tcPr>
            <w:tcW w:type="dxa" w:w="2400"/>
            <w:vAlign w:val="center"/>
          </w:tcPr>
          <w:p>
            <w:pPr>
              <w:spacing w:after="60"/>
            </w:pPr>
            <w:r>
              <w:rPr>
                <w:rFonts w:ascii="Times New Roman" w:cs="Times New Roman" w:eastAsia="Times New Roman" w:hAnsi="Times New Roman"/>
                <w:sz w:val="22"/>
                <w:szCs w:val="22"/>
              </w:rPr>
              <w:t xml:space="preserve">Sep 2029 – Aug 2031</w:t>
            </w:r>
          </w:p>
        </w:tc>
        <w:tc>
          <w:tcPr>
            <w:tcW w:type="dxa" w:w="6800"/>
            <w:vAlign w:val="center"/>
          </w:tcPr>
          <w:p>
            <w:pPr>
              <w:spacing w:after="60"/>
            </w:pPr>
            <w:r>
              <w:rPr>
                <w:rFonts w:ascii="Times New Roman" w:cs="Times New Roman" w:eastAsia="Times New Roman" w:hAnsi="Times New Roman"/>
                <w:sz w:val="22"/>
                <w:szCs w:val="22"/>
              </w:rPr>
              <w:t xml:space="preserve">Paper 3; thesis writing; final year at USM</w:t>
            </w:r>
          </w:p>
        </w:tc>
      </w:tr>
    </w:tbl>
    <w:p>
      <w:pPr>
        <w:pStyle w:val="Heading2"/>
        <w:spacing w:after="120" w:before="240" w:line="360"/>
      </w:pPr>
      <w:r>
        <w:rPr>
          <w:rFonts w:ascii="Times New Roman" w:cs="Times New Roman" w:eastAsia="Times New Roman" w:hAnsi="Times New Roman"/>
          <w:b/>
          <w:bCs/>
          <w:sz w:val="28"/>
          <w:szCs w:val="28"/>
        </w:rPr>
        <w:t xml:space="preserve">4.2 Planned outputs</w:t>
      </w:r>
    </w:p>
    <w:p>
      <w:pPr>
        <w:spacing w:after="120" w:line="360"/>
        <w:jc w:val="both"/>
      </w:pPr>
      <w:r>
        <w:rPr>
          <w:rFonts w:ascii="Times New Roman" w:cs="Times New Roman" w:eastAsia="Times New Roman" w:hAnsi="Times New Roman"/>
          <w:sz w:val="24"/>
          <w:szCs w:val="24"/>
        </w:rPr>
        <w:t xml:space="preserve">Two primary papers are planned; a third is possible if the data support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00"/>
        <w:gridCol w:w="2400"/>
      </w:tblGrid>
      <w:tr>
        <w:trPr>
          <w:tblHeader/>
        </w:trPr>
        <w:tc>
          <w:tcPr>
            <w:tcW w:type="dxa" w:w="600"/>
            <w:shd w:fill="E8E8E8" w:val="clear"/>
            <w:vAlign w:val="center"/>
          </w:tcPr>
          <w:p>
            <w:pPr>
              <w:spacing w:after="60"/>
            </w:pPr>
            <w:r>
              <w:rPr>
                <w:rFonts w:ascii="Times New Roman" w:cs="Times New Roman" w:eastAsia="Times New Roman" w:hAnsi="Times New Roman"/>
                <w:b/>
                <w:bCs/>
                <w:sz w:val="22"/>
                <w:szCs w:val="22"/>
              </w:rPr>
              <w:t xml:space="preserve">Paper</w:t>
            </w:r>
          </w:p>
        </w:tc>
        <w:tc>
          <w:tcPr>
            <w:tcW w:type="dxa" w:w="3800"/>
            <w:shd w:fill="E8E8E8" w:val="clear"/>
            <w:vAlign w:val="center"/>
          </w:tcPr>
          <w:p>
            <w:pPr>
              <w:spacing w:after="60"/>
            </w:pPr>
            <w:r>
              <w:rPr>
                <w:rFonts w:ascii="Times New Roman" w:cs="Times New Roman" w:eastAsia="Times New Roman" w:hAnsi="Times New Roman"/>
                <w:b/>
                <w:bCs/>
                <w:sz w:val="22"/>
                <w:szCs w:val="22"/>
              </w:rPr>
              <w:t xml:space="preserve">Content</w:t>
            </w:r>
          </w:p>
        </w:tc>
        <w:tc>
          <w:tcPr>
            <w:tcW w:type="dxa" w:w="2400"/>
            <w:shd w:fill="E8E8E8" w:val="clear"/>
            <w:vAlign w:val="center"/>
          </w:tcPr>
          <w:p>
            <w:pPr>
              <w:spacing w:after="60"/>
            </w:pPr>
            <w:r>
              <w:rPr>
                <w:rFonts w:ascii="Times New Roman" w:cs="Times New Roman" w:eastAsia="Times New Roman" w:hAnsi="Times New Roman"/>
                <w:b/>
                <w:bCs/>
                <w:sz w:val="22"/>
                <w:szCs w:val="22"/>
              </w:rPr>
              <w:t xml:space="preserve">Target journals</w:t>
            </w:r>
          </w:p>
        </w:tc>
        <w:tc>
          <w:tcPr>
            <w:tcW w:type="dxa" w:w="2400"/>
            <w:shd w:fill="E8E8E8" w:val="clear"/>
            <w:vAlign w:val="center"/>
          </w:tcPr>
          <w:p>
            <w:pPr>
              <w:spacing w:after="60"/>
            </w:pPr>
            <w:r>
              <w:rPr>
                <w:rFonts w:ascii="Times New Roman" w:cs="Times New Roman" w:eastAsia="Times New Roman" w:hAnsi="Times New Roman"/>
                <w:b/>
                <w:bCs/>
                <w:sz w:val="22"/>
                <w:szCs w:val="22"/>
              </w:rPr>
              <w:t xml:space="preserve">Status</w:t>
            </w:r>
          </w:p>
        </w:tc>
      </w:tr>
      <w:tr>
        <w:tc>
          <w:tcPr>
            <w:tcW w:type="dxa" w:w="600"/>
            <w:vAlign w:val="center"/>
          </w:tcPr>
          <w:p>
            <w:pPr>
              <w:spacing w:after="60"/>
            </w:pPr>
            <w:r>
              <w:rPr>
                <w:rFonts w:ascii="Times New Roman" w:cs="Times New Roman" w:eastAsia="Times New Roman" w:hAnsi="Times New Roman"/>
                <w:sz w:val="22"/>
                <w:szCs w:val="22"/>
              </w:rPr>
              <w:t xml:space="preserve">1</w:t>
            </w:r>
          </w:p>
        </w:tc>
        <w:tc>
          <w:tcPr>
            <w:tcW w:type="dxa" w:w="3800"/>
            <w:vAlign w:val="center"/>
          </w:tcPr>
          <w:p>
            <w:pPr>
              <w:spacing w:after="60"/>
            </w:pPr>
            <w:r>
              <w:rPr>
                <w:rFonts w:ascii="Times New Roman" w:cs="Times New Roman" w:eastAsia="Times New Roman" w:hAnsi="Times New Roman"/>
                <w:sz w:val="22"/>
                <w:szCs w:val="22"/>
              </w:rPr>
              <w:t xml:space="preserve">Pass-to-pass consistency and passage dependence of consumer AI scoring of IGCSE summaries (RQ1)</w:t>
            </w:r>
          </w:p>
        </w:tc>
        <w:tc>
          <w:tcPr>
            <w:tcW w:type="dxa" w:w="2400"/>
            <w:vAlign w:val="center"/>
          </w:tcPr>
          <w:p>
            <w:pPr>
              <w:spacing w:after="60"/>
            </w:pPr>
            <w:r>
              <w:rPr>
                <w:rFonts w:ascii="Times New Roman" w:cs="Times New Roman" w:eastAsia="Times New Roman" w:hAnsi="Times New Roman"/>
                <w:sz w:val="22"/>
                <w:szCs w:val="22"/>
              </w:rPr>
              <w:t xml:space="preserve">Language Testing; Language Assessment Quarterly</w:t>
            </w:r>
          </w:p>
        </w:tc>
        <w:tc>
          <w:tcPr>
            <w:tcW w:type="dxa" w:w="2400"/>
            <w:vAlign w:val="center"/>
          </w:tcPr>
          <w:p>
            <w:pPr>
              <w:spacing w:after="60"/>
            </w:pPr>
            <w:r>
              <w:rPr>
                <w:rFonts w:ascii="Times New Roman" w:cs="Times New Roman" w:eastAsia="Times New Roman" w:hAnsi="Times New Roman"/>
                <w:sz w:val="22"/>
                <w:szCs w:val="22"/>
              </w:rPr>
              <w:t xml:space="preserve">Primary</w:t>
            </w:r>
          </w:p>
        </w:tc>
      </w:tr>
      <w:tr>
        <w:tc>
          <w:tcPr>
            <w:tcW w:type="dxa" w:w="600"/>
            <w:vAlign w:val="center"/>
          </w:tcPr>
          <w:p>
            <w:pPr>
              <w:spacing w:after="60"/>
            </w:pPr>
            <w:r>
              <w:rPr>
                <w:rFonts w:ascii="Times New Roman" w:cs="Times New Roman" w:eastAsia="Times New Roman" w:hAnsi="Times New Roman"/>
                <w:sz w:val="22"/>
                <w:szCs w:val="22"/>
              </w:rPr>
              <w:t xml:space="preserve">2</w:t>
            </w:r>
          </w:p>
        </w:tc>
        <w:tc>
          <w:tcPr>
            <w:tcW w:type="dxa" w:w="3800"/>
            <w:vAlign w:val="center"/>
          </w:tcPr>
          <w:p>
            <w:pPr>
              <w:spacing w:after="60"/>
            </w:pPr>
            <w:r>
              <w:rPr>
                <w:rFonts w:ascii="Times New Roman" w:cs="Times New Roman" w:eastAsia="Times New Roman" w:hAnsi="Times New Roman"/>
                <w:sz w:val="22"/>
                <w:szCs w:val="22"/>
              </w:rPr>
              <w:t xml:space="preserve">Human vs. AI rater agreement and the scoring correction gap examined (RQ2, RQ3, Synthesis)</w:t>
            </w:r>
          </w:p>
        </w:tc>
        <w:tc>
          <w:tcPr>
            <w:tcW w:type="dxa" w:w="2400"/>
            <w:vAlign w:val="center"/>
          </w:tcPr>
          <w:p>
            <w:pPr>
              <w:spacing w:after="60"/>
            </w:pPr>
            <w:r>
              <w:rPr>
                <w:rFonts w:ascii="Times New Roman" w:cs="Times New Roman" w:eastAsia="Times New Roman" w:hAnsi="Times New Roman"/>
                <w:sz w:val="22"/>
                <w:szCs w:val="22"/>
              </w:rPr>
              <w:t xml:space="preserve">Assessing Writing; Computers and Education: Artificial Intelligence</w:t>
            </w:r>
          </w:p>
        </w:tc>
        <w:tc>
          <w:tcPr>
            <w:tcW w:type="dxa" w:w="2400"/>
            <w:vAlign w:val="center"/>
          </w:tcPr>
          <w:p>
            <w:pPr>
              <w:spacing w:after="60"/>
            </w:pPr>
            <w:r>
              <w:rPr>
                <w:rFonts w:ascii="Times New Roman" w:cs="Times New Roman" w:eastAsia="Times New Roman" w:hAnsi="Times New Roman"/>
                <w:sz w:val="22"/>
                <w:szCs w:val="22"/>
              </w:rPr>
              <w:t xml:space="preserve">Primary</w:t>
            </w:r>
          </w:p>
        </w:tc>
      </w:tr>
      <w:tr>
        <w:tc>
          <w:tcPr>
            <w:tcW w:type="dxa" w:w="600"/>
            <w:vAlign w:val="center"/>
          </w:tcPr>
          <w:p>
            <w:pPr>
              <w:spacing w:after="60"/>
            </w:pPr>
            <w:r>
              <w:rPr>
                <w:rFonts w:ascii="Times New Roman" w:cs="Times New Roman" w:eastAsia="Times New Roman" w:hAnsi="Times New Roman"/>
                <w:sz w:val="22"/>
                <w:szCs w:val="22"/>
              </w:rPr>
              <w:t xml:space="preserve">3</w:t>
            </w:r>
          </w:p>
        </w:tc>
        <w:tc>
          <w:tcPr>
            <w:tcW w:type="dxa" w:w="3800"/>
            <w:vAlign w:val="center"/>
          </w:tcPr>
          <w:p>
            <w:pPr>
              <w:spacing w:after="60"/>
            </w:pPr>
            <w:r>
              <w:rPr>
                <w:rFonts w:ascii="Times New Roman" w:cs="Times New Roman" w:eastAsia="Times New Roman" w:hAnsi="Times New Roman"/>
                <w:sz w:val="22"/>
                <w:szCs w:val="22"/>
              </w:rPr>
              <w:t xml:space="preserve">Reading–writing construct separation in AI scoring of multilingual learners’ summaries: a focused analysis of how AI tools handle source fidelity and language features (extending RQ3 beyond the scoring-agreement focus of Paper 2)</w:t>
            </w:r>
          </w:p>
        </w:tc>
        <w:tc>
          <w:tcPr>
            <w:tcW w:type="dxa" w:w="2400"/>
            <w:vAlign w:val="center"/>
          </w:tcPr>
          <w:p>
            <w:pPr>
              <w:spacing w:after="60"/>
            </w:pPr>
            <w:r>
              <w:rPr>
                <w:rFonts w:ascii="Times New Roman" w:cs="Times New Roman" w:eastAsia="Times New Roman" w:hAnsi="Times New Roman"/>
                <w:sz w:val="22"/>
                <w:szCs w:val="22"/>
              </w:rPr>
              <w:t xml:space="preserve">Journal of Second Language Writing; TESOL Quarterly</w:t>
            </w:r>
          </w:p>
        </w:tc>
        <w:tc>
          <w:tcPr>
            <w:tcW w:type="dxa" w:w="2400"/>
            <w:vAlign w:val="center"/>
          </w:tcPr>
          <w:p>
            <w:pPr>
              <w:spacing w:after="60"/>
            </w:pPr>
            <w:r>
              <w:rPr>
                <w:rFonts w:ascii="Times New Roman" w:cs="Times New Roman" w:eastAsia="Times New Roman" w:hAnsi="Times New Roman"/>
                <w:sz w:val="22"/>
                <w:szCs w:val="22"/>
              </w:rPr>
              <w:t xml:space="preserve">Conditional: only if the RQ3 data yield sufficient depth on construct confusion to sustain a standalone paper distinct from Paper 2</w:t>
            </w:r>
          </w:p>
        </w:tc>
      </w:tr>
    </w:tbl>
    <w:p>
      <w:pPr>
        <w:spacing w:after="120" w:line="360"/>
        <w:jc w:val="both"/>
      </w:pPr>
      <w:r>
        <w:rPr>
          <w:rFonts w:ascii="Times New Roman" w:cs="Times New Roman" w:eastAsia="Times New Roman" w:hAnsi="Times New Roman"/>
          <w:sz w:val="24"/>
          <w:szCs w:val="24"/>
        </w:rPr>
        <w:t xml:space="preserve">The frozen, anonymised corpus (typed scripts, rubric, reading keys and AI response logs) will be documented and, subject to ethics approval and USM data management policy, made available for replication and rescoring studies. Because the corpus is fully anonymised and the linkage key is destroyed at the corpus-freezing date, rescoring by future models requires no new participant consent. This positions the corpus as a reusable benchmark for longitudinal research on how AI scoring changes over time—a contribution that outlasts any specific model version.</w:t>
      </w:r>
    </w:p>
    <w:p>
      <w:pPr>
        <w:pStyle w:val="Heading2"/>
        <w:spacing w:after="120" w:before="240" w:line="360"/>
      </w:pPr>
      <w:r>
        <w:rPr>
          <w:rFonts w:ascii="Times New Roman" w:cs="Times New Roman" w:eastAsia="Times New Roman" w:hAnsi="Times New Roman"/>
          <w:b/>
          <w:bCs/>
          <w:sz w:val="28"/>
          <w:szCs w:val="28"/>
        </w:rPr>
        <w:t xml:space="preserve">4.3 Limitations and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E8E8E8" w:val="clear"/>
            <w:vAlign w:val="center"/>
          </w:tcPr>
          <w:p>
            <w:pPr>
              <w:spacing w:after="60"/>
            </w:pPr>
            <w:r>
              <w:rPr>
                <w:rFonts w:ascii="Times New Roman" w:cs="Times New Roman" w:eastAsia="Times New Roman" w:hAnsi="Times New Roman"/>
                <w:b/>
                <w:bCs/>
                <w:sz w:val="22"/>
                <w:szCs w:val="22"/>
              </w:rPr>
              <w:t xml:space="preserve">Limitation</w:t>
            </w:r>
          </w:p>
        </w:tc>
        <w:tc>
          <w:tcPr>
            <w:tcW w:type="dxa" w:w="6200"/>
            <w:shd w:fill="E8E8E8" w:val="clear"/>
            <w:vAlign w:val="center"/>
          </w:tcPr>
          <w:p>
            <w:pPr>
              <w:spacing w:after="60"/>
            </w:pPr>
            <w:r>
              <w:rPr>
                <w:rFonts w:ascii="Times New Roman" w:cs="Times New Roman" w:eastAsia="Times New Roman" w:hAnsi="Times New Roman"/>
                <w:b/>
                <w:bCs/>
                <w:sz w:val="22"/>
                <w:szCs w:val="22"/>
              </w:rPr>
              <w:t xml:space="preserve">Response</w:t>
            </w:r>
          </w:p>
        </w:tc>
      </w:tr>
      <w:tr>
        <w:tc>
          <w:tcPr>
            <w:tcW w:type="dxa" w:w="3000"/>
            <w:vAlign w:val="center"/>
          </w:tcPr>
          <w:p>
            <w:pPr>
              <w:spacing w:after="60"/>
            </w:pPr>
            <w:r>
              <w:rPr>
                <w:rFonts w:ascii="Times New Roman" w:cs="Times New Roman" w:eastAsia="Times New Roman" w:hAnsi="Times New Roman"/>
                <w:sz w:val="22"/>
                <w:szCs w:val="22"/>
              </w:rPr>
              <w:t xml:space="preserve">Teacher, researcher and rater are the same person</w:t>
            </w:r>
          </w:p>
        </w:tc>
        <w:tc>
          <w:tcPr>
            <w:tcW w:type="dxa" w:w="6200"/>
            <w:vAlign w:val="center"/>
          </w:tcPr>
          <w:p>
            <w:pPr>
              <w:spacing w:after="60"/>
            </w:pPr>
            <w:r>
              <w:rPr>
                <w:rFonts w:ascii="Times New Roman" w:cs="Times New Roman" w:eastAsia="Times New Roman" w:hAnsi="Times New Roman"/>
                <w:sz w:val="22"/>
                <w:szCs w:val="22"/>
              </w:rPr>
              <w:t xml:space="preserve">Independent second rater; anonymiser types and de-identifies scripts (names, school references, identifiable anecdotes removed); blind, locked marking of coded, typed scripts in random order; four-week delay between last writing session and formal marking; second rater provides fully independent benchmark; H1–H2 agreement statistics detect systematic divergence. Complete elimination of familiarity bias is impossible; acknowledged as a limitation.</w:t>
            </w:r>
          </w:p>
        </w:tc>
      </w:tr>
      <w:tr>
        <w:tc>
          <w:tcPr>
            <w:tcW w:type="dxa" w:w="3000"/>
            <w:vAlign w:val="center"/>
          </w:tcPr>
          <w:p>
            <w:pPr>
              <w:spacing w:after="60"/>
            </w:pPr>
            <w:r>
              <w:rPr>
                <w:rFonts w:ascii="Times New Roman" w:cs="Times New Roman" w:eastAsia="Times New Roman" w:hAnsi="Times New Roman"/>
                <w:sz w:val="22"/>
                <w:szCs w:val="22"/>
              </w:rPr>
              <w:t xml:space="preserve">One school, one task</w:t>
            </w:r>
          </w:p>
        </w:tc>
        <w:tc>
          <w:tcPr>
            <w:tcW w:type="dxa" w:w="6200"/>
            <w:vAlign w:val="center"/>
          </w:tcPr>
          <w:p>
            <w:pPr>
              <w:spacing w:after="60"/>
            </w:pPr>
            <w:r>
              <w:rPr>
                <w:rFonts w:ascii="Times New Roman" w:cs="Times New Roman" w:eastAsia="Times New Roman" w:hAnsi="Times New Roman"/>
                <w:sz w:val="22"/>
                <w:szCs w:val="22"/>
              </w:rPr>
              <w:t xml:space="preserve">A deliberately controlled design; passage effects are estimated with two passages; claims are bounded to this task type and school context</w:t>
            </w:r>
          </w:p>
        </w:tc>
      </w:tr>
      <w:tr>
        <w:tc>
          <w:tcPr>
            <w:tcW w:type="dxa" w:w="3000"/>
            <w:vAlign w:val="center"/>
          </w:tcPr>
          <w:p>
            <w:pPr>
              <w:spacing w:after="60"/>
            </w:pPr>
            <w:r>
              <w:rPr>
                <w:rFonts w:ascii="Times New Roman" w:cs="Times New Roman" w:eastAsia="Times New Roman" w:hAnsi="Times New Roman"/>
                <w:sz w:val="22"/>
                <w:szCs w:val="22"/>
              </w:rPr>
              <w:t xml:space="preserve">Two passages, both researcher-written</w:t>
            </w:r>
          </w:p>
        </w:tc>
        <w:tc>
          <w:tcPr>
            <w:tcW w:type="dxa" w:w="6200"/>
            <w:vAlign w:val="center"/>
          </w:tcPr>
          <w:p>
            <w:pPr>
              <w:spacing w:after="60"/>
            </w:pPr>
            <w:r>
              <w:rPr>
                <w:rFonts w:ascii="Times New Roman" w:cs="Times New Roman" w:eastAsia="Times New Roman" w:hAnsi="Times New Roman"/>
                <w:sz w:val="22"/>
                <w:szCs w:val="22"/>
              </w:rPr>
              <w:t xml:space="preserve">Structured authenticity check against real 0500 passages by independent colleagues; passage comparison within the study</w:t>
            </w:r>
          </w:p>
        </w:tc>
      </w:tr>
      <w:tr>
        <w:tc>
          <w:tcPr>
            <w:tcW w:type="dxa" w:w="3000"/>
            <w:vAlign w:val="center"/>
          </w:tcPr>
          <w:p>
            <w:pPr>
              <w:spacing w:after="60"/>
            </w:pPr>
            <w:r>
              <w:rPr>
                <w:rFonts w:ascii="Times New Roman" w:cs="Times New Roman" w:eastAsia="Times New Roman" w:hAnsi="Times New Roman"/>
                <w:sz w:val="22"/>
                <w:szCs w:val="22"/>
              </w:rPr>
              <w:t xml:space="preserve">130–160 scripts (65–80 students × 2 passages)</w:t>
            </w:r>
          </w:p>
        </w:tc>
        <w:tc>
          <w:tcPr>
            <w:tcW w:type="dxa" w:w="6200"/>
            <w:vAlign w:val="center"/>
          </w:tcPr>
          <w:p>
            <w:pPr>
              <w:spacing w:after="60"/>
            </w:pPr>
            <w:r>
              <w:rPr>
                <w:rFonts w:ascii="Times New Roman" w:cs="Times New Roman" w:eastAsia="Times New Roman" w:hAnsi="Times New Roman"/>
                <w:sz w:val="22"/>
                <w:szCs w:val="22"/>
              </w:rPr>
              <w:t xml:space="preserve">Sensitivity analysis reported; bootstrapped 95% CIs reported</w:t>
            </w:r>
          </w:p>
        </w:tc>
      </w:tr>
      <w:tr>
        <w:tc>
          <w:tcPr>
            <w:tcW w:type="dxa" w:w="3000"/>
            <w:vAlign w:val="center"/>
          </w:tcPr>
          <w:p>
            <w:pPr>
              <w:spacing w:after="60"/>
            </w:pPr>
            <w:r>
              <w:rPr>
                <w:rFonts w:ascii="Times New Roman" w:cs="Times New Roman" w:eastAsia="Times New Roman" w:hAnsi="Times New Roman"/>
                <w:sz w:val="22"/>
                <w:szCs w:val="22"/>
              </w:rPr>
              <w:t xml:space="preserve">Three passes limit repeatability precision relative to operational AES systems</w:t>
            </w:r>
          </w:p>
        </w:tc>
        <w:tc>
          <w:tcPr>
            <w:tcW w:type="dxa" w:w="6200"/>
            <w:vAlign w:val="center"/>
          </w:tcPr>
          <w:p>
            <w:pPr>
              <w:spacing w:after="60"/>
            </w:pPr>
            <w:r>
              <w:rPr>
                <w:rFonts w:ascii="Times New Roman" w:cs="Times New Roman" w:eastAsia="Times New Roman" w:hAnsi="Times New Roman"/>
                <w:sz w:val="22"/>
                <w:szCs w:val="22"/>
              </w:rPr>
              <w:t xml:space="preserve">Three passes provide a within-script variance estimate based on three data points rather than a single difference; tool-level ICC(1,1) is well-supported but individual-script precision remains limited. More passes would improve precision but exceed the study’s practical constraints.</w:t>
            </w:r>
          </w:p>
        </w:tc>
      </w:tr>
      <w:tr>
        <w:tc>
          <w:tcPr>
            <w:tcW w:type="dxa" w:w="3000"/>
            <w:vAlign w:val="center"/>
          </w:tcPr>
          <w:p>
            <w:pPr>
              <w:spacing w:after="60"/>
            </w:pPr>
            <w:r>
              <w:rPr>
                <w:rFonts w:ascii="Times New Roman" w:cs="Times New Roman" w:eastAsia="Times New Roman" w:hAnsi="Times New Roman"/>
                <w:sz w:val="22"/>
                <w:szCs w:val="22"/>
              </w:rPr>
              <w:t xml:space="preserve">Counterbalanced but not fully crossed passage order</w:t>
            </w:r>
          </w:p>
        </w:tc>
        <w:tc>
          <w:tcPr>
            <w:tcW w:type="dxa" w:w="6200"/>
            <w:vAlign w:val="center"/>
          </w:tcPr>
          <w:p>
            <w:pPr>
              <w:spacing w:after="60"/>
            </w:pPr>
            <w:r>
              <w:rPr>
                <w:rFonts w:ascii="Times New Roman" w:cs="Times New Roman" w:eastAsia="Times New Roman" w:hAnsi="Times New Roman"/>
                <w:sz w:val="22"/>
                <w:szCs w:val="22"/>
              </w:rPr>
              <w:t xml:space="preserve">Random assignment of A–B / B–A within each class controls for order at the group level; individual order effects cannot be estimated with only two passages</w:t>
            </w:r>
          </w:p>
        </w:tc>
      </w:tr>
      <w:tr>
        <w:tc>
          <w:tcPr>
            <w:tcW w:type="dxa" w:w="3000"/>
            <w:vAlign w:val="center"/>
          </w:tcPr>
          <w:p>
            <w:pPr>
              <w:spacing w:after="60"/>
            </w:pPr>
            <w:r>
              <w:rPr>
                <w:rFonts w:ascii="Times New Roman" w:cs="Times New Roman" w:eastAsia="Times New Roman" w:hAnsi="Times New Roman"/>
                <w:sz w:val="22"/>
                <w:szCs w:val="22"/>
              </w:rPr>
              <w:t xml:space="preserve">Two tools, not the full market</w:t>
            </w:r>
          </w:p>
        </w:tc>
        <w:tc>
          <w:tcPr>
            <w:tcW w:type="dxa" w:w="6200"/>
            <w:vAlign w:val="center"/>
          </w:tcPr>
          <w:p>
            <w:pPr>
              <w:spacing w:after="60"/>
            </w:pPr>
            <w:r>
              <w:rPr>
                <w:rFonts w:ascii="Times New Roman" w:cs="Times New Roman" w:eastAsia="Times New Roman" w:hAnsi="Times New Roman"/>
                <w:sz w:val="22"/>
                <w:szCs w:val="22"/>
              </w:rPr>
              <w:t xml:space="preserve">ChatGPT and Claude are two widely used consumer AI chat applications; other tools are excluded; claims are limited to the tools studied</w:t>
            </w:r>
          </w:p>
        </w:tc>
      </w:tr>
      <w:tr>
        <w:tc>
          <w:tcPr>
            <w:tcW w:type="dxa" w:w="3000"/>
            <w:vAlign w:val="center"/>
          </w:tcPr>
          <w:p>
            <w:pPr>
              <w:spacing w:after="60"/>
            </w:pPr>
            <w:r>
              <w:rPr>
                <w:rFonts w:ascii="Times New Roman" w:cs="Times New Roman" w:eastAsia="Times New Roman" w:hAnsi="Times New Roman"/>
                <w:sz w:val="22"/>
                <w:szCs w:val="22"/>
              </w:rPr>
              <w:t xml:space="preserve">Single scoring wave</w:t>
            </w:r>
          </w:p>
        </w:tc>
        <w:tc>
          <w:tcPr>
            <w:tcW w:type="dxa" w:w="6200"/>
            <w:vAlign w:val="center"/>
          </w:tcPr>
          <w:p>
            <w:pPr>
              <w:spacing w:after="60"/>
            </w:pPr>
            <w:r>
              <w:rPr>
                <w:rFonts w:ascii="Times New Roman" w:cs="Times New Roman" w:eastAsia="Times New Roman" w:hAnsi="Times New Roman"/>
                <w:sz w:val="22"/>
                <w:szCs w:val="22"/>
              </w:rPr>
              <w:t xml:space="preserve">Temporal drift is not addressed; this is left for future research, which could rescore the same frozen corpus</w:t>
            </w:r>
          </w:p>
        </w:tc>
      </w:tr>
      <w:tr>
        <w:tc>
          <w:tcPr>
            <w:tcW w:type="dxa" w:w="3000"/>
            <w:vAlign w:val="center"/>
          </w:tcPr>
          <w:p>
            <w:pPr>
              <w:spacing w:after="60"/>
            </w:pPr>
            <w:r>
              <w:rPr>
                <w:rFonts w:ascii="Times New Roman" w:cs="Times New Roman" w:eastAsia="Times New Roman" w:hAnsi="Times New Roman"/>
                <w:sz w:val="22"/>
                <w:szCs w:val="22"/>
              </w:rPr>
              <w:t xml:space="preserve">Prompt sensitivity</w:t>
            </w:r>
          </w:p>
        </w:tc>
        <w:tc>
          <w:tcPr>
            <w:tcW w:type="dxa" w:w="6200"/>
            <w:vAlign w:val="center"/>
          </w:tcPr>
          <w:p>
            <w:pPr>
              <w:spacing w:after="60"/>
            </w:pPr>
            <w:r>
              <w:rPr>
                <w:rFonts w:ascii="Times New Roman" w:cs="Times New Roman" w:eastAsia="Times New Roman" w:hAnsi="Times New Roman"/>
                <w:sz w:val="22"/>
                <w:szCs w:val="22"/>
              </w:rPr>
              <w:t xml:space="preserve">A prompt-variation check during the desk pilot provides evidence that the chosen framing is not producing anomalous results relative to reasonable alternatives. The study does not optimise the prompt; it uses a single fixed framing that mirrors the ecological condition of a teacher writing a marking instruction.</w:t>
            </w:r>
          </w:p>
        </w:tc>
      </w:tr>
      <w:tr>
        <w:tc>
          <w:tcPr>
            <w:tcW w:type="dxa" w:w="3000"/>
            <w:vAlign w:val="center"/>
          </w:tcPr>
          <w:p>
            <w:pPr>
              <w:spacing w:after="60"/>
            </w:pPr>
            <w:r>
              <w:rPr>
                <w:rFonts w:ascii="Times New Roman" w:cs="Times New Roman" w:eastAsia="Times New Roman" w:hAnsi="Times New Roman"/>
                <w:sz w:val="22"/>
                <w:szCs w:val="22"/>
              </w:rPr>
              <w:t xml:space="preserve">Content analysis dual-coded but not independently validated</w:t>
            </w:r>
          </w:p>
        </w:tc>
        <w:tc>
          <w:tcPr>
            <w:tcW w:type="dxa" w:w="6200"/>
            <w:vAlign w:val="center"/>
          </w:tcPr>
          <w:p>
            <w:pPr>
              <w:spacing w:after="60"/>
            </w:pPr>
            <w:r>
              <w:rPr>
                <w:rFonts w:ascii="Times New Roman" w:cs="Times New Roman" w:eastAsia="Times New Roman" w:hAnsi="Times New Roman"/>
                <w:sz w:val="22"/>
                <w:szCs w:val="22"/>
              </w:rPr>
              <w:t xml:space="preserve">Both the candidate and the second human rater independently code all 10 selected scripts using the same coding scheme, and inter-coder agreement is reported. The supervisor reviews a sample as an additional credibility check. This strengthens trustworthiness relative to single-coder designs but does not constitute expert panel validation.</w:t>
            </w:r>
          </w:p>
        </w:tc>
      </w:tr>
      <w:tr>
        <w:tc>
          <w:tcPr>
            <w:tcW w:type="dxa" w:w="3000"/>
            <w:vAlign w:val="center"/>
          </w:tcPr>
          <w:p>
            <w:pPr>
              <w:spacing w:after="60"/>
            </w:pPr>
            <w:r>
              <w:rPr>
                <w:rFonts w:ascii="Times New Roman" w:cs="Times New Roman" w:eastAsia="Times New Roman" w:hAnsi="Times New Roman"/>
                <w:sz w:val="22"/>
                <w:szCs w:val="22"/>
              </w:rPr>
              <w:t xml:space="preserve">Discrepancy-review workflow not tested with teachers</w:t>
            </w:r>
          </w:p>
        </w:tc>
        <w:tc>
          <w:tcPr>
            <w:tcW w:type="dxa" w:w="6200"/>
            <w:vAlign w:val="center"/>
          </w:tcPr>
          <w:p>
            <w:pPr>
              <w:spacing w:after="60"/>
            </w:pPr>
            <w:r>
              <w:rPr>
                <w:rFonts w:ascii="Times New Roman" w:cs="Times New Roman" w:eastAsia="Times New Roman" w:hAnsi="Times New Roman"/>
                <w:sz w:val="22"/>
                <w:szCs w:val="22"/>
              </w:rPr>
              <w:t xml:space="preserve">An exploratory teacher-judgement exercise provides preliminary evidence on whether the correction-gap evidence is interpretable and actionable for practising teachers. This does not validate the workflow operationally; it identifies directions for future research on teacher uptake.</w:t>
            </w:r>
          </w:p>
        </w:tc>
      </w:tr>
      <w:tr>
        <w:tc>
          <w:tcPr>
            <w:tcW w:type="dxa" w:w="3000"/>
            <w:vAlign w:val="center"/>
          </w:tcPr>
          <w:p>
            <w:pPr>
              <w:spacing w:after="60"/>
            </w:pPr>
            <w:r>
              <w:rPr>
                <w:rFonts w:ascii="Times New Roman" w:cs="Times New Roman" w:eastAsia="Times New Roman" w:hAnsi="Times New Roman"/>
                <w:sz w:val="22"/>
                <w:szCs w:val="22"/>
              </w:rPr>
              <w:t xml:space="preserve">No comparison group for classroom use</w:t>
            </w:r>
          </w:p>
        </w:tc>
        <w:tc>
          <w:tcPr>
            <w:tcW w:type="dxa" w:w="6200"/>
            <w:vAlign w:val="center"/>
          </w:tcPr>
          <w:p>
            <w:pPr>
              <w:spacing w:after="60"/>
            </w:pPr>
            <w:r>
              <w:rPr>
                <w:rFonts w:ascii="Times New Roman" w:cs="Times New Roman" w:eastAsia="Times New Roman" w:hAnsi="Times New Roman"/>
                <w:sz w:val="22"/>
                <w:szCs w:val="22"/>
              </w:rPr>
              <w:t xml:space="preserve">The study does not include a classroom teaching strand; it provides scoring evidence only</w:t>
            </w:r>
          </w:p>
        </w:tc>
      </w:tr>
      <w:tr>
        <w:tc>
          <w:tcPr>
            <w:tcW w:type="dxa" w:w="3000"/>
            <w:vAlign w:val="center"/>
          </w:tcPr>
          <w:p>
            <w:pPr>
              <w:spacing w:after="60"/>
            </w:pPr>
            <w:r>
              <w:rPr>
                <w:rFonts w:ascii="Times New Roman" w:cs="Times New Roman" w:eastAsia="Times New Roman" w:hAnsi="Times New Roman"/>
                <w:sz w:val="22"/>
                <w:szCs w:val="22"/>
              </w:rPr>
              <w:t xml:space="preserve">Pilot-informed thresholds</w:t>
            </w:r>
          </w:p>
        </w:tc>
        <w:tc>
          <w:tcPr>
            <w:tcW w:type="dxa" w:w="6200"/>
            <w:vAlign w:val="center"/>
          </w:tcPr>
          <w:p>
            <w:pPr>
              <w:spacing w:after="60"/>
            </w:pPr>
            <w:r>
              <w:rPr>
                <w:rFonts w:ascii="Times New Roman" w:cs="Times New Roman" w:eastAsia="Times New Roman" w:hAnsi="Times New Roman"/>
                <w:sz w:val="22"/>
                <w:szCs w:val="22"/>
              </w:rPr>
              <w:t xml:space="preserve">Anchor-monitoring and analysis parameters are informed by a small pilot sample, not validated against a population cutoff; they are fixed and preregistered before main-study data collection but reflect observed pilot variability, not independently validated benchmarks</w:t>
            </w:r>
          </w:p>
        </w:tc>
      </w:tr>
    </w:tbl>
    <w:p>
      <w:pPr>
        <w:pStyle w:val="Heading2"/>
        <w:spacing w:after="120" w:before="240" w:line="360"/>
      </w:pPr>
      <w:r>
        <w:rPr>
          <w:rFonts w:ascii="Times New Roman" w:cs="Times New Roman" w:eastAsia="Times New Roman" w:hAnsi="Times New Roman"/>
          <w:b/>
          <w:bCs/>
          <w:sz w:val="28"/>
          <w:szCs w:val="28"/>
        </w:rPr>
        <w:t xml:space="preserve">4.4 Expected contribution</w:t>
      </w:r>
    </w:p>
    <w:p>
      <w:pPr>
        <w:spacing w:after="120" w:line="360"/>
        <w:jc w:val="both"/>
      </w:pPr>
      <w:r>
        <w:rPr>
          <w:rFonts w:ascii="Times New Roman" w:cs="Times New Roman" w:eastAsia="Times New Roman" w:hAnsi="Times New Roman"/>
          <w:sz w:val="24"/>
          <w:szCs w:val="24"/>
        </w:rPr>
        <w:t xml:space="preserve">The study is expected to contribute in four ways.</w:t>
      </w:r>
    </w:p>
    <w:p>
      <w:pPr>
        <w:spacing w:after="120" w:line="360"/>
        <w:jc w:val="both"/>
      </w:pPr>
      <w:r>
        <w:rPr>
          <w:rFonts w:ascii="Times New Roman" w:cs="Times New Roman" w:eastAsia="Times New Roman" w:hAnsi="Times New Roman"/>
          <w:sz w:val="24"/>
          <w:szCs w:val="24"/>
        </w:rPr>
        <w:t xml:space="preserve">Empirically, it will estimate pass-to-pass consistency, human–AI agreement and the scoring correction gap for two widely used consumer AI tools on an authentic qualification-relevant secondary assessment task (IGCSE) across two passages, under the ecological conditions of consumer access. Its central contribution can be stated precisely: whether consumer AI scoring of an IGCSE selective summary is sufficiently consistent and sufficiently aligned with human judgement to support a discrepancy-review workflow, and where it is not, what the pattern of failure reveals.</w:t>
      </w:r>
    </w:p>
    <w:p>
      <w:pPr>
        <w:spacing w:after="120" w:line="360"/>
        <w:jc w:val="both"/>
      </w:pPr>
      <w:r>
        <w:rPr>
          <w:rFonts w:ascii="Times New Roman" w:cs="Times New Roman" w:eastAsia="Times New Roman" w:hAnsi="Times New Roman"/>
          <w:sz w:val="24"/>
          <w:szCs w:val="24"/>
        </w:rPr>
        <w:t xml:space="preserve">Conceptually, it will propose the scoring correction gap as an analytical label for describing, at the criterion level, what a teacher must understand about an AI mark before acting on it, supported by a structured evidence-checking procedure that verifies AI justifications against the student text, source passage and rubric descriptors. The reading–writing criterion-separation analysis will contribute to the broader question of whether AI scoring confuses reading and writing constructs or introduces construct-irrelevant variance for multilingual populations on source-based tasks.</w:t>
      </w:r>
    </w:p>
    <w:p>
      <w:pPr>
        <w:spacing w:after="120" w:line="360"/>
        <w:jc w:val="both"/>
      </w:pPr>
      <w:r>
        <w:rPr>
          <w:rFonts w:ascii="Times New Roman" w:cs="Times New Roman" w:eastAsia="Times New Roman" w:hAnsi="Times New Roman"/>
          <w:sz w:val="24"/>
          <w:szCs w:val="24"/>
        </w:rPr>
        <w:t xml:space="preserve">Practically, it will provide the descriptive evidence base—consistency statistics, agreement benchmarks, correction-gap profiles and qualitative explanations—that a teacher or school would need to make an informed decision about using a consumer AI tool as a second marker for this task. The evidence base is intended as a foundation for further validation rather than immediate operational adoption.</w:t>
      </w:r>
    </w:p>
    <w:p>
      <w:pPr>
        <w:spacing w:after="120" w:line="360"/>
        <w:jc w:val="both"/>
      </w:pPr>
      <w:r>
        <w:rPr>
          <w:rFonts w:ascii="Times New Roman" w:cs="Times New Roman" w:eastAsia="Times New Roman" w:hAnsi="Times New Roman"/>
          <w:sz w:val="24"/>
          <w:szCs w:val="24"/>
        </w:rPr>
        <w:t xml:space="preserve">The study also produces a reusable methodological asset. The frozen, anonymised corpus—comprising 130–160 typed student summaries of two original passages, a study rubric with reading keys, and complete AI response logs—can be rescored by future AI models without new data collection. This enables longitudinal tracking of how consumer AI scoring changes over time, a research question this study’s single scoring wave cannot address. The corpus, scoring protocol and analysis code will be documented for replication, subject to ethics approval and USM data management policy.</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Appendix A. Draft Prompt Framing</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This wording is illustrative only. The final wording will be fixed before data collection and then never changed. Square-bracketed items are placeholders.</w:t>
      </w:r>
    </w:p>
    <w:p>
      <w:pPr>
        <w:spacing w:after="120" w:line="360"/>
        <w:jc w:val="both"/>
      </w:pPr>
      <w:r>
        <w:rPr>
          <w:rFonts w:ascii="Times New Roman" w:cs="Times New Roman" w:eastAsia="Times New Roman" w:hAnsi="Times New Roman"/>
          <w:b/>
          <w:bCs/>
          <w:sz w:val="24"/>
          <w:szCs w:val="24"/>
        </w:rPr>
        <w:t xml:space="preserve">Rubric-embedded framing</w:t>
      </w:r>
    </w:p>
    <w:p>
      <w:pPr>
        <w:spacing w:after="120" w:line="360"/>
        <w:ind w:left="720"/>
        <w:jc w:val="both"/>
      </w:pPr>
      <w:r>
        <w:rPr>
          <w:rFonts w:ascii="Times New Roman" w:cs="Times New Roman" w:eastAsia="Times New Roman" w:hAnsi="Times New Roman"/>
          <w:sz w:val="24"/>
          <w:szCs w:val="24"/>
        </w:rPr>
        <w:t xml:space="preserve">Below are a reading passage, a summary task, and a student’s summary written in response to the task.</w:t>
      </w:r>
    </w:p>
    <w:p>
      <w:pPr>
        <w:spacing w:after="120" w:line="360"/>
        <w:ind w:left="720"/>
        <w:jc w:val="both"/>
      </w:pPr>
      <w:r>
        <w:rPr>
          <w:rFonts w:ascii="Times New Roman" w:cs="Times New Roman" w:eastAsia="Times New Roman" w:hAnsi="Times New Roman"/>
          <w:sz w:val="24"/>
          <w:szCs w:val="24"/>
        </w:rPr>
        <w:t xml:space="preserve">PASSAGE: [PASSAGE]</w:t>
      </w:r>
    </w:p>
    <w:p>
      <w:pPr>
        <w:spacing w:after="120" w:line="360"/>
        <w:ind w:left="720"/>
        <w:jc w:val="both"/>
      </w:pPr>
      <w:r>
        <w:rPr>
          <w:rFonts w:ascii="Times New Roman" w:cs="Times New Roman" w:eastAsia="Times New Roman" w:hAnsi="Times New Roman"/>
          <w:sz w:val="24"/>
          <w:szCs w:val="24"/>
        </w:rPr>
        <w:t xml:space="preserve">TASK: [TASK]</w:t>
      </w:r>
    </w:p>
    <w:p>
      <w:pPr>
        <w:spacing w:after="120" w:line="360"/>
        <w:ind w:left="720"/>
        <w:jc w:val="both"/>
      </w:pPr>
      <w:r>
        <w:rPr>
          <w:rFonts w:ascii="Times New Roman" w:cs="Times New Roman" w:eastAsia="Times New Roman" w:hAnsi="Times New Roman"/>
          <w:sz w:val="24"/>
          <w:szCs w:val="24"/>
        </w:rPr>
        <w:t xml:space="preserve">STUDENT’S SUMMARY: [SUMMARY]</w:t>
      </w:r>
    </w:p>
    <w:p>
      <w:pPr>
        <w:spacing w:after="120" w:line="360"/>
        <w:ind w:left="720"/>
        <w:jc w:val="both"/>
      </w:pPr>
      <w:r>
        <w:rPr>
          <w:rFonts w:ascii="Times New Roman" w:cs="Times New Roman" w:eastAsia="Times New Roman" w:hAnsi="Times New Roman"/>
          <w:sz w:val="24"/>
          <w:szCs w:val="24"/>
        </w:rPr>
        <w:t xml:space="preserve">The student’s summary may contain text marked [crossed out] or [illegible]. Text marked [crossed out] is excluded from the word count and is not credited. Text marked [illegible] is likewise excluded from the word count; note any [illegible] passages when they affect the creditability of content.</w:t>
      </w:r>
    </w:p>
    <w:p>
      <w:pPr>
        <w:spacing w:after="120" w:line="360"/>
        <w:ind w:left="720"/>
        <w:jc w:val="both"/>
      </w:pPr>
      <w:r>
        <w:rPr>
          <w:rFonts w:ascii="Times New Roman" w:cs="Times New Roman" w:eastAsia="Times New Roman" w:hAnsi="Times New Roman"/>
          <w:sz w:val="24"/>
          <w:szCs w:val="24"/>
        </w:rPr>
        <w:t xml:space="preserve">Mark this summary. It is marked out of 10 for reading and 5 for writing.</w:t>
      </w:r>
    </w:p>
    <w:p>
      <w:pPr>
        <w:spacing w:after="120" w:line="360"/>
        <w:ind w:left="720"/>
        <w:jc w:val="both"/>
      </w:pPr>
      <w:r>
        <w:rPr>
          <w:rFonts w:ascii="Times New Roman" w:cs="Times New Roman" w:eastAsia="Times New Roman" w:hAnsi="Times New Roman"/>
          <w:sz w:val="24"/>
          <w:szCs w:val="24"/>
        </w:rPr>
        <w:t xml:space="preserve">Use the following marking rubric: [RUBRIC]</w:t>
      </w:r>
    </w:p>
    <w:p>
      <w:pPr>
        <w:spacing w:after="120" w:line="360"/>
        <w:ind w:left="720"/>
        <w:jc w:val="both"/>
      </w:pPr>
      <w:r>
        <w:rPr>
          <w:rFonts w:ascii="Times New Roman" w:cs="Times New Roman" w:eastAsia="Times New Roman" w:hAnsi="Times New Roman"/>
          <w:sz w:val="24"/>
          <w:szCs w:val="24"/>
        </w:rPr>
        <w:t xml:space="preserve">Award the reading mark holistically using the level descriptors in the rubric above. The reading key below lists indicative content points to help you understand what the passage offers; treat it as a guide, not a checklist to convert into marks. Other valid ideas not listed here may be credited. [READING KEY]</w:t>
      </w:r>
    </w:p>
    <w:p>
      <w:pPr>
        <w:spacing w:after="120" w:line="360"/>
        <w:ind w:left="720"/>
        <w:jc w:val="both"/>
      </w:pPr>
      <w:r>
        <w:rPr>
          <w:rFonts w:ascii="Times New Roman" w:cs="Times New Roman" w:eastAsia="Times New Roman" w:hAnsi="Times New Roman"/>
          <w:sz w:val="24"/>
          <w:szCs w:val="24"/>
        </w:rPr>
        <w:t xml:space="preserve">Give your marks on the first line in exactly this form: Reading _/10; Writing _/5</w:t>
      </w:r>
    </w:p>
    <w:p>
      <w:pPr>
        <w:spacing w:after="120" w:line="360"/>
        <w:ind w:left="720"/>
        <w:jc w:val="both"/>
      </w:pPr>
      <w:r>
        <w:rPr>
          <w:rFonts w:ascii="Times New Roman" w:cs="Times New Roman" w:eastAsia="Times New Roman" w:hAnsi="Times New Roman"/>
          <w:sz w:val="24"/>
          <w:szCs w:val="24"/>
        </w:rPr>
        <w:t xml:space="preserve">Then give a short reason for your marks, with reference to the level descriptors.</w:t>
      </w:r>
    </w:p>
    <w:p>
      <w:pPr>
        <w:spacing w:after="120" w:line="360"/>
        <w:jc w:val="both"/>
      </w:pPr>
      <w:r>
        <w:rPr>
          <w:rFonts w:ascii="Times New Roman" w:cs="Times New Roman" w:eastAsia="Times New Roman" w:hAnsi="Times New Roman"/>
          <w:i/>
          <w:iCs/>
          <w:sz w:val="24"/>
          <w:szCs w:val="24"/>
        </w:rPr>
        <w:t xml:space="preserve">Fixed in advance: </w:t>
      </w:r>
      <w:r>
        <w:rPr>
          <w:rFonts w:ascii="Times New Roman" w:cs="Times New Roman" w:eastAsia="Times New Roman" w:hAnsi="Times New Roman"/>
          <w:sz w:val="24"/>
          <w:szCs w:val="24"/>
        </w:rPr>
        <w:t xml:space="preserve">the handling of refusals and of out-of-range or unparseable answers, and the parsing rule for the output line.</w:t>
      </w:r>
    </w:p>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Appendix B. Fields of the Session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spacing w:after="60"/>
            </w:pPr>
            <w:r>
              <w:rPr>
                <w:rFonts w:ascii="Times New Roman" w:cs="Times New Roman" w:eastAsia="Times New Roman" w:hAnsi="Times New Roman"/>
                <w:b/>
                <w:bCs/>
                <w:sz w:val="22"/>
                <w:szCs w:val="22"/>
              </w:rPr>
              <w:t xml:space="preserve">Field</w:t>
            </w:r>
          </w:p>
        </w:tc>
        <w:tc>
          <w:tcPr>
            <w:tcW w:type="dxa" w:w="6800"/>
            <w:shd w:fill="E8E8E8" w:val="clear"/>
            <w:vAlign w:val="center"/>
          </w:tcPr>
          <w:p>
            <w:pPr>
              <w:spacing w:after="60"/>
            </w:pPr>
            <w:r>
              <w:rPr>
                <w:rFonts w:ascii="Times New Roman" w:cs="Times New Roman" w:eastAsia="Times New Roman" w:hAnsi="Times New Roman"/>
                <w:b/>
                <w:bCs/>
                <w:sz w:val="22"/>
                <w:szCs w:val="22"/>
              </w:rPr>
              <w:t xml:space="preserve">Description</w:t>
            </w:r>
          </w:p>
        </w:tc>
      </w:tr>
      <w:tr>
        <w:tc>
          <w:tcPr>
            <w:tcW w:type="dxa" w:w="2400"/>
            <w:vAlign w:val="center"/>
          </w:tcPr>
          <w:p>
            <w:pPr>
              <w:spacing w:after="60"/>
            </w:pPr>
            <w:r>
              <w:rPr>
                <w:rFonts w:ascii="Times New Roman" w:cs="Times New Roman" w:eastAsia="Times New Roman" w:hAnsi="Times New Roman"/>
                <w:sz w:val="22"/>
                <w:szCs w:val="22"/>
              </w:rPr>
              <w:t xml:space="preserve">Submission ID</w:t>
            </w:r>
          </w:p>
        </w:tc>
        <w:tc>
          <w:tcPr>
            <w:tcW w:type="dxa" w:w="6800"/>
            <w:vAlign w:val="center"/>
          </w:tcPr>
          <w:p>
            <w:pPr>
              <w:spacing w:after="60"/>
            </w:pPr>
            <w:r>
              <w:rPr>
                <w:rFonts w:ascii="Times New Roman" w:cs="Times New Roman" w:eastAsia="Times New Roman" w:hAnsi="Times New Roman"/>
                <w:sz w:val="22"/>
                <w:szCs w:val="22"/>
              </w:rPr>
              <w:t xml:space="preserve">Unique identifier for each submission</w:t>
            </w:r>
          </w:p>
        </w:tc>
      </w:tr>
      <w:tr>
        <w:tc>
          <w:tcPr>
            <w:tcW w:type="dxa" w:w="2400"/>
            <w:vAlign w:val="center"/>
          </w:tcPr>
          <w:p>
            <w:pPr>
              <w:spacing w:after="60"/>
            </w:pPr>
            <w:r>
              <w:rPr>
                <w:rFonts w:ascii="Times New Roman" w:cs="Times New Roman" w:eastAsia="Times New Roman" w:hAnsi="Times New Roman"/>
                <w:sz w:val="22"/>
                <w:szCs w:val="22"/>
              </w:rPr>
              <w:t xml:space="preserve">Date and time</w:t>
            </w:r>
          </w:p>
        </w:tc>
        <w:tc>
          <w:tcPr>
            <w:tcW w:type="dxa" w:w="6800"/>
            <w:vAlign w:val="center"/>
          </w:tcPr>
          <w:p>
            <w:pPr>
              <w:spacing w:after="60"/>
            </w:pPr>
            <w:r>
              <w:rPr>
                <w:rFonts w:ascii="Times New Roman" w:cs="Times New Roman" w:eastAsia="Times New Roman" w:hAnsi="Times New Roman"/>
                <w:sz w:val="22"/>
                <w:szCs w:val="22"/>
              </w:rPr>
              <w:t xml:space="preserve">Date and time of submission (with time zone)</w:t>
            </w:r>
          </w:p>
        </w:tc>
      </w:tr>
      <w:tr>
        <w:tc>
          <w:tcPr>
            <w:tcW w:type="dxa" w:w="2400"/>
            <w:vAlign w:val="center"/>
          </w:tcPr>
          <w:p>
            <w:pPr>
              <w:spacing w:after="60"/>
            </w:pPr>
            <w:r>
              <w:rPr>
                <w:rFonts w:ascii="Times New Roman" w:cs="Times New Roman" w:eastAsia="Times New Roman" w:hAnsi="Times New Roman"/>
                <w:sz w:val="22"/>
                <w:szCs w:val="22"/>
              </w:rPr>
              <w:t xml:space="preserve">App and plan</w:t>
            </w:r>
          </w:p>
        </w:tc>
        <w:tc>
          <w:tcPr>
            <w:tcW w:type="dxa" w:w="6800"/>
            <w:vAlign w:val="center"/>
          </w:tcPr>
          <w:p>
            <w:pPr>
              <w:spacing w:after="60"/>
            </w:pPr>
            <w:r>
              <w:rPr>
                <w:rFonts w:ascii="Times New Roman" w:cs="Times New Roman" w:eastAsia="Times New Roman" w:hAnsi="Times New Roman"/>
                <w:sz w:val="22"/>
                <w:szCs w:val="22"/>
              </w:rPr>
              <w:t xml:space="preserve">ChatGPT or Claude; interface (web or mobile); subscription plan</w:t>
            </w:r>
          </w:p>
        </w:tc>
      </w:tr>
      <w:tr>
        <w:tc>
          <w:tcPr>
            <w:tcW w:type="dxa" w:w="2400"/>
            <w:vAlign w:val="center"/>
          </w:tcPr>
          <w:p>
            <w:pPr>
              <w:spacing w:after="60"/>
            </w:pPr>
            <w:r>
              <w:rPr>
                <w:rFonts w:ascii="Times New Roman" w:cs="Times New Roman" w:eastAsia="Times New Roman" w:hAnsi="Times New Roman"/>
                <w:sz w:val="22"/>
                <w:szCs w:val="22"/>
              </w:rPr>
              <w:t xml:space="preserve">Model name</w:t>
            </w:r>
          </w:p>
        </w:tc>
        <w:tc>
          <w:tcPr>
            <w:tcW w:type="dxa" w:w="6800"/>
            <w:vAlign w:val="center"/>
          </w:tcPr>
          <w:p>
            <w:pPr>
              <w:spacing w:after="60"/>
            </w:pPr>
            <w:r>
              <w:rPr>
                <w:rFonts w:ascii="Times New Roman" w:cs="Times New Roman" w:eastAsia="Times New Roman" w:hAnsi="Times New Roman"/>
                <w:sz w:val="22"/>
                <w:szCs w:val="22"/>
              </w:rPr>
              <w:t xml:space="preserve">Flagship model chosen in the picker, as displayed</w:t>
            </w:r>
          </w:p>
        </w:tc>
      </w:tr>
      <w:tr>
        <w:tc>
          <w:tcPr>
            <w:tcW w:type="dxa" w:w="2400"/>
            <w:vAlign w:val="center"/>
          </w:tcPr>
          <w:p>
            <w:pPr>
              <w:spacing w:after="60"/>
            </w:pPr>
            <w:r>
              <w:rPr>
                <w:rFonts w:ascii="Times New Roman" w:cs="Times New Roman" w:eastAsia="Times New Roman" w:hAnsi="Times New Roman"/>
                <w:sz w:val="22"/>
                <w:szCs w:val="22"/>
              </w:rPr>
              <w:t xml:space="preserve">Reasoning mode</w:t>
            </w:r>
          </w:p>
        </w:tc>
        <w:tc>
          <w:tcPr>
            <w:tcW w:type="dxa" w:w="6800"/>
            <w:vAlign w:val="center"/>
          </w:tcPr>
          <w:p>
            <w:pPr>
              <w:spacing w:after="60"/>
            </w:pPr>
            <w:r>
              <w:rPr>
                <w:rFonts w:ascii="Times New Roman" w:cs="Times New Roman" w:eastAsia="Times New Roman" w:hAnsi="Times New Roman"/>
                <w:sz w:val="22"/>
                <w:szCs w:val="22"/>
              </w:rPr>
              <w:t xml:space="preserve">Reasoning or thinking setting as displayed</w:t>
            </w:r>
          </w:p>
        </w:tc>
      </w:tr>
      <w:tr>
        <w:tc>
          <w:tcPr>
            <w:tcW w:type="dxa" w:w="2400"/>
            <w:vAlign w:val="center"/>
          </w:tcPr>
          <w:p>
            <w:pPr>
              <w:spacing w:after="60"/>
            </w:pPr>
            <w:r>
              <w:rPr>
                <w:rFonts w:ascii="Times New Roman" w:cs="Times New Roman" w:eastAsia="Times New Roman" w:hAnsi="Times New Roman"/>
                <w:sz w:val="22"/>
                <w:szCs w:val="22"/>
              </w:rPr>
              <w:t xml:space="preserve">Model change</w:t>
            </w:r>
          </w:p>
        </w:tc>
        <w:tc>
          <w:tcPr>
            <w:tcW w:type="dxa" w:w="6800"/>
            <w:vAlign w:val="center"/>
          </w:tcPr>
          <w:p>
            <w:pPr>
              <w:spacing w:after="60"/>
            </w:pPr>
            <w:r>
              <w:rPr>
                <w:rFonts w:ascii="Times New Roman" w:cs="Times New Roman" w:eastAsia="Times New Roman" w:hAnsi="Times New Roman"/>
                <w:sz w:val="22"/>
                <w:szCs w:val="22"/>
              </w:rPr>
              <w:t xml:space="preserve">Whether the picker’s flagship model differs from that at the start of the scoring window (covariate)</w:t>
            </w:r>
          </w:p>
        </w:tc>
      </w:tr>
      <w:tr>
        <w:tc>
          <w:tcPr>
            <w:tcW w:type="dxa" w:w="2400"/>
            <w:vAlign w:val="center"/>
          </w:tcPr>
          <w:p>
            <w:pPr>
              <w:spacing w:after="60"/>
            </w:pPr>
            <w:r>
              <w:rPr>
                <w:rFonts w:ascii="Times New Roman" w:cs="Times New Roman" w:eastAsia="Times New Roman" w:hAnsi="Times New Roman"/>
                <w:sz w:val="22"/>
                <w:szCs w:val="22"/>
              </w:rPr>
              <w:t xml:space="preserve">Framing</w:t>
            </w:r>
          </w:p>
        </w:tc>
        <w:tc>
          <w:tcPr>
            <w:tcW w:type="dxa" w:w="6800"/>
            <w:vAlign w:val="center"/>
          </w:tcPr>
          <w:p>
            <w:pPr>
              <w:spacing w:after="60"/>
            </w:pPr>
            <w:r>
              <w:rPr>
                <w:rFonts w:ascii="Times New Roman" w:cs="Times New Roman" w:eastAsia="Times New Roman" w:hAnsi="Times New Roman"/>
                <w:sz w:val="22"/>
                <w:szCs w:val="22"/>
              </w:rPr>
              <w:t xml:space="preserve">Rubric-embedded</w:t>
            </w:r>
          </w:p>
        </w:tc>
      </w:tr>
      <w:tr>
        <w:tc>
          <w:tcPr>
            <w:tcW w:type="dxa" w:w="2400"/>
            <w:vAlign w:val="center"/>
          </w:tcPr>
          <w:p>
            <w:pPr>
              <w:spacing w:after="60"/>
            </w:pPr>
            <w:r>
              <w:rPr>
                <w:rFonts w:ascii="Times New Roman" w:cs="Times New Roman" w:eastAsia="Times New Roman" w:hAnsi="Times New Roman"/>
                <w:sz w:val="22"/>
                <w:szCs w:val="22"/>
              </w:rPr>
              <w:t xml:space="preserve">Passage</w:t>
            </w:r>
          </w:p>
        </w:tc>
        <w:tc>
          <w:tcPr>
            <w:tcW w:type="dxa" w:w="6800"/>
            <w:vAlign w:val="center"/>
          </w:tcPr>
          <w:p>
            <w:pPr>
              <w:spacing w:after="60"/>
            </w:pPr>
            <w:r>
              <w:rPr>
                <w:rFonts w:ascii="Times New Roman" w:cs="Times New Roman" w:eastAsia="Times New Roman" w:hAnsi="Times New Roman"/>
                <w:sz w:val="22"/>
                <w:szCs w:val="22"/>
              </w:rPr>
              <w:t xml:space="preserve">A or B</w:t>
            </w:r>
          </w:p>
        </w:tc>
      </w:tr>
      <w:tr>
        <w:tc>
          <w:tcPr>
            <w:tcW w:type="dxa" w:w="2400"/>
            <w:vAlign w:val="center"/>
          </w:tcPr>
          <w:p>
            <w:pPr>
              <w:spacing w:after="60"/>
            </w:pPr>
            <w:r>
              <w:rPr>
                <w:rFonts w:ascii="Times New Roman" w:cs="Times New Roman" w:eastAsia="Times New Roman" w:hAnsi="Times New Roman"/>
                <w:sz w:val="22"/>
                <w:szCs w:val="22"/>
              </w:rPr>
              <w:t xml:space="preserve">Pass</w:t>
            </w:r>
          </w:p>
        </w:tc>
        <w:tc>
          <w:tcPr>
            <w:tcW w:type="dxa" w:w="6800"/>
            <w:vAlign w:val="center"/>
          </w:tcPr>
          <w:p>
            <w:pPr>
              <w:spacing w:after="60"/>
            </w:pPr>
            <w:r>
              <w:rPr>
                <w:rFonts w:ascii="Times New Roman" w:cs="Times New Roman" w:eastAsia="Times New Roman" w:hAnsi="Times New Roman"/>
                <w:sz w:val="22"/>
                <w:szCs w:val="22"/>
              </w:rPr>
              <w:t xml:space="preserve">1, 2 or 3</w:t>
            </w:r>
          </w:p>
        </w:tc>
      </w:tr>
      <w:tr>
        <w:tc>
          <w:tcPr>
            <w:tcW w:type="dxa" w:w="2400"/>
            <w:vAlign w:val="center"/>
          </w:tcPr>
          <w:p>
            <w:pPr>
              <w:spacing w:after="60"/>
            </w:pPr>
            <w:r>
              <w:rPr>
                <w:rFonts w:ascii="Times New Roman" w:cs="Times New Roman" w:eastAsia="Times New Roman" w:hAnsi="Times New Roman"/>
                <w:sz w:val="22"/>
                <w:szCs w:val="22"/>
              </w:rPr>
              <w:t xml:space="preserve">Randomised position</w:t>
            </w:r>
          </w:p>
        </w:tc>
        <w:tc>
          <w:tcPr>
            <w:tcW w:type="dxa" w:w="6800"/>
            <w:vAlign w:val="center"/>
          </w:tcPr>
          <w:p>
            <w:pPr>
              <w:spacing w:after="60"/>
            </w:pPr>
            <w:r>
              <w:rPr>
                <w:rFonts w:ascii="Times New Roman" w:cs="Times New Roman" w:eastAsia="Times New Roman" w:hAnsi="Times New Roman"/>
                <w:sz w:val="22"/>
                <w:szCs w:val="22"/>
              </w:rPr>
              <w:t xml:space="preserve">Position of the submission in the pass’s randomised order</w:t>
            </w:r>
          </w:p>
        </w:tc>
      </w:tr>
      <w:tr>
        <w:tc>
          <w:tcPr>
            <w:tcW w:type="dxa" w:w="2400"/>
            <w:vAlign w:val="center"/>
          </w:tcPr>
          <w:p>
            <w:pPr>
              <w:spacing w:after="60"/>
            </w:pPr>
            <w:r>
              <w:rPr>
                <w:rFonts w:ascii="Times New Roman" w:cs="Times New Roman" w:eastAsia="Times New Roman" w:hAnsi="Times New Roman"/>
                <w:sz w:val="22"/>
                <w:szCs w:val="22"/>
              </w:rPr>
              <w:t xml:space="preserve">Script code</w:t>
            </w:r>
          </w:p>
        </w:tc>
        <w:tc>
          <w:tcPr>
            <w:tcW w:type="dxa" w:w="6800"/>
            <w:vAlign w:val="center"/>
          </w:tcPr>
          <w:p>
            <w:pPr>
              <w:spacing w:after="60"/>
            </w:pPr>
            <w:r>
              <w:rPr>
                <w:rFonts w:ascii="Times New Roman" w:cs="Times New Roman" w:eastAsia="Times New Roman" w:hAnsi="Times New Roman"/>
                <w:sz w:val="22"/>
                <w:szCs w:val="22"/>
              </w:rPr>
              <w:t xml:space="preserve">Anonymised script code, or anchor code</w:t>
            </w:r>
          </w:p>
        </w:tc>
      </w:tr>
      <w:tr>
        <w:tc>
          <w:tcPr>
            <w:tcW w:type="dxa" w:w="2400"/>
            <w:vAlign w:val="center"/>
          </w:tcPr>
          <w:p>
            <w:pPr>
              <w:spacing w:after="60"/>
            </w:pPr>
            <w:r>
              <w:rPr>
                <w:rFonts w:ascii="Times New Roman" w:cs="Times New Roman" w:eastAsia="Times New Roman" w:hAnsi="Times New Roman"/>
                <w:sz w:val="22"/>
                <w:szCs w:val="22"/>
              </w:rPr>
              <w:t xml:space="preserve">Anchor flag</w:t>
            </w:r>
          </w:p>
        </w:tc>
        <w:tc>
          <w:tcPr>
            <w:tcW w:type="dxa" w:w="6800"/>
            <w:vAlign w:val="center"/>
          </w:tcPr>
          <w:p>
            <w:pPr>
              <w:spacing w:after="60"/>
            </w:pPr>
            <w:r>
              <w:rPr>
                <w:rFonts w:ascii="Times New Roman" w:cs="Times New Roman" w:eastAsia="Times New Roman" w:hAnsi="Times New Roman"/>
                <w:sz w:val="22"/>
                <w:szCs w:val="22"/>
              </w:rPr>
              <w:t xml:space="preserve">Whether the submission is an anchor check, and whether that day was flagged</w:t>
            </w:r>
          </w:p>
        </w:tc>
      </w:tr>
      <w:tr>
        <w:tc>
          <w:tcPr>
            <w:tcW w:type="dxa" w:w="2400"/>
            <w:vAlign w:val="center"/>
          </w:tcPr>
          <w:p>
            <w:pPr>
              <w:spacing w:after="60"/>
            </w:pPr>
            <w:r>
              <w:rPr>
                <w:rFonts w:ascii="Times New Roman" w:cs="Times New Roman" w:eastAsia="Times New Roman" w:hAnsi="Times New Roman"/>
                <w:sz w:val="22"/>
                <w:szCs w:val="22"/>
              </w:rPr>
              <w:t xml:space="preserve">Settings check</w:t>
            </w:r>
          </w:p>
        </w:tc>
        <w:tc>
          <w:tcPr>
            <w:tcW w:type="dxa" w:w="6800"/>
            <w:vAlign w:val="center"/>
          </w:tcPr>
          <w:p>
            <w:pPr>
              <w:spacing w:after="60"/>
            </w:pPr>
            <w:r>
              <w:rPr>
                <w:rFonts w:ascii="Times New Roman" w:cs="Times New Roman" w:eastAsia="Times New Roman" w:hAnsi="Times New Roman"/>
                <w:sz w:val="22"/>
                <w:szCs w:val="22"/>
              </w:rPr>
              <w:t xml:space="preserve">Memory, personalisation, custom instructions and training off; temporary or incognito chat used (yes/no)</w:t>
            </w:r>
          </w:p>
        </w:tc>
      </w:tr>
      <w:tr>
        <w:tc>
          <w:tcPr>
            <w:tcW w:type="dxa" w:w="2400"/>
            <w:vAlign w:val="center"/>
          </w:tcPr>
          <w:p>
            <w:pPr>
              <w:spacing w:after="60"/>
            </w:pPr>
            <w:r>
              <w:rPr>
                <w:rFonts w:ascii="Times New Roman" w:cs="Times New Roman" w:eastAsia="Times New Roman" w:hAnsi="Times New Roman"/>
                <w:sz w:val="22"/>
                <w:szCs w:val="22"/>
              </w:rPr>
              <w:t xml:space="preserve">Full response</w:t>
            </w:r>
          </w:p>
        </w:tc>
        <w:tc>
          <w:tcPr>
            <w:tcW w:type="dxa" w:w="6800"/>
            <w:vAlign w:val="center"/>
          </w:tcPr>
          <w:p>
            <w:pPr>
              <w:spacing w:after="60"/>
            </w:pPr>
            <w:r>
              <w:rPr>
                <w:rFonts w:ascii="Times New Roman" w:cs="Times New Roman" w:eastAsia="Times New Roman" w:hAnsi="Times New Roman"/>
                <w:sz w:val="22"/>
                <w:szCs w:val="22"/>
              </w:rPr>
              <w:t xml:space="preserve">Complete text of the AI response</w:t>
            </w:r>
          </w:p>
        </w:tc>
      </w:tr>
      <w:tr>
        <w:tc>
          <w:tcPr>
            <w:tcW w:type="dxa" w:w="2400"/>
            <w:vAlign w:val="center"/>
          </w:tcPr>
          <w:p>
            <w:pPr>
              <w:spacing w:after="60"/>
            </w:pPr>
            <w:r>
              <w:rPr>
                <w:rFonts w:ascii="Times New Roman" w:cs="Times New Roman" w:eastAsia="Times New Roman" w:hAnsi="Times New Roman"/>
                <w:sz w:val="22"/>
                <w:szCs w:val="22"/>
              </w:rPr>
              <w:t xml:space="preserve">Extracted scores</w:t>
            </w:r>
          </w:p>
        </w:tc>
        <w:tc>
          <w:tcPr>
            <w:tcW w:type="dxa" w:w="6800"/>
            <w:vAlign w:val="center"/>
          </w:tcPr>
          <w:p>
            <w:pPr>
              <w:spacing w:after="60"/>
            </w:pPr>
            <w:r>
              <w:rPr>
                <w:rFonts w:ascii="Times New Roman" w:cs="Times New Roman" w:eastAsia="Times New Roman" w:hAnsi="Times New Roman"/>
                <w:sz w:val="22"/>
                <w:szCs w:val="22"/>
              </w:rPr>
              <w:t xml:space="preserve">Reading and writing marks parsed from the output line</w:t>
            </w:r>
          </w:p>
        </w:tc>
      </w:tr>
      <w:tr>
        <w:tc>
          <w:tcPr>
            <w:tcW w:type="dxa" w:w="2400"/>
            <w:vAlign w:val="center"/>
          </w:tcPr>
          <w:p>
            <w:pPr>
              <w:spacing w:after="60"/>
            </w:pPr>
            <w:r>
              <w:rPr>
                <w:rFonts w:ascii="Times New Roman" w:cs="Times New Roman" w:eastAsia="Times New Roman" w:hAnsi="Times New Roman"/>
                <w:sz w:val="22"/>
                <w:szCs w:val="22"/>
              </w:rPr>
              <w:t xml:space="preserve">Response status</w:t>
            </w:r>
          </w:p>
        </w:tc>
        <w:tc>
          <w:tcPr>
            <w:tcW w:type="dxa" w:w="6800"/>
            <w:vAlign w:val="center"/>
          </w:tcPr>
          <w:p>
            <w:pPr>
              <w:spacing w:after="60"/>
            </w:pPr>
            <w:r>
              <w:rPr>
                <w:rFonts w:ascii="Times New Roman" w:cs="Times New Roman" w:eastAsia="Times New Roman" w:hAnsi="Times New Roman"/>
                <w:sz w:val="22"/>
                <w:szCs w:val="22"/>
              </w:rPr>
              <w:t xml:space="preserve">Valid, refusal, out-of-range or unparseable, handled by the pre-set rules</w:t>
            </w:r>
          </w:p>
        </w:tc>
      </w:tr>
      <w:tr>
        <w:tc>
          <w:tcPr>
            <w:tcW w:type="dxa" w:w="2400"/>
            <w:vAlign w:val="center"/>
          </w:tcPr>
          <w:p>
            <w:pPr>
              <w:spacing w:after="60"/>
            </w:pPr>
            <w:r>
              <w:rPr>
                <w:rFonts w:ascii="Times New Roman" w:cs="Times New Roman" w:eastAsia="Times New Roman" w:hAnsi="Times New Roman"/>
                <w:sz w:val="22"/>
                <w:szCs w:val="22"/>
              </w:rPr>
              <w:t xml:space="preserve">Screenshot</w:t>
            </w:r>
          </w:p>
        </w:tc>
        <w:tc>
          <w:tcPr>
            <w:tcW w:type="dxa" w:w="6800"/>
            <w:vAlign w:val="center"/>
          </w:tcPr>
          <w:p>
            <w:pPr>
              <w:spacing w:after="60"/>
            </w:pPr>
            <w:r>
              <w:rPr>
                <w:rFonts w:ascii="Times New Roman" w:cs="Times New Roman" w:eastAsia="Times New Roman" w:hAnsi="Times New Roman"/>
                <w:sz w:val="22"/>
                <w:szCs w:val="22"/>
              </w:rPr>
              <w:t xml:space="preserve">File reference</w:t>
            </w:r>
          </w:p>
        </w:tc>
      </w:tr>
      <w:tr>
        <w:tc>
          <w:tcPr>
            <w:tcW w:type="dxa" w:w="2400"/>
            <w:vAlign w:val="center"/>
          </w:tcPr>
          <w:p>
            <w:pPr>
              <w:spacing w:after="60"/>
            </w:pPr>
            <w:r>
              <w:rPr>
                <w:rFonts w:ascii="Times New Roman" w:cs="Times New Roman" w:eastAsia="Times New Roman" w:hAnsi="Times New Roman"/>
                <w:sz w:val="22"/>
                <w:szCs w:val="22"/>
              </w:rPr>
              <w:t xml:space="preserve">Anomalies</w:t>
            </w:r>
          </w:p>
        </w:tc>
        <w:tc>
          <w:tcPr>
            <w:tcW w:type="dxa" w:w="6800"/>
            <w:vAlign w:val="center"/>
          </w:tcPr>
          <w:p>
            <w:pPr>
              <w:spacing w:after="60"/>
            </w:pPr>
            <w:r>
              <w:rPr>
                <w:rFonts w:ascii="Times New Roman" w:cs="Times New Roman" w:eastAsia="Times New Roman" w:hAnsi="Times New Roman"/>
                <w:sz w:val="22"/>
                <w:szCs w:val="22"/>
              </w:rPr>
              <w:t xml:space="preserve">Message-cap interruptions, regenerated responses or other irregularities</w:t>
            </w:r>
          </w:p>
        </w:tc>
      </w:tr>
    </w:tbl>
    <w:p>
      <w:pPr>
        <w:spacing w:after="200" w:before="200" w:line="360"/>
        <w:jc w:val="center"/>
      </w:pPr>
      <w:r>
        <w:rPr>
          <w:rFonts w:ascii="Times New Roman" w:cs="Times New Roman" w:eastAsia="Times New Roman" w:hAnsi="Times New Roman"/>
          <w:sz w:val="24"/>
          <w:szCs w:val="24"/>
        </w:rPr>
        <w:t xml:space="preserve">—</w:t>
      </w:r>
    </w:p>
    <w:p>
      <w:pPr>
        <w:pStyle w:val="Heading1"/>
        <w:pageBreakBefore/>
        <w:spacing w:after="120" w:before="0" w:line="360"/>
      </w:pPr>
      <w:r>
        <w:rPr>
          <w:rFonts w:ascii="Times New Roman" w:cs="Times New Roman" w:eastAsia="Times New Roman" w:hAnsi="Times New Roman"/>
          <w:b/>
          <w:bCs/>
          <w:sz w:val="32"/>
          <w:szCs w:val="32"/>
        </w:rPr>
        <w:t xml:space="preserve">References</w:t>
      </w:r>
    </w:p>
    <w:p>
      <w:pPr>
        <w:spacing w:after="80" w:line="276"/>
        <w:ind w:left="720" w:hanging="720"/>
        <w:jc w:val="left"/>
      </w:pPr>
      <w:r>
        <w:rPr>
          <w:rFonts w:ascii="Times New Roman" w:cs="Times New Roman" w:eastAsia="Times New Roman" w:hAnsi="Times New Roman"/>
          <w:sz w:val="22"/>
          <w:szCs w:val="22"/>
        </w:rPr>
        <w:t xml:space="preserve">American Educational Research Association, American Psychological Association, &amp; National Council on Measurement in Education. (2014). Standards for educational and psychological testing. American Educational Research Association.</w:t>
      </w:r>
    </w:p>
    <w:p>
      <w:pPr>
        <w:spacing w:after="80" w:line="276"/>
        <w:ind w:left="720" w:hanging="720"/>
        <w:jc w:val="left"/>
      </w:pPr>
      <w:r>
        <w:rPr>
          <w:rFonts w:ascii="Times New Roman" w:cs="Times New Roman" w:eastAsia="Times New Roman" w:hAnsi="Times New Roman"/>
          <w:sz w:val="22"/>
          <w:szCs w:val="22"/>
        </w:rPr>
        <w:t xml:space="preserve">Anthropic. (n.d.-a). Use incognito chats. Claude Help Center. Retrieved October 9, 2026, from https://support.claude.com/en/articles/12260368</w:t>
      </w:r>
    </w:p>
    <w:p>
      <w:pPr>
        <w:spacing w:after="80" w:line="276"/>
        <w:ind w:left="720" w:hanging="720"/>
        <w:jc w:val="left"/>
      </w:pPr>
      <w:r>
        <w:rPr>
          <w:rFonts w:ascii="Times New Roman" w:cs="Times New Roman" w:eastAsia="Times New Roman" w:hAnsi="Times New Roman"/>
          <w:sz w:val="22"/>
          <w:szCs w:val="22"/>
        </w:rPr>
        <w:t xml:space="preserve">Anthropic. (n.d.-b). I would like to input sensitive data into my chats with Claude. Who can view my conversations? Claude Help Center. Retrieved October 9, 2026, from https://support.claude.com/en/articles/8325621</w:t>
      </w:r>
    </w:p>
    <w:p>
      <w:pPr>
        <w:spacing w:after="80" w:line="276"/>
        <w:ind w:left="720" w:hanging="720"/>
        <w:jc w:val="left"/>
      </w:pPr>
      <w:r>
        <w:rPr>
          <w:rFonts w:ascii="Times New Roman" w:cs="Times New Roman" w:eastAsia="Times New Roman" w:hAnsi="Times New Roman"/>
          <w:sz w:val="22"/>
          <w:szCs w:val="22"/>
        </w:rPr>
        <w:t xml:space="preserve">Anthropic. (2025a, August 27). Anthropic Education Report: How educators use Claude. https://www.anthropic.com/news/anthropic-education-report-how-educators-use-claude</w:t>
      </w:r>
    </w:p>
    <w:p>
      <w:pPr>
        <w:spacing w:after="80" w:line="276"/>
        <w:ind w:left="720" w:hanging="720"/>
        <w:jc w:val="left"/>
      </w:pPr>
      <w:r>
        <w:rPr>
          <w:rFonts w:ascii="Times New Roman" w:cs="Times New Roman" w:eastAsia="Times New Roman" w:hAnsi="Times New Roman"/>
          <w:sz w:val="22"/>
          <w:szCs w:val="22"/>
        </w:rPr>
        <w:t xml:space="preserve">Atil, B., Aykent, S., Chittams, A., Fu, L., Passonneau, R. J., Radcliffe, E., Rajagopal, G. R., Sloan, A., Tudrej, T., Ture, F., Wu, Z., Xu, L., &amp; Baldwin, B. (2025). Non-determinism of “deterministic” LLM settings (arXiv:2408.04667v5) [Preprint]. arXiv. https://doi.org/10.48550/arXiv.2408.04667</w:t>
      </w:r>
    </w:p>
    <w:p>
      <w:pPr>
        <w:spacing w:after="80" w:line="276"/>
        <w:ind w:left="720" w:hanging="720"/>
        <w:jc w:val="left"/>
      </w:pPr>
      <w:r>
        <w:rPr>
          <w:rFonts w:ascii="Times New Roman" w:cs="Times New Roman" w:eastAsia="Times New Roman" w:hAnsi="Times New Roman"/>
          <w:sz w:val="22"/>
          <w:szCs w:val="22"/>
        </w:rPr>
        <w:t xml:space="preserve">Baldwin, P., Yaneva, V., North, K., Ha, L. A., Zhou, Y., Mechaber, A. J., &amp; Clauser, B. E. (2025). The vulnerability of AI-based scoring systems to gaming strategies: A case study. Journal of Educational Measurement, 62(1), 172–194. https://doi.org/10.1111/jedm.12427</w:t>
      </w:r>
    </w:p>
    <w:p>
      <w:pPr>
        <w:spacing w:after="80" w:line="276"/>
        <w:ind w:left="720" w:hanging="720"/>
        <w:jc w:val="left"/>
      </w:pPr>
      <w:r>
        <w:rPr>
          <w:rFonts w:ascii="Times New Roman" w:cs="Times New Roman" w:eastAsia="Times New Roman" w:hAnsi="Times New Roman"/>
          <w:sz w:val="22"/>
          <w:szCs w:val="22"/>
        </w:rPr>
        <w:t xml:space="preserve">Bates, D., Mächler, M., Bolker, B. M., &amp; Walker, S. C. (2015). Fitting linear mixed-effects models using lme4. Journal of Statistical Software, 67(1), 1–48. https://doi.org/10.18637/jss.v067.i01</w:t>
      </w:r>
    </w:p>
    <w:p>
      <w:pPr>
        <w:spacing w:after="80" w:line="276"/>
        <w:ind w:left="720" w:hanging="720"/>
        <w:jc w:val="left"/>
      </w:pPr>
      <w:r>
        <w:rPr>
          <w:rFonts w:ascii="Times New Roman" w:cs="Times New Roman" w:eastAsia="Times New Roman" w:hAnsi="Times New Roman"/>
          <w:sz w:val="22"/>
          <w:szCs w:val="22"/>
        </w:rPr>
        <w:t xml:space="preserve">Baxter, G., &amp; Neumann, H. (2023). Source-based writing of the high- and low-proficiency adolescent writer in the high-school L2 classroom. Journal of Second Language Writing, 62, Article 101064. https://doi.org/10.1016/j.jslw.2023.101064</w:t>
      </w:r>
    </w:p>
    <w:p>
      <w:pPr>
        <w:spacing w:after="80" w:line="276"/>
        <w:ind w:left="720" w:hanging="720"/>
        <w:jc w:val="left"/>
      </w:pPr>
      <w:r>
        <w:rPr>
          <w:rFonts w:ascii="Times New Roman" w:cs="Times New Roman" w:eastAsia="Times New Roman" w:hAnsi="Times New Roman"/>
          <w:sz w:val="22"/>
          <w:szCs w:val="22"/>
        </w:rPr>
        <w:t xml:space="preserve">Bland, J. M., &amp; Altman, D. G. (1986). Statistical methods for assessing agreement between two methods of clinical measurement. The Lancet, 327(8476), 307–310. https://doi.org/10.1016/S0140-6736(86)90837-8</w:t>
      </w:r>
    </w:p>
    <w:p>
      <w:pPr>
        <w:spacing w:after="80" w:line="276"/>
        <w:ind w:left="720" w:hanging="720"/>
        <w:jc w:val="left"/>
      </w:pPr>
      <w:r>
        <w:rPr>
          <w:rFonts w:ascii="Times New Roman" w:cs="Times New Roman" w:eastAsia="Times New Roman" w:hAnsi="Times New Roman"/>
          <w:sz w:val="22"/>
          <w:szCs w:val="22"/>
        </w:rPr>
        <w:t xml:space="preserve">Brown, A. L., &amp; Day, J. D. (1983). Macrorules for summarizing texts: The development of expertise. Journal of Verbal Learning and Verbal Behavior, 22(1), 1–14. https://doi.org/10.1016/S0022-5371(83)80002-4</w:t>
      </w:r>
    </w:p>
    <w:p>
      <w:pPr>
        <w:spacing w:after="80" w:line="276"/>
        <w:ind w:left="720" w:hanging="720"/>
        <w:jc w:val="left"/>
      </w:pPr>
      <w:r>
        <w:rPr>
          <w:rFonts w:ascii="Times New Roman" w:cs="Times New Roman" w:eastAsia="Times New Roman" w:hAnsi="Times New Roman"/>
          <w:sz w:val="22"/>
          <w:szCs w:val="22"/>
        </w:rPr>
        <w:t xml:space="preserve">Bui, N. M., &amp; Barrot, J. S. (2025). ChatGPT as an automated essay scoring tool in the writing classrooms: How it compares with human scoring. Education and Information Technologies, 30(2), 2041–2058. https://doi.org/10.1007/s10639-024-12891-w</w:t>
      </w:r>
    </w:p>
    <w:p>
      <w:pPr>
        <w:spacing w:after="80" w:line="276"/>
        <w:ind w:left="720" w:hanging="720"/>
        <w:jc w:val="left"/>
      </w:pPr>
      <w:r>
        <w:rPr>
          <w:rFonts w:ascii="Times New Roman" w:cs="Times New Roman" w:eastAsia="Times New Roman" w:hAnsi="Times New Roman"/>
          <w:sz w:val="22"/>
          <w:szCs w:val="22"/>
        </w:rPr>
        <w:t xml:space="preserve">Cambridge International Education. (2024a). Cambridge IGCSE First Language English 0500: Syllabus for examination in 2027, 2028 and 2029 (Version 1). Cambridge University Press &amp; Assessment.</w:t>
      </w:r>
    </w:p>
    <w:p>
      <w:pPr>
        <w:spacing w:after="80" w:line="276"/>
        <w:ind w:left="720" w:hanging="720"/>
        <w:jc w:val="left"/>
      </w:pPr>
      <w:r>
        <w:rPr>
          <w:rFonts w:ascii="Times New Roman" w:cs="Times New Roman" w:eastAsia="Times New Roman" w:hAnsi="Times New Roman"/>
          <w:sz w:val="22"/>
          <w:szCs w:val="22"/>
        </w:rPr>
        <w:t xml:space="preserve">Cambridge International Education. (2024c). 0990 First Language English (9–1) June 2024: Principal examiner report for teachers. Cambridge University Press &amp; Assessment.</w:t>
      </w:r>
    </w:p>
    <w:p>
      <w:pPr>
        <w:spacing w:after="80" w:line="276"/>
        <w:ind w:left="720" w:hanging="720"/>
        <w:jc w:val="left"/>
      </w:pPr>
      <w:r>
        <w:rPr>
          <w:rFonts w:ascii="Times New Roman" w:cs="Times New Roman" w:eastAsia="Times New Roman" w:hAnsi="Times New Roman"/>
          <w:sz w:val="22"/>
          <w:szCs w:val="22"/>
        </w:rPr>
        <w:t xml:space="preserve">Carder, M. (2007). Bilingualism in international schools: A model for enriching language education. Multilingual Matters. https://doi.org/10.21832/9781853599422</w:t>
      </w:r>
    </w:p>
    <w:p>
      <w:pPr>
        <w:spacing w:after="80" w:line="276"/>
        <w:ind w:left="720" w:hanging="720"/>
        <w:jc w:val="left"/>
      </w:pPr>
      <w:r>
        <w:rPr>
          <w:rFonts w:ascii="Times New Roman" w:cs="Times New Roman" w:eastAsia="Times New Roman" w:hAnsi="Times New Roman"/>
          <w:sz w:val="22"/>
          <w:szCs w:val="22"/>
        </w:rPr>
        <w:t xml:space="preserve">Chen, L., Zaharia, M., &amp; Zou, J. (2024). How is ChatGPT’s behavior changing over time? Harvard Data Science Review, 6(2). https://doi.org/10.1162/99608f92.5317da47</w:t>
      </w:r>
    </w:p>
    <w:p>
      <w:pPr>
        <w:spacing w:after="80" w:line="276"/>
        <w:ind w:left="720" w:hanging="720"/>
        <w:jc w:val="left"/>
      </w:pPr>
      <w:r>
        <w:rPr>
          <w:rFonts w:ascii="Times New Roman" w:cs="Times New Roman" w:eastAsia="Times New Roman" w:hAnsi="Times New Roman"/>
          <w:sz w:val="22"/>
          <w:szCs w:val="22"/>
        </w:rPr>
        <w:t xml:space="preserve">Clauser, B. E., Kane, M. T., &amp; Swanson, D. B. (2002). Validity issues for performance-based tests scored with computer-automated scoring systems. Applied Measurement in Education, 15(4), 413–432. https://doi.org/10.1207/S15324818AME1504_05</w:t>
      </w:r>
    </w:p>
    <w:p>
      <w:pPr>
        <w:spacing w:after="80" w:line="276"/>
        <w:ind w:left="720" w:hanging="720"/>
        <w:jc w:val="left"/>
      </w:pPr>
      <w:r>
        <w:rPr>
          <w:rFonts w:ascii="Times New Roman" w:cs="Times New Roman" w:eastAsia="Times New Roman" w:hAnsi="Times New Roman"/>
          <w:sz w:val="22"/>
          <w:szCs w:val="22"/>
        </w:rPr>
        <w:t xml:space="preserve">Cohen, J. (1968). Weighted kappa: Nominal scale agreement provision for scaled disagreement or partial credit. Psychological Bulletin, 70(4), 213–220. https://doi.org/10.1037/h0026256</w:t>
      </w:r>
    </w:p>
    <w:p>
      <w:pPr>
        <w:spacing w:after="80" w:line="276"/>
        <w:ind w:left="720" w:hanging="720"/>
        <w:jc w:val="left"/>
      </w:pPr>
      <w:r>
        <w:rPr>
          <w:rFonts w:ascii="Times New Roman" w:cs="Times New Roman" w:eastAsia="Times New Roman" w:hAnsi="Times New Roman"/>
          <w:sz w:val="22"/>
          <w:szCs w:val="22"/>
        </w:rPr>
        <w:t xml:space="preserve">Crossley, S. A., Yang, H. S., &amp; McNamara, D. S. (2014). What’s so simple about simplified texts? A computational and psycholinguistic investigation of text comprehension and text processing. Reading in a Foreign Language, 26(1), 92–113.</w:t>
      </w:r>
    </w:p>
    <w:p>
      <w:pPr>
        <w:spacing w:after="80" w:line="276"/>
        <w:ind w:left="720" w:hanging="720"/>
        <w:jc w:val="left"/>
      </w:pPr>
      <w:r>
        <w:rPr>
          <w:rFonts w:ascii="Times New Roman" w:cs="Times New Roman" w:eastAsia="Times New Roman" w:hAnsi="Times New Roman"/>
          <w:sz w:val="22"/>
          <w:szCs w:val="22"/>
        </w:rPr>
        <w:t xml:space="preserve">Cumming, A. (2013). Assessing integrated writing tasks for academic purposes: Promises and perils. Language Assessment Quarterly, 10(1), 1–8. https://doi.org/10.1080/15434303.2011.622016</w:t>
      </w:r>
    </w:p>
    <w:p>
      <w:pPr>
        <w:spacing w:after="80" w:line="276"/>
        <w:ind w:left="720" w:hanging="720"/>
        <w:jc w:val="left"/>
      </w:pPr>
      <w:r>
        <w:rPr>
          <w:rFonts w:ascii="Times New Roman" w:cs="Times New Roman" w:eastAsia="Times New Roman" w:hAnsi="Times New Roman"/>
          <w:sz w:val="22"/>
          <w:szCs w:val="22"/>
        </w:rPr>
        <w:t xml:space="preserve">Doewes, A., Kurdhi, N. A., &amp; Saxena, A. (2023). Evaluating quadratic weighted kappa as the standard performance metric for automated essay scoring. In M. Feng, T. Käser, &amp; P. Talukdar (Eds.), Proceedings of the 16th International Conference on Educational Data Mining (pp. 103–113). International Educational Data Mining Society. https://doi.org/10.5281/zenodo.8115784</w:t>
      </w:r>
    </w:p>
    <w:p>
      <w:pPr>
        <w:spacing w:after="80" w:line="276"/>
        <w:ind w:left="720" w:hanging="720"/>
        <w:jc w:val="left"/>
      </w:pPr>
      <w:r>
        <w:rPr>
          <w:rFonts w:ascii="Times New Roman" w:cs="Times New Roman" w:eastAsia="Times New Roman" w:hAnsi="Times New Roman"/>
          <w:sz w:val="22"/>
          <w:szCs w:val="22"/>
        </w:rPr>
        <w:t xml:space="preserve">Eckes, T. (2015). Introduction to many-facet Rasch measurement: Analyzing and evaluating rater-mediated assessments (2nd rev. and updated ed.). Peter Lang. https://doi.org/10.3726/978-3-653-04844-5</w:t>
      </w:r>
    </w:p>
    <w:p>
      <w:pPr>
        <w:spacing w:after="80" w:line="276"/>
        <w:ind w:left="720" w:hanging="720"/>
        <w:jc w:val="left"/>
      </w:pPr>
      <w:r>
        <w:rPr>
          <w:rFonts w:ascii="Times New Roman" w:cs="Times New Roman" w:eastAsia="Times New Roman" w:hAnsi="Times New Roman"/>
          <w:sz w:val="22"/>
          <w:szCs w:val="22"/>
        </w:rPr>
        <w:t xml:space="preserve">Gallagher, E. (2008). Equal rights to the curriculum: Many languages, one message. Multilingual Matters. https://doi.org/10.21832/9781847690562</w:t>
      </w:r>
    </w:p>
    <w:p>
      <w:pPr>
        <w:spacing w:after="80" w:line="276"/>
        <w:ind w:left="720" w:hanging="720"/>
        <w:jc w:val="left"/>
      </w:pPr>
      <w:r>
        <w:rPr>
          <w:rFonts w:ascii="Times New Roman" w:cs="Times New Roman" w:eastAsia="Times New Roman" w:hAnsi="Times New Roman"/>
          <w:sz w:val="22"/>
          <w:szCs w:val="22"/>
        </w:rPr>
        <w:t xml:space="preserve">Gallup &amp; Walton Family Foundation. (2025). Teaching for tomorrow: Unlocking six weeks a year with AI. Gallup.</w:t>
      </w:r>
    </w:p>
    <w:p>
      <w:pPr>
        <w:spacing w:after="80" w:line="276"/>
        <w:ind w:left="720" w:hanging="720"/>
        <w:jc w:val="left"/>
      </w:pPr>
      <w:r>
        <w:rPr>
          <w:rFonts w:ascii="Times New Roman" w:cs="Times New Roman" w:eastAsia="Times New Roman" w:hAnsi="Times New Roman"/>
          <w:sz w:val="22"/>
          <w:szCs w:val="22"/>
        </w:rPr>
        <w:t xml:space="preserve">Hassun, H. (2022). Private schools in the Kurdistan Region of Iraq: An evidence based approach on their functions. University of Bamberg Press. https://doi.org/10.20378/irb-58324</w:t>
      </w:r>
    </w:p>
    <w:p>
      <w:pPr>
        <w:spacing w:after="80" w:line="276"/>
        <w:ind w:left="720" w:hanging="720"/>
        <w:jc w:val="left"/>
      </w:pPr>
      <w:r>
        <w:rPr>
          <w:rFonts w:ascii="Times New Roman" w:cs="Times New Roman" w:eastAsia="Times New Roman" w:hAnsi="Times New Roman"/>
          <w:sz w:val="22"/>
          <w:szCs w:val="22"/>
        </w:rPr>
        <w:t xml:space="preserve">Hidi, S., &amp; Anderson, V. (1986). Producing written summaries: Task demands, cognitive operations, and implications for instruction. Review of Educational Research, 56(4), 473–493. https://doi.org/10.3102/00346543056004473</w:t>
      </w:r>
    </w:p>
    <w:p>
      <w:pPr>
        <w:spacing w:after="80" w:line="276"/>
        <w:ind w:left="720" w:hanging="720"/>
        <w:jc w:val="left"/>
      </w:pPr>
      <w:r>
        <w:rPr>
          <w:rFonts w:ascii="Times New Roman" w:cs="Times New Roman" w:eastAsia="Times New Roman" w:hAnsi="Times New Roman"/>
          <w:sz w:val="22"/>
          <w:szCs w:val="22"/>
        </w:rPr>
        <w:t xml:space="preserve">Hirvela, A., &amp; Du, Q. (2013). “Why am I paraphrasing?”: Undergraduate ESL writers’ engagement with source-based academic writing and reading. Journal of English for Academic Purposes, 12(2), 87–98. https://doi.org/10.1016/j.jeap.2012.11.005</w:t>
      </w:r>
    </w:p>
    <w:p>
      <w:pPr>
        <w:spacing w:after="80" w:line="276"/>
        <w:ind w:left="720" w:hanging="720"/>
        <w:jc w:val="left"/>
      </w:pPr>
      <w:r>
        <w:rPr>
          <w:rFonts w:ascii="Times New Roman" w:cs="Times New Roman" w:eastAsia="Times New Roman" w:hAnsi="Times New Roman"/>
          <w:sz w:val="22"/>
          <w:szCs w:val="22"/>
        </w:rPr>
        <w:t xml:space="preserve">Holm, S. (1979). A simple sequentially rejective multiple test procedure. Scandinavian Journal of Statistics, 6(2), 65–70.</w:t>
      </w:r>
    </w:p>
    <w:p>
      <w:pPr>
        <w:spacing w:after="80" w:line="276"/>
        <w:ind w:left="720" w:hanging="720"/>
        <w:jc w:val="left"/>
      </w:pPr>
      <w:r>
        <w:rPr>
          <w:rFonts w:ascii="Times New Roman" w:cs="Times New Roman" w:eastAsia="Times New Roman" w:hAnsi="Times New Roman"/>
          <w:sz w:val="22"/>
          <w:szCs w:val="22"/>
        </w:rPr>
        <w:t xml:space="preserve">Jiao, H., Song, D., &amp; Lee, W.-C. (2025). Comparing human and AI rater effects using the many-facet Rasch model (arXiv:2505.18486) [Preprint]. arXiv. https://doi.org/10.48550/arXiv.2505.18486</w:t>
      </w:r>
    </w:p>
    <w:p>
      <w:pPr>
        <w:spacing w:after="80" w:line="276"/>
        <w:ind w:left="720" w:hanging="720"/>
        <w:jc w:val="left"/>
      </w:pPr>
      <w:r>
        <w:rPr>
          <w:rFonts w:ascii="Times New Roman" w:cs="Times New Roman" w:eastAsia="Times New Roman" w:hAnsi="Times New Roman"/>
          <w:sz w:val="22"/>
          <w:szCs w:val="22"/>
        </w:rPr>
        <w:t xml:space="preserve">Jin, R., Zhao, M., Niu, C., Xia, Y., Zhou, H., &amp; Liu, N. (2025). Evaluating the performance of ChatGPT and Claude in automated writing scoring: Insights from the many-facet Rasch model. Education and Information Technologies, 30(18), 25881–25908. https://doi.org/10.1007/s10639-025-13774-4</w:t>
      </w:r>
    </w:p>
    <w:p>
      <w:pPr>
        <w:spacing w:after="80" w:line="276"/>
        <w:ind w:left="720" w:hanging="720"/>
        <w:jc w:val="left"/>
      </w:pPr>
      <w:r>
        <w:rPr>
          <w:rFonts w:ascii="Times New Roman" w:cs="Times New Roman" w:eastAsia="Times New Roman" w:hAnsi="Times New Roman"/>
          <w:sz w:val="22"/>
          <w:szCs w:val="22"/>
        </w:rPr>
        <w:t xml:space="preserve">Johns, A. M., &amp; Mayes, P. (1990). An analysis of summary protocols of university ESL students. Applied Linguistics, 11(3), 253–271. https://doi.org/10.1093/applin/11.3.253</w:t>
      </w:r>
    </w:p>
    <w:p>
      <w:pPr>
        <w:spacing w:after="80" w:line="276"/>
        <w:ind w:left="720" w:hanging="720"/>
        <w:jc w:val="left"/>
      </w:pPr>
      <w:r>
        <w:rPr>
          <w:rFonts w:ascii="Times New Roman" w:cs="Times New Roman" w:eastAsia="Times New Roman" w:hAnsi="Times New Roman"/>
          <w:sz w:val="22"/>
          <w:szCs w:val="22"/>
        </w:rPr>
        <w:t xml:space="preserve">Kane, M. T. (2013). Validating the interpretations and uses of test scores. Journal of Educational Measurement, 50(1), 1–73. https://doi.org/10.1111/jedm.12000</w:t>
      </w:r>
    </w:p>
    <w:p>
      <w:pPr>
        <w:spacing w:after="80" w:line="276"/>
        <w:ind w:left="720" w:hanging="720"/>
        <w:jc w:val="left"/>
      </w:pPr>
      <w:r>
        <w:rPr>
          <w:rFonts w:ascii="Times New Roman" w:cs="Times New Roman" w:eastAsia="Times New Roman" w:hAnsi="Times New Roman"/>
          <w:sz w:val="22"/>
          <w:szCs w:val="22"/>
        </w:rPr>
        <w:t xml:space="preserve">Keck, C. (2006). The use of paraphrase in summary writing: A comparison of L1 and L2 writers. Journal of Second Language Writing, 15(4), 261–278. https://doi.org/10.1016/j.jslw.2006.09.006</w:t>
      </w:r>
    </w:p>
    <w:p>
      <w:pPr>
        <w:spacing w:after="80" w:line="276"/>
        <w:ind w:left="720" w:hanging="720"/>
        <w:jc w:val="left"/>
      </w:pPr>
      <w:r>
        <w:rPr>
          <w:rFonts w:ascii="Times New Roman" w:cs="Times New Roman" w:eastAsia="Times New Roman" w:hAnsi="Times New Roman"/>
          <w:sz w:val="22"/>
          <w:szCs w:val="22"/>
        </w:rPr>
        <w:t xml:space="preserve">Keck, C. (2014). Copying, paraphrasing, and academic writing development: A re-examination of L1 and L2 summarization practices. Journal of Second Language Writing, 25, 4–22. https://doi.org/10.1016/j.jslw.2014.05.005</w:t>
      </w:r>
    </w:p>
    <w:p>
      <w:pPr>
        <w:spacing w:after="80" w:line="276"/>
        <w:ind w:left="720" w:hanging="720"/>
        <w:jc w:val="left"/>
      </w:pPr>
      <w:r>
        <w:rPr>
          <w:rFonts w:ascii="Times New Roman" w:cs="Times New Roman" w:eastAsia="Times New Roman" w:hAnsi="Times New Roman"/>
          <w:sz w:val="22"/>
          <w:szCs w:val="22"/>
        </w:rPr>
        <w:t xml:space="preserve">Kintsch, W., &amp; van Dijk, T. A. (1978). Toward a model of text comprehension and production. Psychological Review, 85(5), 363–394. https://doi.org/10.1037/0033-295X.85.5.363</w:t>
      </w:r>
    </w:p>
    <w:p>
      <w:pPr>
        <w:spacing w:after="80" w:line="276"/>
        <w:ind w:left="720" w:hanging="720"/>
        <w:jc w:val="left"/>
      </w:pPr>
      <w:r>
        <w:rPr>
          <w:rFonts w:ascii="Times New Roman" w:cs="Times New Roman" w:eastAsia="Times New Roman" w:hAnsi="Times New Roman"/>
          <w:sz w:val="22"/>
          <w:szCs w:val="22"/>
        </w:rPr>
        <w:t xml:space="preserve">Koo, T. K., &amp; Li, M. Y. (2016). A guideline of selecting and reporting intraclass correlation coefficients for reliability research. Journal of Chiropractic Medicine, 15(2), 155–163. https://doi.org/10.1016/j.jcm.2016.02.012</w:t>
      </w:r>
    </w:p>
    <w:p>
      <w:pPr>
        <w:spacing w:after="80" w:line="276"/>
        <w:ind w:left="720" w:hanging="720"/>
        <w:jc w:val="left"/>
      </w:pPr>
      <w:r>
        <w:rPr>
          <w:rFonts w:ascii="Times New Roman" w:cs="Times New Roman" w:eastAsia="Times New Roman" w:hAnsi="Times New Roman"/>
          <w:sz w:val="22"/>
          <w:szCs w:val="22"/>
        </w:rPr>
        <w:t xml:space="preserve">Lumley, T., &amp; McNamara, T. F. (1995). Rater characteristics and rater bias: Implications for training. Language Testing, 12(1), 54–71. https://doi.org/10.1177/026553229501200104</w:t>
      </w:r>
    </w:p>
    <w:p>
      <w:pPr>
        <w:spacing w:after="80" w:line="276"/>
        <w:ind w:left="720" w:hanging="720"/>
        <w:jc w:val="left"/>
      </w:pPr>
      <w:r>
        <w:rPr>
          <w:rFonts w:ascii="Times New Roman" w:cs="Times New Roman" w:eastAsia="Times New Roman" w:hAnsi="Times New Roman"/>
          <w:sz w:val="22"/>
          <w:szCs w:val="22"/>
        </w:rPr>
        <w:t xml:space="preserve">McNamara, T. F. (1996). Measuring second language performance. Longman.</w:t>
      </w:r>
    </w:p>
    <w:p>
      <w:pPr>
        <w:spacing w:after="80" w:line="276"/>
        <w:ind w:left="720" w:hanging="720"/>
        <w:jc w:val="left"/>
      </w:pPr>
      <w:r>
        <w:rPr>
          <w:rFonts w:ascii="Times New Roman" w:cs="Times New Roman" w:eastAsia="Times New Roman" w:hAnsi="Times New Roman"/>
          <w:sz w:val="22"/>
          <w:szCs w:val="22"/>
        </w:rPr>
        <w:t xml:space="preserve">Menze, D., Radović, S., &amp; Seidel, N. (2026). AI-assisted MCQ creation increases item-writing flaws through automation bias: Evaluation of a workflow of multiple AI agents with teachers. Frontiers in Computer Science, 8, Article 1831250. https://doi.org/10.3389/fcomp.2026.1831250</w:t>
      </w:r>
    </w:p>
    <w:p>
      <w:pPr>
        <w:spacing w:after="80" w:line="276"/>
        <w:ind w:left="720" w:hanging="720"/>
        <w:jc w:val="left"/>
      </w:pPr>
      <w:r>
        <w:rPr>
          <w:rFonts w:ascii="Times New Roman" w:cs="Times New Roman" w:eastAsia="Times New Roman" w:hAnsi="Times New Roman"/>
          <w:sz w:val="22"/>
          <w:szCs w:val="22"/>
        </w:rPr>
        <w:t xml:space="preserve">Messick, S. (1989). Validity. In R. L. Linn (Ed.), Educational measurement (3rd ed., pp. 13–103). American Council on Education &amp; Macmillan.</w:t>
      </w:r>
    </w:p>
    <w:p>
      <w:pPr>
        <w:spacing w:after="80" w:line="276"/>
        <w:ind w:left="720" w:hanging="720"/>
        <w:jc w:val="left"/>
      </w:pPr>
      <w:r>
        <w:rPr>
          <w:rFonts w:ascii="Times New Roman" w:cs="Times New Roman" w:eastAsia="Times New Roman" w:hAnsi="Times New Roman"/>
          <w:sz w:val="22"/>
          <w:szCs w:val="22"/>
        </w:rPr>
        <w:t xml:space="preserve">Mizumoto, A., &amp; Eguchi, M. (2023). Exploring the potential of using an AI language model for automated essay scoring. Research Methods in Applied Linguistics, 2(2), Article 100050. https://doi.org/10.1016/j.rmal.2023.100050</w:t>
      </w:r>
    </w:p>
    <w:p>
      <w:pPr>
        <w:spacing w:after="80" w:line="276"/>
        <w:ind w:left="720" w:hanging="720"/>
        <w:jc w:val="left"/>
      </w:pPr>
      <w:r>
        <w:rPr>
          <w:rFonts w:ascii="Times New Roman" w:cs="Times New Roman" w:eastAsia="Times New Roman" w:hAnsi="Times New Roman"/>
          <w:sz w:val="22"/>
          <w:szCs w:val="22"/>
        </w:rPr>
        <w:t xml:space="preserve">Nosek, B. A., Ebersole, C. R., DeHaven, A. C., &amp; Mellor, D. T. (2018). The preregistration revolution. Proceedings of the National Academy of Sciences, 115(11), 2600–2606. https://doi.org/10.1073/pnas.1708274114</w:t>
      </w:r>
    </w:p>
    <w:p>
      <w:pPr>
        <w:spacing w:after="80" w:line="276"/>
        <w:ind w:left="720" w:hanging="720"/>
        <w:jc w:val="left"/>
      </w:pPr>
      <w:r>
        <w:rPr>
          <w:rFonts w:ascii="Times New Roman" w:cs="Times New Roman" w:eastAsia="Times New Roman" w:hAnsi="Times New Roman"/>
          <w:sz w:val="22"/>
          <w:szCs w:val="22"/>
        </w:rPr>
        <w:t xml:space="preserve">Oh, S.-Y. (2001). Two types of input modification and EFL reading comprehension: Simplification versus elaboration. TESOL Quarterly, 35(1), 69–96. https://doi.org/10.2307/3587860</w:t>
      </w:r>
    </w:p>
    <w:p>
      <w:pPr>
        <w:spacing w:after="80" w:line="276"/>
        <w:ind w:left="720" w:hanging="720"/>
        <w:jc w:val="left"/>
      </w:pPr>
      <w:r>
        <w:rPr>
          <w:rFonts w:ascii="Times New Roman" w:cs="Times New Roman" w:eastAsia="Times New Roman" w:hAnsi="Times New Roman"/>
          <w:sz w:val="22"/>
          <w:szCs w:val="22"/>
        </w:rPr>
        <w:t xml:space="preserve">OpenAI. (n.d.-a). Model release notes. OpenAI Help Center. Retrieved October 9, 2026.</w:t>
      </w:r>
    </w:p>
    <w:p>
      <w:pPr>
        <w:spacing w:after="80" w:line="276"/>
        <w:ind w:left="720" w:hanging="720"/>
        <w:jc w:val="left"/>
      </w:pPr>
      <w:r>
        <w:rPr>
          <w:rFonts w:ascii="Times New Roman" w:cs="Times New Roman" w:eastAsia="Times New Roman" w:hAnsi="Times New Roman"/>
          <w:sz w:val="22"/>
          <w:szCs w:val="22"/>
        </w:rPr>
        <w:t xml:space="preserve">OpenAI. (n.d.-b). Temporary chat in ChatGPT. OpenAI Help Center. Retrieved October 9, 2026.</w:t>
      </w:r>
    </w:p>
    <w:p>
      <w:pPr>
        <w:spacing w:after="80" w:line="276"/>
        <w:ind w:left="720" w:hanging="720"/>
        <w:jc w:val="left"/>
      </w:pPr>
      <w:r>
        <w:rPr>
          <w:rFonts w:ascii="Times New Roman" w:cs="Times New Roman" w:eastAsia="Times New Roman" w:hAnsi="Times New Roman"/>
          <w:sz w:val="22"/>
          <w:szCs w:val="22"/>
        </w:rPr>
        <w:t xml:space="preserve">Ouyang, S., Zhang, J. M., Harman, M., &amp; Wang, M. (2025). An empirical study of the non-determinism of ChatGPT in code generation. ACM Transactions on Software Engineering and Methodology, 34(2), 1–28. https://doi.org/10.1145/3697010</w:t>
      </w:r>
    </w:p>
    <w:p>
      <w:pPr>
        <w:spacing w:after="80" w:line="276"/>
        <w:ind w:left="720" w:hanging="720"/>
        <w:jc w:val="left"/>
      </w:pPr>
      <w:r>
        <w:rPr>
          <w:rFonts w:ascii="Times New Roman" w:cs="Times New Roman" w:eastAsia="Times New Roman" w:hAnsi="Times New Roman"/>
          <w:sz w:val="22"/>
          <w:szCs w:val="22"/>
        </w:rPr>
        <w:t xml:space="preserve">Pack, A., Barrett, A., &amp; Escalante, J. (2024). Large language models and automated essay scoring of English language learner writing: Insights into validity and reliability. Computers and Education: Artificial Intelligence, 6, Article 100234. https://doi.org/10.1016/j.caeai.2024.100234</w:t>
      </w:r>
    </w:p>
    <w:p>
      <w:pPr>
        <w:spacing w:after="80" w:line="276"/>
        <w:ind w:left="720" w:hanging="720"/>
        <w:jc w:val="left"/>
      </w:pPr>
      <w:r>
        <w:rPr>
          <w:rFonts w:ascii="Times New Roman" w:cs="Times New Roman" w:eastAsia="Times New Roman" w:hAnsi="Times New Roman"/>
          <w:sz w:val="22"/>
          <w:szCs w:val="22"/>
        </w:rPr>
        <w:t xml:space="preserve">Parasuraman, R., &amp; Manzey, D. H. (2010). Complacency and bias in human use of automation: An attentional integration. Human Factors, 52(3), 381–410. https://doi.org/10.1177/0018720810376055</w:t>
      </w:r>
    </w:p>
    <w:p>
      <w:pPr>
        <w:spacing w:after="80" w:line="276"/>
        <w:ind w:left="720" w:hanging="720"/>
        <w:jc w:val="left"/>
      </w:pPr>
      <w:r>
        <w:rPr>
          <w:rFonts w:ascii="Times New Roman" w:cs="Times New Roman" w:eastAsia="Times New Roman" w:hAnsi="Times New Roman"/>
          <w:sz w:val="22"/>
          <w:szCs w:val="22"/>
        </w:rPr>
        <w:t xml:space="preserve">Pecorari, D. (2003). Good and original: Plagiarism and patchwriting in academic second-language writing. Journal of Second Language Writing, 12(4), 317–345. https://doi.org/10.1016/j.jslw.2003.08.004</w:t>
      </w:r>
    </w:p>
    <w:p>
      <w:pPr>
        <w:spacing w:after="80" w:line="276"/>
        <w:ind w:left="720" w:hanging="720"/>
        <w:jc w:val="left"/>
      </w:pPr>
      <w:r>
        <w:rPr>
          <w:rFonts w:ascii="Times New Roman" w:cs="Times New Roman" w:eastAsia="Times New Roman" w:hAnsi="Times New Roman"/>
          <w:sz w:val="22"/>
          <w:szCs w:val="22"/>
        </w:rPr>
        <w:t xml:space="preserve">Powers, D. E., Burstein, J. C., Chodorow, M., Fowles, M. E., &amp; Kukich, K. (2002). Stumping e-rater: Challenging the validity of automated essay scoring. Computers in Human Behavior, 18(2), 103–134. https://doi.org/10.1016/S0747-5632(01)00052-8</w:t>
      </w:r>
    </w:p>
    <w:p>
      <w:pPr>
        <w:spacing w:after="80" w:line="276"/>
        <w:ind w:left="720" w:hanging="720"/>
        <w:jc w:val="left"/>
      </w:pPr>
      <w:r>
        <w:rPr>
          <w:rFonts w:ascii="Times New Roman" w:cs="Times New Roman" w:eastAsia="Times New Roman" w:hAnsi="Times New Roman"/>
          <w:sz w:val="22"/>
          <w:szCs w:val="22"/>
        </w:rPr>
        <w:t xml:space="preserve">Sawaki, Y., Ishii, Y., Yamada, H., &amp; Tokunaga, T. (2025). Examining the consistency of instructor versus large language model ratings on summary content. Language Testing, 42(4), 447–475. https://doi.org/10.1177/02655322251349217</w:t>
      </w:r>
    </w:p>
    <w:p>
      <w:pPr>
        <w:spacing w:after="80" w:line="276"/>
        <w:ind w:left="720" w:hanging="720"/>
        <w:jc w:val="left"/>
      </w:pPr>
      <w:r>
        <w:rPr>
          <w:rFonts w:ascii="Times New Roman" w:cs="Times New Roman" w:eastAsia="Times New Roman" w:hAnsi="Times New Roman"/>
          <w:sz w:val="22"/>
          <w:szCs w:val="22"/>
        </w:rPr>
        <w:t xml:space="preserve">Sclar, M., Choi, Y., Tsvetkov, Y., &amp; Suhr, A. (2024). Quantifying language models’ sensitivity to spurious features in prompt design. In The Twelfth International Conference on Learning Representations (ICLR 2024).</w:t>
      </w:r>
    </w:p>
    <w:p>
      <w:pPr>
        <w:spacing w:after="80" w:line="276"/>
        <w:ind w:left="720" w:hanging="720"/>
        <w:jc w:val="left"/>
      </w:pPr>
      <w:r>
        <w:rPr>
          <w:rFonts w:ascii="Times New Roman" w:cs="Times New Roman" w:eastAsia="Times New Roman" w:hAnsi="Times New Roman"/>
          <w:sz w:val="22"/>
          <w:szCs w:val="22"/>
        </w:rPr>
        <w:t xml:space="preserve">Sears, C. (2015). Second language students in English-medium classrooms: A guide for teachers in international schools. Multilingual Matters. https://doi.org/10.21832/9781783093984</w:t>
      </w:r>
    </w:p>
    <w:p>
      <w:pPr>
        <w:spacing w:after="80" w:line="276"/>
        <w:ind w:left="720" w:hanging="720"/>
        <w:jc w:val="left"/>
      </w:pPr>
      <w:r>
        <w:rPr>
          <w:rFonts w:ascii="Times New Roman" w:cs="Times New Roman" w:eastAsia="Times New Roman" w:hAnsi="Times New Roman"/>
          <w:sz w:val="22"/>
          <w:szCs w:val="22"/>
        </w:rPr>
        <w:t xml:space="preserve">Shi, L. (2004). Textual borrowing in second-language writing. Written Communication, 21(2), 171–200. https://doi.org/10.1177/0741088303262846</w:t>
      </w:r>
    </w:p>
    <w:p>
      <w:pPr>
        <w:spacing w:after="80" w:line="276"/>
        <w:ind w:left="720" w:hanging="720"/>
        <w:jc w:val="left"/>
      </w:pPr>
      <w:r>
        <w:rPr>
          <w:rFonts w:ascii="Times New Roman" w:cs="Times New Roman" w:eastAsia="Times New Roman" w:hAnsi="Times New Roman"/>
          <w:sz w:val="22"/>
          <w:szCs w:val="22"/>
        </w:rPr>
        <w:t xml:space="preserve">Tate, T. P., Steiss, J., Bailey, D., Graham, S., Moon, Y., Ritchie, D., Tseng, W., &amp; Warschauer, M. (2024). Can AI provide useful holistic essay scoring? Computers and Education: Artificial Intelligence, 7, Article 100255. https://doi.org/10.1016/j.caeai.2024.100255</w:t>
      </w:r>
    </w:p>
    <w:p>
      <w:pPr>
        <w:spacing w:after="80" w:line="276"/>
        <w:ind w:left="720" w:hanging="720"/>
        <w:jc w:val="left"/>
      </w:pPr>
      <w:r>
        <w:rPr>
          <w:rFonts w:ascii="Times New Roman" w:cs="Times New Roman" w:eastAsia="Times New Roman" w:hAnsi="Times New Roman"/>
          <w:sz w:val="22"/>
          <w:szCs w:val="22"/>
        </w:rPr>
        <w:t xml:space="preserve">Williamson, D. M., Xi, X., &amp; Breyer, F. J. (2012). A framework for evaluation and use of automated scoring. Educational Measurement: Issues and Practice, 31(1), 2–13. https://doi.org/10.1111/j.1745-3992.2011.00223.x</w:t>
      </w:r>
    </w:p>
    <w:p>
      <w:pPr>
        <w:spacing w:after="80" w:line="276"/>
        <w:ind w:left="720" w:hanging="720"/>
        <w:jc w:val="left"/>
      </w:pPr>
      <w:r>
        <w:rPr>
          <w:rFonts w:ascii="Times New Roman" w:cs="Times New Roman" w:eastAsia="Times New Roman" w:hAnsi="Times New Roman"/>
          <w:sz w:val="22"/>
          <w:szCs w:val="22"/>
        </w:rPr>
        <w:t xml:space="preserve">Wind, S. A., &amp; Peterson, M. E. (2018). A systematic review of methods for evaluating rating quality in language assessment. Language Testing, 35(2), 161–192. https://doi.org/10.1177/0265532216686999</w:t>
      </w:r>
    </w:p>
    <w:p>
      <w:pPr>
        <w:spacing w:after="80" w:line="276"/>
        <w:ind w:left="720" w:hanging="720"/>
        <w:jc w:val="left"/>
      </w:pPr>
      <w:r>
        <w:rPr>
          <w:rFonts w:ascii="Times New Roman" w:cs="Times New Roman" w:eastAsia="Times New Roman" w:hAnsi="Times New Roman"/>
          <w:sz w:val="22"/>
          <w:szCs w:val="22"/>
        </w:rPr>
        <w:t xml:space="preserve">Xi, X. (2010). Automated scoring and feedback systems: Where are we and where are we heading? Language Testing, 27(3), 291–300. https://doi.org/10.1177/0265532210364643</w:t>
      </w:r>
    </w:p>
    <w:p>
      <w:pPr>
        <w:spacing w:after="80" w:line="276"/>
        <w:ind w:left="720" w:hanging="720"/>
        <w:jc w:val="left"/>
      </w:pPr>
      <w:r>
        <w:rPr>
          <w:rFonts w:ascii="Times New Roman" w:cs="Times New Roman" w:eastAsia="Times New Roman" w:hAnsi="Times New Roman"/>
          <w:sz w:val="22"/>
          <w:szCs w:val="22"/>
        </w:rPr>
        <w:t xml:space="preserve">Yancey, K. P., Laflair, G., Verardi, A., &amp; Burstein, J. (2023). Rating short L2 essays on the CEFR scale with GPT-4. In Proceedings of the 18th Workshop on Innovative Use of NLP for Building Educational Applications (BEA 2023) (pp. 576–584). Association for Computational Linguistics. https://doi.org/10.18653/v1/2023.bea-1.49</w:t>
      </w:r>
    </w:p>
    <w:p>
      <w:pPr>
        <w:spacing w:after="80" w:line="276"/>
        <w:ind w:left="720" w:hanging="720"/>
        <w:jc w:val="left"/>
      </w:pPr>
      <w:r>
        <w:rPr>
          <w:rFonts w:ascii="Times New Roman" w:cs="Times New Roman" w:eastAsia="Times New Roman" w:hAnsi="Times New Roman"/>
          <w:sz w:val="22"/>
          <w:szCs w:val="22"/>
        </w:rPr>
        <w:t xml:space="preserve">Young, D. N. (1999). Linguistic simplification of SL reading material: Effective instructional practice? The Modern Language Journal, 83(3), 350–366. https://doi.org/10.1111/0026-7902.00027</w:t>
      </w:r>
    </w:p>
    <w:p>
      <w:pPr>
        <w:spacing w:after="80" w:line="276"/>
        <w:ind w:left="720" w:hanging="720"/>
        <w:jc w:val="left"/>
      </w:pPr>
      <w:r>
        <w:rPr>
          <w:rFonts w:ascii="Times New Roman" w:cs="Times New Roman" w:eastAsia="Times New Roman" w:hAnsi="Times New Roman"/>
          <w:sz w:val="22"/>
          <w:szCs w:val="22"/>
        </w:rPr>
        <w:t xml:space="preserve">Zheng, L., Chiang, W.-L., Sheng, Y., Zhuang, S., Wu, Z., Zhuang, Y., Lin, Z., Li, Z., Li, D., Xing, E. P., Zhang, H., Gonzalez, J. E., &amp; Stoica, I. (2023). Judging LLM-as-a-judge with MT-Bench and Chatbot Arena. In Advances in Neural Information Processing Systems 36 (pp. 46595–46623).</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2026-10-10T13:56:29.846Z</dcterms:created>
  <dcterms:modified xsi:type="dcterms:W3CDTF">2026-10-10T13:56:29.853Z</dcterms:modified>
</cp:coreProperties>
</file>

<file path=docProps/custom.xml><?xml version="1.0" encoding="utf-8"?>
<Properties xmlns="http://schemas.openxmlformats.org/officeDocument/2006/custom-properties" xmlns:vt="http://schemas.openxmlformats.org/officeDocument/2006/docPropsVTypes"/>
</file>