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generative AI applications such as ChatGPT and Claude and ask for a mark. Used this way, the tools offer no control over sampling or model version and limited visibility of underlying model changes, so it is unknown whether the same script receives the same mark twice, where an AI mark diverges from a human marker’s judgement, what justifications the tools provide for their marks, or what the pattern of divergence reveals about how AI tools handle a reading-into-writing task completed by second-language learners sitting a first-language examination.</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a summary of no more than 120 words, marked for reading (10 marks) and writing (5 marks). Students in four IGCSE classes at a school in Erbil, Kurdistan Region of Iraq (expected n = 65–80), will each summarise two original passages in separate sessions, yielding 130–160 scripts. Two experienced human raters will mark the typed, anonymised scripts independently and blind. Each script will then be scored through paid consumer subscriptions to ChatGPT and Claude under a rubric-embedded prompt framing, in three passes in separate sessions within the same week.</w:t>
      </w:r>
    </w:p>
    <w:p>
      <w:pPr>
        <w:spacing w:after="120" w:line="360"/>
        <w:jc w:val="both"/>
      </w:pPr>
      <w:r>
        <w:rPr>
          <w:rFonts w:ascii="Times New Roman" w:cs="Times New Roman" w:eastAsia="Times New Roman" w:hAnsi="Times New Roman"/>
          <w:sz w:val="24"/>
          <w:szCs w:val="24"/>
        </w:rPr>
        <w:t xml:space="preserve">The study introduces the scoring correction gap: the documented, criterion-level difference between an AI mark and the human-rater benchmark, analysed not only in magnitude but in the reasoning the AI tool provides. A focused content analysis of up to 8 prespecified scripts (5 high-discrepancy and 3 low-discrepancy; up to 16 rationale texts, i.e. 8 scripts × 2 tools) examines what justifications the tools provide for their marks and how well those justifications accord with the available textual evidence, with particular attention to how the tools handle source fidelity, construct-irrelevant features, and observable language features of multilingual learners. Both the candidate and the second human rater independently code all rationale texts using a shared coding scheme, and inter-coder agreement is reported. This qualitative strand examines reading–writing criterion separation: where English is itself the assessed construct, an AI scorer that confuses reading and writing constructs—for instance, rewarding fluent prose (writing) while overlooking whether the student has selected and transformed the relevant content points (reading)—introduces a distortion that aggregate agreement statistics alone cannot reveal.</w:t>
      </w:r>
    </w:p>
    <w:p>
      <w:pPr>
        <w:spacing w:after="120" w:line="360"/>
        <w:jc w:val="both"/>
      </w:pPr>
      <w:r>
        <w:rPr>
          <w:rFonts w:ascii="Times New Roman" w:cs="Times New Roman" w:eastAsia="Times New Roman" w:hAnsi="Times New Roman"/>
          <w:sz w:val="24"/>
          <w:szCs w:val="24"/>
        </w:rPr>
        <w:t xml:space="preserve">Analyses combine single-run agreement statistics (quadratic weighted kappa, intraclass correlation coefficients), a mixed model estimating tool, passage and pass effects, and the focused content analysis. The study provides a descriptive evidence base for a discrepancy-review workflow: the agreement and correction-gap evidence needed for a teacher to judge when an AI tool is sufficiently consistent to serve as a second marker, and when an AI–teacher gap warrants re-examination of a script. The central empirical question is whether consumer AI scoring of this task is sufficiently consistent and sufficiently aligned with human judgement to support such a workflow, and where it is not, what the pattern of failure reveals about the interaction between AI scoring, source-based assessment and L2 learner writing.</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The distinction between API access and consumer access is not merely logistical; it defines a different evidence need. Studies using API access answer what large language models can do under controlled conditions—fixed model versions, specified sampling parameters, reproducible pipelines. Studies using consumer access answer what teachers will get under the conditions they actually face—undocumented model changes, default sampling, no version control. The two evidence bases are complementary but not interchangeable: a finding established under API conditions does not transfer automatically to consumer conditions, and vice versa. The present study treats consumer access as a distinct research condition whose scoring properties require their own empirical investigation.</w:t>
      </w:r>
    </w:p>
    <w:p>
      <w:pPr>
        <w:spacing w:after="120" w:line="360"/>
        <w:jc w:val="both"/>
      </w:pPr>
      <w:r>
        <w:rPr>
          <w:rFonts w:ascii="Times New Roman" w:cs="Times New Roman" w:eastAsia="Times New Roman" w:hAnsi="Times New Roman"/>
          <w:sz w:val="24"/>
          <w:szCs w:val="24"/>
        </w:rPr>
        <w:t xml:space="preserve">The ecological condition of consumer access differs from the conditions studied in most scoring research. Research on large language model (LLM) scoring has largely used application programming interfaces (APIs) or controlled settings. A teacher with a monthly subscription cannot set sampling parameters such as temperature, cannot fix a model version and has no reliable way of knowing when the model behind the application has been updated or replaced. OpenAI’s release notes, for example, record successive launches, updates and retirements of the models offered in ChatGPT (OpenAI, n.d.-a). Such changes matter: Chen et al. (2024) found that the behaviour of GPT-3.5 and GPT-4 changed substantially between March and June 2023, including a decline in GPT-4’s adherence to user instructions. The present study treats consumer access not as a methodological innovation but as the ecological condition under which teachers actually use these tools—the condition whose scoring properties most urgently need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2024a). The task is a highly constrained, rubric-bound writing task in the qualification, it is taught in both Grade 9 and Grade 10, and its component skills transfer to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It is not known whether the same script receives the same mark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single scoring occasions, single passages and essay tasks (Chapter 2). No published study, to the author’s knowledge, combines consumer-subscription access, two passages within the same task type, repeated scoring of the same scripts, a qualification-relevant adolescent reading-into-writing task (IGCSE), and a systematic content analysis of AI scoring rationales for high-divergence cases involving L2 writers.</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an evidence base for a discrepancy-review workflow in which a teacher uses a consumer AI tool as a second marker for IGCSE summary writing, and to examine where AI scoring diverges from human judgement and what justifications the tools provide, with attention to multilingual learners.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high-divergence cases to examine what justifications the tools provide and how well those justifications accord with the available textual evidence, with attention to source fidelity, construct-irrelevant features, and observable language features of multilingual learners.</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a descriptive evidence base for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spacing w:after="60"/>
            </w:pPr>
            <w:r>
              <w:rPr>
                <w:rFonts w:ascii="Times New Roman" w:cs="Times New Roman" w:eastAsia="Times New Roman" w:hAnsi="Times New Roman"/>
                <w:b/>
                <w:bCs/>
                <w:sz w:val="22"/>
                <w:szCs w:val="22"/>
              </w:rPr>
              <w:t xml:space="preserve">Layer</w:t>
            </w:r>
          </w:p>
        </w:tc>
      </w:tr>
      <w:tr>
        <w:tc>
          <w:tcPr>
            <w:tcW w:type="dxa" w:w="800"/>
            <w:vAlign w:val="center"/>
          </w:tcPr>
          <w:p>
            <w:pPr>
              <w:spacing w:after="60"/>
            </w:pPr>
            <w:r>
              <w:rPr>
                <w:rFonts w:ascii="Times New Roman" w:cs="Times New Roman" w:eastAsia="Times New Roman" w:hAnsi="Times New Roman"/>
                <w:sz w:val="22"/>
                <w:szCs w:val="22"/>
              </w:rPr>
              <w:t xml:space="preserve">RQ1</w:t>
            </w:r>
          </w:p>
        </w:tc>
        <w:tc>
          <w:tcPr>
            <w:tcW w:type="dxa" w:w="6400"/>
            <w:vAlign w:val="center"/>
          </w:tcPr>
          <w:p>
            <w:pPr>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spacing w:after="60"/>
            </w:pPr>
            <w:r>
              <w:rPr>
                <w:rFonts w:ascii="Times New Roman" w:cs="Times New Roman" w:eastAsia="Times New Roman" w:hAnsi="Times New Roman"/>
                <w:sz w:val="22"/>
                <w:szCs w:val="22"/>
              </w:rPr>
              <w:t xml:space="preserve">Pass-to-pass consistency</w:t>
            </w:r>
          </w:p>
        </w:tc>
      </w:tr>
      <w:tr>
        <w:tc>
          <w:tcPr>
            <w:tcW w:type="dxa" w:w="800"/>
            <w:vAlign w:val="center"/>
          </w:tcPr>
          <w:p>
            <w:pPr>
              <w:spacing w:after="60"/>
            </w:pPr>
            <w:r>
              <w:rPr>
                <w:rFonts w:ascii="Times New Roman" w:cs="Times New Roman" w:eastAsia="Times New Roman" w:hAnsi="Times New Roman"/>
                <w:sz w:val="22"/>
                <w:szCs w:val="22"/>
              </w:rPr>
              <w:t xml:space="preserve">RQ2</w:t>
            </w:r>
          </w:p>
        </w:tc>
        <w:tc>
          <w:tcPr>
            <w:tcW w:type="dxa" w:w="6400"/>
            <w:vAlign w:val="center"/>
          </w:tcPr>
          <w:p>
            <w:pPr>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spacing w:after="60"/>
            </w:pPr>
            <w:r>
              <w:rPr>
                <w:rFonts w:ascii="Times New Roman" w:cs="Times New Roman" w:eastAsia="Times New Roman" w:hAnsi="Times New Roman"/>
                <w:sz w:val="22"/>
                <w:szCs w:val="22"/>
              </w:rPr>
              <w:t xml:space="preserve">Agreement and correction gap</w:t>
            </w:r>
          </w:p>
        </w:tc>
      </w:tr>
      <w:tr>
        <w:tc>
          <w:tcPr>
            <w:tcW w:type="dxa" w:w="800"/>
            <w:vAlign w:val="center"/>
          </w:tcPr>
          <w:p>
            <w:pPr>
              <w:spacing w:after="60"/>
            </w:pPr>
            <w:r>
              <w:rPr>
                <w:rFonts w:ascii="Times New Roman" w:cs="Times New Roman" w:eastAsia="Times New Roman" w:hAnsi="Times New Roman"/>
                <w:sz w:val="22"/>
                <w:szCs w:val="22"/>
              </w:rPr>
              <w:t xml:space="preserve">RQ3</w:t>
            </w:r>
          </w:p>
        </w:tc>
        <w:tc>
          <w:tcPr>
            <w:tcW w:type="dxa" w:w="6400"/>
            <w:vAlign w:val="center"/>
          </w:tcPr>
          <w:p>
            <w:pPr>
              <w:spacing w:after="60"/>
            </w:pPr>
            <w:r>
              <w:rPr>
                <w:rFonts w:ascii="Times New Roman" w:cs="Times New Roman" w:eastAsia="Times New Roman" w:hAnsi="Times New Roman"/>
                <w:sz w:val="22"/>
                <w:szCs w:val="22"/>
              </w:rPr>
              <w:t xml:space="preserve">What justifications do the AI tools provide for their marks in high-divergence cases, how well do those justifications accord with the available textual evidence, and what do they reveal about how the tools handle source fidelity, construct-irrelevant features and observable language features of multilingual learners?</w:t>
            </w:r>
          </w:p>
        </w:tc>
        <w:tc>
          <w:tcPr>
            <w:tcW w:type="dxa" w:w="2000"/>
            <w:vAlign w:val="center"/>
          </w:tcPr>
          <w:p>
            <w:pPr>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the descriptive evidence base for a discrepancy-review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observable language features will address a concern specific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using the latest flagship model offered on the paid plan, chosen in the model picker. The user cannot set sampling parameters, fix a model version or reliably see model changes; the model name and reasoning mode are therefore logged for every submission. The study treats this as the ecological condition under which teachers use these tools, not as a methodological choice.</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the same week,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up to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the descriptive evidence base—consistency statistics, agreement benchmarks, correction-gap profiles and qualitative explanations—needed to judge whether a given tool supports this workflow for the IGCSE summary task. It does not provide a validated operational protocol; that requires further research.</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L2 summarising adds proficiency-related copying.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2024c).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assessed skill; a scorer that penalises such phrasing while crediting a more fluent but less faithful alternative misrepresents the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assesses vocabulary and reliance on source wording,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Its contribution rests on four elements that, in combination, no published study identified in the literature review provides:</w:t>
      </w:r>
    </w:p>
    <w:p>
      <w:pPr>
        <w:spacing w:after="60" w:line="360"/>
        <w:ind w:left="720" w:hanging="360"/>
        <w:jc w:val="both"/>
      </w:pPr>
      <w:r>
        <w:rPr>
          <w:rFonts w:ascii="Times New Roman" w:cs="Times New Roman" w:eastAsia="Times New Roman" w:hAnsi="Times New Roman"/>
          <w:sz w:val="24"/>
          <w:szCs w:val="24"/>
        </w:rPr>
        <w:t xml:space="preserve">1. Consumer-subscription access under the ecological conditions teachers face, without API control—the condition whose evidence gap is most practically urgent.</w:t>
      </w:r>
    </w:p>
    <w:p>
      <w:pPr>
        <w:spacing w:after="60" w:line="360"/>
        <w:ind w:left="720" w:hanging="360"/>
        <w:jc w:val="both"/>
      </w:pPr>
      <w:r>
        <w:rPr>
          <w:rFonts w:ascii="Times New Roman" w:cs="Times New Roman" w:eastAsia="Times New Roman" w:hAnsi="Times New Roman"/>
          <w:sz w:val="24"/>
          <w:szCs w:val="24"/>
        </w:rPr>
        <w:t xml:space="preserve">2. Two passages within the same task type, allowing passage dependence to be examined for a reading-into-writing task where the source passage directly affects the scoring target.</w:t>
      </w:r>
    </w:p>
    <w:p>
      <w:pPr>
        <w:spacing w:after="60" w:line="360"/>
        <w:ind w:left="720" w:hanging="360"/>
        <w:jc w:val="both"/>
      </w:pPr>
      <w:r>
        <w:rPr>
          <w:rFonts w:ascii="Times New Roman" w:cs="Times New Roman" w:eastAsia="Times New Roman" w:hAnsi="Times New Roman"/>
          <w:sz w:val="24"/>
          <w:szCs w:val="24"/>
        </w:rPr>
        <w:t xml:space="preserve">3. The scoring correction gap: a systematic, criterion-level, rationale-supported analysis of what justifications the AI tools provide for their marks and how well those justifications accord with the available textual evidence, with particular attention to how the tools handle observable language features in multilingual learners’ writing in a first-language examination context. The present study extends Sawaki et al.’s (2025) analytical approach to adolescent IGCSE writing with separate reading and writing scores, two passages under consumer-subscription access, and a structured evidence-checking procedure that verifies AI claims against the student text, source passage and rubric descriptors.</w:t>
      </w:r>
    </w:p>
    <w:p>
      <w:pPr>
        <w:spacing w:after="60" w:line="360"/>
        <w:ind w:left="720" w:hanging="360"/>
        <w:jc w:val="both"/>
      </w:pPr>
      <w:r>
        <w:rPr>
          <w:rFonts w:ascii="Times New Roman" w:cs="Times New Roman" w:eastAsia="Times New Roman" w:hAnsi="Times New Roman"/>
          <w:sz w:val="24"/>
          <w:szCs w:val="24"/>
        </w:rPr>
        <w:t xml:space="preserve">4. The content analysis of AI scoring rationales is independently coded by both the candidate and the second human rater, with inter-coder agreement reported. This addresses a limitation of prior qualitative analysis of AI scoring rationales (e.g., Sawaki et al., 2025), where coding was conducted by a single researcher.</w:t>
      </w:r>
    </w:p>
    <w:p>
      <w:pPr>
        <w:spacing w:after="120" w:line="360"/>
        <w:jc w:val="both"/>
      </w:pPr>
      <w:r>
        <w:rPr>
          <w:rFonts w:ascii="Times New Roman" w:cs="Times New Roman" w:eastAsia="Times New Roman" w:hAnsi="Times New Roman"/>
          <w:sz w:val="24"/>
          <w:szCs w:val="24"/>
        </w:rPr>
        <w:t xml:space="preserve">The specific models will age; the lasting value lies in the measurement problem, the reframing of the correction gap for scoring, and the reading–writing criterion-separation analysis.</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Failure that would undermine the claim</w:t>
            </w:r>
          </w:p>
        </w:tc>
      </w:tr>
      <w:tr>
        <w:tc>
          <w:tcPr>
            <w:tcW w:type="dxa" w:w="2000"/>
            <w:vAlign w:val="center"/>
          </w:tcPr>
          <w:p>
            <w:pPr>
              <w:spacing w:after="60"/>
            </w:pPr>
            <w:r>
              <w:rPr>
                <w:rFonts w:ascii="Times New Roman" w:cs="Times New Roman" w:eastAsia="Times New Roman" w:hAnsi="Times New Roman"/>
                <w:sz w:val="22"/>
                <w:szCs w:val="22"/>
              </w:rPr>
              <w:t xml:space="preserve">Scoring: stability</w:t>
            </w:r>
          </w:p>
        </w:tc>
        <w:tc>
          <w:tcPr>
            <w:tcW w:type="dxa" w:w="2400"/>
            <w:vAlign w:val="center"/>
          </w:tcPr>
          <w:p>
            <w:pPr>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spacing w:after="60"/>
            </w:pPr>
            <w:r>
              <w:rPr>
                <w:rFonts w:ascii="Times New Roman" w:cs="Times New Roman" w:eastAsia="Times New Roman" w:hAnsi="Times New Roman"/>
                <w:sz w:val="22"/>
                <w:szCs w:val="22"/>
              </w:rPr>
              <w:t xml:space="preserve">Single runs disagree beyond a tolerable range</w:t>
            </w:r>
          </w:p>
        </w:tc>
      </w:tr>
      <w:tr>
        <w:tc>
          <w:tcPr>
            <w:tcW w:type="dxa" w:w="2000"/>
            <w:vAlign w:val="center"/>
          </w:tcPr>
          <w:p>
            <w:pPr>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spacing w:after="60"/>
            </w:pPr>
            <w:r>
              <w:rPr>
                <w:rFonts w:ascii="Times New Roman" w:cs="Times New Roman" w:eastAsia="Times New Roman" w:hAnsi="Times New Roman"/>
                <w:sz w:val="22"/>
                <w:szCs w:val="22"/>
              </w:rPr>
              <w:t xml:space="preserve">Systematic leniency or severity by criterion, score level or passage</w:t>
            </w:r>
          </w:p>
        </w:tc>
      </w:tr>
      <w:tr>
        <w:tc>
          <w:tcPr>
            <w:tcW w:type="dxa" w:w="2000"/>
            <w:vAlign w:val="center"/>
          </w:tcPr>
          <w:p>
            <w:pPr>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spacing w:after="60"/>
            </w:pPr>
            <w:r>
              <w:rPr>
                <w:rFonts w:ascii="Times New Roman" w:cs="Times New Roman" w:eastAsia="Times New Roman" w:hAnsi="Times New Roman"/>
                <w:sz w:val="22"/>
                <w:szCs w:val="22"/>
              </w:rPr>
              <w:t xml:space="preserve">Passage effects (RQ1, RQ2)</w:t>
            </w:r>
          </w:p>
        </w:tc>
        <w:tc>
          <w:tcPr>
            <w:tcW w:type="dxa" w:w="2600"/>
            <w:vAlign w:val="center"/>
          </w:tcPr>
          <w:p>
            <w:pPr>
              <w:spacing w:after="60"/>
            </w:pPr>
            <w:r>
              <w:rPr>
                <w:rFonts w:ascii="Times New Roman" w:cs="Times New Roman" w:eastAsia="Times New Roman" w:hAnsi="Times New Roman"/>
                <w:sz w:val="22"/>
                <w:szCs w:val="22"/>
              </w:rPr>
              <w:t xml:space="preserve">Consistency or agreement differs substantially between passages</w:t>
            </w:r>
          </w:p>
        </w:tc>
      </w:tr>
      <w:tr>
        <w:tc>
          <w:tcPr>
            <w:tcW w:type="dxa" w:w="2000"/>
            <w:vAlign w:val="center"/>
          </w:tcPr>
          <w:p>
            <w:pPr>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c>
          <w:tcPr>
            <w:tcW w:type="dxa" w:w="2000"/>
            <w:vAlign w:val="center"/>
          </w:tcPr>
          <w:p>
            <w:pPr>
              <w:spacing w:after="60"/>
            </w:pPr>
            <w:r>
              <w:rPr>
                <w:rFonts w:ascii="Times New Roman" w:cs="Times New Roman" w:eastAsia="Times New Roman" w:hAnsi="Times New Roman"/>
                <w:sz w:val="22"/>
                <w:szCs w:val="22"/>
              </w:rPr>
              <w:t xml:space="preserve">Decision</w:t>
            </w:r>
          </w:p>
        </w:tc>
        <w:tc>
          <w:tcPr>
            <w:tcW w:type="dxa" w:w="2400"/>
            <w:vAlign w:val="center"/>
          </w:tcPr>
          <w:p>
            <w:pPr>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spacing w:after="60"/>
            </w:pPr>
            <w:r>
              <w:rPr>
                <w:rFonts w:ascii="Times New Roman" w:cs="Times New Roman" w:eastAsia="Times New Roman" w:hAnsi="Times New Roman"/>
                <w:sz w:val="22"/>
                <w:szCs w:val="22"/>
              </w:rPr>
              <w:t xml:space="preserve">Synthesis (RQ1–RQ3)</w:t>
            </w:r>
          </w:p>
        </w:tc>
        <w:tc>
          <w:tcPr>
            <w:tcW w:type="dxa" w:w="2600"/>
            <w:vAlign w:val="center"/>
          </w:tcPr>
          <w:p>
            <w:pPr>
              <w:spacing w:after="60"/>
            </w:pPr>
            <w:r>
              <w:rPr>
                <w:rFonts w:ascii="Times New Roman" w:cs="Times New Roman" w:eastAsia="Times New Roman" w:hAnsi="Times New Roman"/>
                <w:sz w:val="22"/>
                <w:szCs w:val="22"/>
              </w:rPr>
              <w:t xml:space="preserve">Descriptive evidence base for discrepancy-review workflow</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AI scores for each script are crossed by tool (ChatGPT, Claude), passage (A, B) and pass (three passes per tool per passage) under the rubric-embedded framing.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study data are collected,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so that neither the candidate nor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2024a),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degree to which the candidate demonstrates understanding, selects relevant ideas rather than transcribing indiscriminately, focuses on the specified aspect of the passage, and shows evidence of an overview. Each band covers two marks (for example, Level 5: 9–10; Level 4: 7–8).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level-descriptor bands, as in the Q2(a) mark scheme.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The latest flagship model offered on the paid plan will be chosen in the model picker.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five-day window, with no more than two passes scored on the same day for the same tool. This compressed window reduces the probability of a mid-scoring model change while providing three independent scoring occasions. Within each pass, the order of scripts and passages will be randomised. If the model in the picker changes during the scoring window, scoring will continue and the change will be recorded as a covariate.</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Submissions</w:t>
            </w:r>
          </w:p>
        </w:tc>
      </w:tr>
      <w:tr>
        <w:tc>
          <w:tcPr>
            <w:tcW w:type="dxa" w:w="6800"/>
            <w:vAlign w:val="center"/>
          </w:tcPr>
          <w:p>
            <w:pPr>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spacing w:after="60"/>
            </w:pPr>
            <w:r>
              <w:rPr>
                <w:rFonts w:ascii="Times New Roman" w:cs="Times New Roman" w:eastAsia="Times New Roman" w:hAnsi="Times New Roman"/>
                <w:sz w:val="22"/>
                <w:szCs w:val="22"/>
              </w:rPr>
              <w:t xml:space="preserve">780–960</w:t>
            </w:r>
          </w:p>
        </w:tc>
      </w:tr>
      <w:tr>
        <w:tc>
          <w:tcPr>
            <w:tcW w:type="dxa" w:w="6800"/>
            <w:vAlign w:val="center"/>
          </w:tcPr>
          <w:p>
            <w:pPr>
              <w:spacing w:after="60"/>
            </w:pPr>
            <w:r>
              <w:rPr>
                <w:rFonts w:ascii="Times New Roman" w:cs="Times New Roman" w:eastAsia="Times New Roman" w:hAnsi="Times New Roman"/>
                <w:sz w:val="22"/>
                <w:szCs w:val="22"/>
              </w:rPr>
              <w:t xml:space="preserve">Anchors: 3 scripts × 2 tools × 5 scoring days</w:t>
            </w:r>
          </w:p>
        </w:tc>
        <w:tc>
          <w:tcPr>
            <w:tcW w:type="dxa" w:w="2400"/>
            <w:vAlign w:val="center"/>
          </w:tcPr>
          <w:p>
            <w:pPr>
              <w:spacing w:after="60"/>
            </w:pPr>
            <w:r>
              <w:rPr>
                <w:rFonts w:ascii="Times New Roman" w:cs="Times New Roman" w:eastAsia="Times New Roman" w:hAnsi="Times New Roman"/>
                <w:sz w:val="22"/>
                <w:szCs w:val="22"/>
              </w:rPr>
              <w:t xml:space="preserve">~30</w:t>
            </w:r>
          </w:p>
        </w:tc>
      </w:tr>
      <w:tr>
        <w:tc>
          <w:tcPr>
            <w:tcW w:type="dxa" w:w="6800"/>
            <w:vAlign w:val="center"/>
          </w:tcPr>
          <w:p>
            <w:pPr>
              <w:spacing w:after="60"/>
            </w:pPr>
            <w:r>
              <w:rPr>
                <w:rFonts w:ascii="Times New Roman" w:cs="Times New Roman" w:eastAsia="Times New Roman" w:hAnsi="Times New Roman"/>
                <w:sz w:val="22"/>
                <w:szCs w:val="22"/>
              </w:rPr>
              <w:t xml:space="preserve">Total</w:t>
            </w:r>
          </w:p>
        </w:tc>
        <w:tc>
          <w:tcPr>
            <w:tcW w:type="dxa" w:w="2400"/>
            <w:vAlign w:val="center"/>
          </w:tcPr>
          <w:p>
            <w:pPr>
              <w:spacing w:after="60"/>
            </w:pPr>
            <w:r>
              <w:rPr>
                <w:rFonts w:ascii="Times New Roman" w:cs="Times New Roman" w:eastAsia="Times New Roman" w:hAnsi="Times New Roman"/>
                <w:sz w:val="22"/>
                <w:szCs w:val="22"/>
              </w:rPr>
              <w:t xml:space="preserve">~810–990 (~40.5–49.5 h)</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variance than the writing scale for estimation of agreement statistics. The writing mark (/5) is analysed as a secondary criterion: its 6-point scale (0–5) compresses variance and limits the precision of agreement statistics. All analyses are reported for both criteria, but interpretive weight is placed on the reading mark. The total mark (/15) is reported in supplementary tables only. This hierarchy reflects a design constraint inherent in the IGCSE marking scheme, not an analytical choice.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A discussion of expected precision at the study’s sample size will be included in the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(i.e., at least two passes share each model label for the affected tool), the change enters as a covariate; otherwise it is reported descriptively and the limitation is noted. Convergence, singular fits and boundary estimates will be reported.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A maximum of 8 unique scripts will be selected for content analysis: 5 high-discrepancy and 3 low-discrepancy, using the following prespecified procedure. For each script and each tool/passage combination, two component discrepancies are computed from the rubric-embedded framing, Pass 1: the absolute correction gap on the reading mark as a proportion of the reading scale (gap/10) and the absolute correction gap on the writing mark as a proportion of the writing scale (gap/5). The selection metric for a given script is the maximum of these proportional component discrepancies across both tools for that script’s passage. Because each script answers one passage, the metric is computed within the tool/component combinations available for that script; scripts from both passages are then ranked together. This normalisation places reading and writing discrepancies on a common proportional scale despite the different scale lengths; it does not guarantee equal contribution to selection, since the distributions of discrepancies may differ between components. A script with a large component-level discrepancy is not excluded because the total-score gap is small.</w:t>
      </w:r>
    </w:p>
    <w:p>
      <w:pPr>
        <w:spacing w:after="120" w:line="360"/>
        <w:jc w:val="both"/>
      </w:pPr>
      <w:r>
        <w:rPr>
          <w:rFonts w:ascii="Times New Roman" w:cs="Times New Roman" w:eastAsia="Times New Roman" w:hAnsi="Times New Roman"/>
          <w:sz w:val="24"/>
          <w:szCs w:val="24"/>
        </w:rPr>
        <w:t xml:space="preserve">The 5 high-discrepancy scripts are those with the largest selection metric. The 3 lowest-discrepancy scripts are drawn from the remaining pool (excluding the 5 already selected); the 3 with the smallest maximum proportional discrepancy across both tools and both components for that script’s passage are selected. Their actual discrepancy values will be reported. The two pools are therefore mutually exclusive. Where a script appears in multiple tool/passage lists, it is counted once. Ties are broken alphabetically by script code. The lowest-discrepancy cases serve as a contrast: they show what AI rationales look like when scoring is relatively close to human judgement, providing an interpretive baseline for the high-discrepancy findings. These cases are the lowest in the sample; they are not necessarily small in absolute terms.</w:t>
      </w:r>
    </w:p>
    <w:p>
      <w:pPr>
        <w:spacing w:after="120" w:line="360"/>
        <w:jc w:val="both"/>
      </w:pPr>
      <w:r>
        <w:rPr>
          <w:rFonts w:ascii="Times New Roman" w:cs="Times New Roman" w:eastAsia="Times New Roman" w:hAnsi="Times New Roman"/>
          <w:sz w:val="24"/>
          <w:szCs w:val="24"/>
        </w:rPr>
        <w:t xml:space="preserve">For each selected script, one rationale per tool is analysed—the Pass 1 rubric-embedded response—yielding up to 16 rationale texts (8 scripts × 2 tools).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Observable language-feature penalisation or crediting: </w:t>
      </w:r>
      <w:r>
        <w:rPr>
          <w:rFonts w:ascii="Times New Roman" w:cs="Times New Roman" w:eastAsia="Times New Roman" w:hAnsi="Times New Roman"/>
          <w:sz w:val="24"/>
          <w:szCs w:val="24"/>
        </w:rPr>
        <w:t xml:space="preserve">AI penalises language features observable in multilingual learners’ writing on grounds not supported by the applicable rubric descriptor for the criterion in question, when a human marker credits the same phrasing as effective transformation; AI fails to penalise near-copying under a descriptor that penalises reliance on source wording</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applies a level descriptor to the wrong criterion—for example, using fluent prose to justify a reading mark without supporting content-point evidence,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of whether the claim is supported, unsupported or ambiguous given the textual evidence.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(up to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be discussed and resolved where possible; unresolved cases will be documented and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assess whether the combined evidence supports a discrepancy-review workflow. For each tool/passage combination, the synthesis reports: (a) pass-to-pass consistency (from RQ1); (b) agreement with human raters and the direction and magnitude of the correction gap (from RQ2); and (c) the qualitative patterns that explain high-divergence cases (from RQ3). The synthesis identifies which tool/passage/criterion combinations have the strongest evidence base and which carry the greatest risk of construct-irrelevant scoring.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is more consistent with human judgement than prior literature might suggest.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the data did not support the hypothesis, and the absence is itself informative.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spacing w:after="60"/>
            </w:pPr>
            <w:r>
              <w:rPr>
                <w:rFonts w:ascii="Times New Roman" w:cs="Times New Roman" w:eastAsia="Times New Roman" w:hAnsi="Times New Roman"/>
                <w:b/>
                <w:bCs/>
                <w:sz w:val="22"/>
                <w:szCs w:val="22"/>
              </w:rPr>
              <w:t xml:space="preserve">Analysis</w:t>
            </w:r>
          </w:p>
        </w:tc>
      </w:tr>
      <w:tr>
        <w:tc>
          <w:tcPr>
            <w:tcW w:type="dxa" w:w="1200"/>
            <w:vAlign w:val="center"/>
          </w:tcPr>
          <w:p>
            <w:pPr>
              <w:spacing w:after="60"/>
            </w:pPr>
            <w:r>
              <w:rPr>
                <w:rFonts w:ascii="Times New Roman" w:cs="Times New Roman" w:eastAsia="Times New Roman" w:hAnsi="Times New Roman"/>
                <w:sz w:val="22"/>
                <w:szCs w:val="22"/>
              </w:rPr>
              <w:t xml:space="preserve">RQ1</w:t>
            </w:r>
          </w:p>
        </w:tc>
        <w:tc>
          <w:tcPr>
            <w:tcW w:type="dxa" w:w="8000"/>
            <w:vAlign w:val="center"/>
          </w:tcPr>
          <w:p>
            <w:pPr>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c>
          <w:tcPr>
            <w:tcW w:type="dxa" w:w="1200"/>
            <w:vAlign w:val="center"/>
          </w:tcPr>
          <w:p>
            <w:pPr>
              <w:spacing w:after="60"/>
            </w:pPr>
            <w:r>
              <w:rPr>
                <w:rFonts w:ascii="Times New Roman" w:cs="Times New Roman" w:eastAsia="Times New Roman" w:hAnsi="Times New Roman"/>
                <w:sz w:val="22"/>
                <w:szCs w:val="22"/>
              </w:rPr>
              <w:t xml:space="preserve">RQ2</w:t>
            </w:r>
          </w:p>
        </w:tc>
        <w:tc>
          <w:tcPr>
            <w:tcW w:type="dxa" w:w="8000"/>
            <w:vAlign w:val="center"/>
          </w:tcPr>
          <w:p>
            <w:pPr>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c>
          <w:tcPr>
            <w:tcW w:type="dxa" w:w="1200"/>
            <w:vAlign w:val="center"/>
          </w:tcPr>
          <w:p>
            <w:pPr>
              <w:spacing w:after="60"/>
            </w:pPr>
            <w:r>
              <w:rPr>
                <w:rFonts w:ascii="Times New Roman" w:cs="Times New Roman" w:eastAsia="Times New Roman" w:hAnsi="Times New Roman"/>
                <w:sz w:val="22"/>
                <w:szCs w:val="22"/>
              </w:rPr>
              <w:t xml:space="preserve">RQ3</w:t>
            </w:r>
          </w:p>
        </w:tc>
        <w:tc>
          <w:tcPr>
            <w:tcW w:type="dxa" w:w="8000"/>
            <w:vAlign w:val="center"/>
          </w:tcPr>
          <w:p>
            <w:pPr>
              <w:spacing w:after="60"/>
            </w:pPr>
            <w:r>
              <w:rPr>
                <w:rFonts w:ascii="Times New Roman" w:cs="Times New Roman" w:eastAsia="Times New Roman" w:hAnsi="Times New Roman"/>
                <w:sz w:val="22"/>
                <w:szCs w:val="22"/>
              </w:rPr>
              <w:t xml:space="preserve">Focused content analysis of AI rationales for 8 scripts (5 high-discrepancy, 3 low-discrepancy): dual-coded thematic coding of scoring justifications with inter-coder agreement, with attention to source fidelity, construct-irrelevant features, construct confusion (reading vs. writing) and observable language features of multilingual learners</w:t>
            </w:r>
          </w:p>
        </w:tc>
      </w:tr>
      <w:tr>
        <w:tc>
          <w:tcPr>
            <w:tcW w:type="dxa" w:w="1200"/>
            <w:vAlign w:val="center"/>
          </w:tcPr>
          <w:p>
            <w:pPr>
              <w:spacing w:after="60"/>
            </w:pPr>
            <w:r>
              <w:rPr>
                <w:rFonts w:ascii="Times New Roman" w:cs="Times New Roman" w:eastAsia="Times New Roman" w:hAnsi="Times New Roman"/>
                <w:sz w:val="22"/>
                <w:szCs w:val="22"/>
              </w:rPr>
              <w:t xml:space="preserve">Synthesis</w:t>
            </w:r>
          </w:p>
        </w:tc>
        <w:tc>
          <w:tcPr>
            <w:tcW w:type="dxa" w:w="8000"/>
            <w:vAlign w:val="center"/>
          </w:tcPr>
          <w:p>
            <w:pPr>
              <w:spacing w:after="60"/>
            </w:pPr>
            <w:r>
              <w:rPr>
                <w:rFonts w:ascii="Times New Roman" w:cs="Times New Roman" w:eastAsia="Times New Roman" w:hAnsi="Times New Roman"/>
                <w:sz w:val="22"/>
                <w:szCs w:val="22"/>
              </w:rPr>
              <w:t xml:space="preserve">Descriptive evidence base for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Work</w:t>
            </w:r>
          </w:p>
        </w:tc>
      </w:tr>
      <w:tr>
        <w:tc>
          <w:tcPr>
            <w:tcW w:type="dxa" w:w="2400"/>
            <w:vAlign w:val="center"/>
          </w:tcPr>
          <w:p>
            <w:pPr>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spacing w:after="60"/>
            </w:pPr>
            <w:r>
              <w:rPr>
                <w:rFonts w:ascii="Times New Roman" w:cs="Times New Roman" w:eastAsia="Times New Roman" w:hAnsi="Times New Roman"/>
                <w:sz w:val="22"/>
                <w:szCs w:val="22"/>
              </w:rPr>
              <w:t xml:space="preserve">Prepare ethics documents</w:t>
            </w:r>
          </w:p>
        </w:tc>
      </w:tr>
      <w:tr>
        <w:tc>
          <w:tcPr>
            <w:tcW w:type="dxa" w:w="2400"/>
            <w:vAlign w:val="center"/>
          </w:tcPr>
          <w:p>
            <w:pPr>
              <w:spacing w:after="60"/>
            </w:pPr>
            <w:r>
              <w:rPr>
                <w:rFonts w:ascii="Times New Roman" w:cs="Times New Roman" w:eastAsia="Times New Roman" w:hAnsi="Times New Roman"/>
                <w:sz w:val="22"/>
                <w:szCs w:val="22"/>
              </w:rPr>
              <w:t xml:space="preserve">Sep–Dec 2027</w:t>
            </w:r>
          </w:p>
        </w:tc>
        <w:tc>
          <w:tcPr>
            <w:tcW w:type="dxa" w:w="6800"/>
            <w:vAlign w:val="center"/>
          </w:tcPr>
          <w:p>
            <w:pPr>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c>
          <w:tcPr>
            <w:tcW w:type="dxa" w:w="2400"/>
            <w:vAlign w:val="center"/>
          </w:tcPr>
          <w:p>
            <w:pPr>
              <w:spacing w:after="60"/>
            </w:pPr>
            <w:r>
              <w:rPr>
                <w:rFonts w:ascii="Times New Roman" w:cs="Times New Roman" w:eastAsia="Times New Roman" w:hAnsi="Times New Roman"/>
                <w:sz w:val="22"/>
                <w:szCs w:val="22"/>
              </w:rPr>
              <w:t xml:space="preserve">Jan 2028</w:t>
            </w:r>
          </w:p>
        </w:tc>
        <w:tc>
          <w:tcPr>
            <w:tcW w:type="dxa" w:w="6800"/>
            <w:vAlign w:val="center"/>
          </w:tcPr>
          <w:p>
            <w:pPr>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c>
          <w:tcPr>
            <w:tcW w:type="dxa" w:w="2400"/>
            <w:vAlign w:val="center"/>
          </w:tcPr>
          <w:p>
            <w:pPr>
              <w:spacing w:after="60"/>
            </w:pPr>
            <w:r>
              <w:rPr>
                <w:rFonts w:ascii="Times New Roman" w:cs="Times New Roman" w:eastAsia="Times New Roman" w:hAnsi="Times New Roman"/>
                <w:sz w:val="22"/>
                <w:szCs w:val="22"/>
              </w:rPr>
              <w:t xml:space="preserve">Feb–Apr 2028</w:t>
            </w:r>
          </w:p>
        </w:tc>
        <w:tc>
          <w:tcPr>
            <w:tcW w:type="dxa" w:w="6800"/>
            <w:vAlign w:val="center"/>
          </w:tcPr>
          <w:p>
            <w:pPr>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w:t>
            </w:r>
          </w:p>
        </w:tc>
      </w:tr>
      <w:tr>
        <w:tc>
          <w:tcPr>
            <w:tcW w:type="dxa" w:w="2400"/>
            <w:vAlign w:val="center"/>
          </w:tcPr>
          <w:p>
            <w:pPr>
              <w:spacing w:after="60"/>
            </w:pPr>
            <w:r>
              <w:rPr>
                <w:rFonts w:ascii="Times New Roman" w:cs="Times New Roman" w:eastAsia="Times New Roman" w:hAnsi="Times New Roman"/>
                <w:sz w:val="22"/>
                <w:szCs w:val="22"/>
              </w:rPr>
              <w:t xml:space="preserve">May–Aug 2028</w:t>
            </w:r>
          </w:p>
        </w:tc>
        <w:tc>
          <w:tcPr>
            <w:tcW w:type="dxa" w:w="6800"/>
            <w:vAlign w:val="center"/>
          </w:tcPr>
          <w:p>
            <w:pPr>
              <w:spacing w:after="60"/>
            </w:pPr>
            <w:r>
              <w:rPr>
                <w:rFonts w:ascii="Times New Roman" w:cs="Times New Roman" w:eastAsia="Times New Roman" w:hAnsi="Times New Roman"/>
                <w:sz w:val="22"/>
                <w:szCs w:val="22"/>
              </w:rPr>
              <w:t xml:space="preserve">AI scoring (both tools interleaved on the same days; three passes per tool within a five-day window); anchor checks; apply model-change decision rule if applicable</w:t>
            </w:r>
          </w:p>
        </w:tc>
      </w:tr>
      <w:tr>
        <w:tc>
          <w:tcPr>
            <w:tcW w:type="dxa" w:w="2400"/>
            <w:vAlign w:val="center"/>
          </w:tcPr>
          <w:p>
            <w:pPr>
              <w:spacing w:after="60"/>
            </w:pPr>
            <w:r>
              <w:rPr>
                <w:rFonts w:ascii="Times New Roman" w:cs="Times New Roman" w:eastAsia="Times New Roman" w:hAnsi="Times New Roman"/>
                <w:sz w:val="22"/>
                <w:szCs w:val="22"/>
              </w:rPr>
              <w:t xml:space="preserve">Sep 2028 – Aug 2029</w:t>
            </w:r>
          </w:p>
        </w:tc>
        <w:tc>
          <w:tcPr>
            <w:tcW w:type="dxa" w:w="6800"/>
            <w:vAlign w:val="center"/>
          </w:tcPr>
          <w:p>
            <w:pPr>
              <w:spacing w:after="60"/>
            </w:pPr>
            <w:r>
              <w:rPr>
                <w:rFonts w:ascii="Times New Roman" w:cs="Times New Roman" w:eastAsia="Times New Roman" w:hAnsi="Times New Roman"/>
                <w:sz w:val="22"/>
                <w:szCs w:val="22"/>
              </w:rPr>
              <w:t xml:space="preserve">Analysis; dual-coded content analysis of high-divergence rationales; Papers 1–2 drafted</w:t>
            </w:r>
          </w:p>
        </w:tc>
      </w:tr>
      <w:tr>
        <w:tc>
          <w:tcPr>
            <w:tcW w:type="dxa" w:w="2400"/>
            <w:vAlign w:val="center"/>
          </w:tcPr>
          <w:p>
            <w:pPr>
              <w:spacing w:after="60"/>
            </w:pPr>
            <w:r>
              <w:rPr>
                <w:rFonts w:ascii="Times New Roman" w:cs="Times New Roman" w:eastAsia="Times New Roman" w:hAnsi="Times New Roman"/>
                <w:sz w:val="22"/>
                <w:szCs w:val="22"/>
              </w:rPr>
              <w:t xml:space="preserve">Sep 2029 – Aug 2031</w:t>
            </w:r>
          </w:p>
        </w:tc>
        <w:tc>
          <w:tcPr>
            <w:tcW w:type="dxa" w:w="6800"/>
            <w:vAlign w:val="center"/>
          </w:tcPr>
          <w:p>
            <w:pPr>
              <w:spacing w:after="60"/>
            </w:pPr>
            <w:r>
              <w:rPr>
                <w:rFonts w:ascii="Times New Roman" w:cs="Times New Roman" w:eastAsia="Times New Roman" w:hAnsi="Times New Roman"/>
                <w:sz w:val="22"/>
                <w:szCs w:val="22"/>
              </w:rPr>
              <w:t xml:space="preserve">Thesis writing; optional third paper if data warrant</w:t>
            </w:r>
          </w:p>
        </w:tc>
      </w:tr>
    </w:tbl>
    <w:p>
      <w:pPr>
        <w:pStyle w:val="Heading2"/>
        <w:spacing w:after="120" w:before="240" w:line="360"/>
      </w:pPr>
      <w:r>
        <w:rPr>
          <w:rFonts w:ascii="Times New Roman" w:cs="Times New Roman" w:eastAsia="Times New Roman" w:hAnsi="Times New Roman"/>
          <w:b/>
          <w:bCs/>
          <w:sz w:val="28"/>
          <w:szCs w:val="28"/>
        </w:rPr>
        <w:t xml:space="preserve">4.2 Planned outputs</w:t>
      </w:r>
    </w:p>
    <w:p>
      <w:pPr>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2400"/>
        <w:gridCol w:w="2400"/>
      </w:tblGrid>
      <w:tr>
        <w:trPr>
          <w:tblHeader/>
        </w:trPr>
        <w:tc>
          <w:tcPr>
            <w:tcW w:type="dxa" w:w="600"/>
            <w:shd w:fill="E8E8E8" w:val="clear"/>
            <w:vAlign w:val="center"/>
          </w:tcPr>
          <w:p>
            <w:pPr>
              <w:spacing w:after="60"/>
            </w:pPr>
            <w:r>
              <w:rPr>
                <w:rFonts w:ascii="Times New Roman" w:cs="Times New Roman" w:eastAsia="Times New Roman" w:hAnsi="Times New Roman"/>
                <w:b/>
                <w:bCs/>
                <w:sz w:val="22"/>
                <w:szCs w:val="22"/>
              </w:rPr>
              <w:t xml:space="preserve">Paper</w:t>
            </w:r>
          </w:p>
        </w:tc>
        <w:tc>
          <w:tcPr>
            <w:tcW w:type="dxa" w:w="3800"/>
            <w:shd w:fill="E8E8E8" w:val="clear"/>
            <w:vAlign w:val="center"/>
          </w:tcPr>
          <w:p>
            <w:pPr>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Status</w:t>
            </w:r>
          </w:p>
        </w:tc>
      </w:tr>
      <w:tr>
        <w:tc>
          <w:tcPr>
            <w:tcW w:type="dxa" w:w="600"/>
            <w:vAlign w:val="center"/>
          </w:tcPr>
          <w:p>
            <w:pPr>
              <w:spacing w:after="60"/>
            </w:pPr>
            <w:r>
              <w:rPr>
                <w:rFonts w:ascii="Times New Roman" w:cs="Times New Roman" w:eastAsia="Times New Roman" w:hAnsi="Times New Roman"/>
                <w:sz w:val="22"/>
                <w:szCs w:val="22"/>
              </w:rPr>
              <w:t xml:space="preserve">1</w:t>
            </w:r>
          </w:p>
        </w:tc>
        <w:tc>
          <w:tcPr>
            <w:tcW w:type="dxa" w:w="3800"/>
            <w:vAlign w:val="center"/>
          </w:tcPr>
          <w:p>
            <w:pPr>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c>
          <w:tcPr>
            <w:tcW w:type="dxa" w:w="600"/>
            <w:vAlign w:val="center"/>
          </w:tcPr>
          <w:p>
            <w:pPr>
              <w:spacing w:after="60"/>
            </w:pPr>
            <w:r>
              <w:rPr>
                <w:rFonts w:ascii="Times New Roman" w:cs="Times New Roman" w:eastAsia="Times New Roman" w:hAnsi="Times New Roman"/>
                <w:sz w:val="22"/>
                <w:szCs w:val="22"/>
              </w:rPr>
              <w:t xml:space="preserve">2</w:t>
            </w:r>
          </w:p>
        </w:tc>
        <w:tc>
          <w:tcPr>
            <w:tcW w:type="dxa" w:w="3800"/>
            <w:vAlign w:val="center"/>
          </w:tcPr>
          <w:p>
            <w:pPr>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c>
          <w:tcPr>
            <w:tcW w:type="dxa" w:w="600"/>
            <w:vAlign w:val="center"/>
          </w:tcPr>
          <w:p>
            <w:pPr>
              <w:spacing w:after="60"/>
            </w:pPr>
            <w:r>
              <w:rPr>
                <w:rFonts w:ascii="Times New Roman" w:cs="Times New Roman" w:eastAsia="Times New Roman" w:hAnsi="Times New Roman"/>
                <w:sz w:val="22"/>
                <w:szCs w:val="22"/>
              </w:rPr>
              <w:t xml:space="preserve">3</w:t>
            </w:r>
          </w:p>
        </w:tc>
        <w:tc>
          <w:tcPr>
            <w:tcW w:type="dxa" w:w="3800"/>
            <w:vAlign w:val="center"/>
          </w:tcPr>
          <w:p>
            <w:pPr>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Fourth, the frozen, anonymised corpus will be documented for replication and, subject to ethics and data policy, made available for rescoring by future models.</w:t>
      </w:r>
    </w:p>
    <w:p>
      <w:pPr>
        <w:spacing w:after="120" w:line="360"/>
        <w:jc w:val="both"/>
      </w:pPr>
      <w:r>
        <w:rPr>
          <w:rFonts w:ascii="Times New Roman" w:cs="Times New Roman" w:eastAsia="Times New Roman" w:hAnsi="Times New Roman"/>
          <w:sz w:val="24"/>
          <w:szCs w:val="24"/>
        </w:rPr>
        <w:t xml:space="preserve">Because the corpus is fully anonymised and the linkage key is destroyed at the corpus-freezing date, rescoring by future models may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spacing w:after="60"/>
            </w:pPr>
            <w:r>
              <w:rPr>
                <w:rFonts w:ascii="Times New Roman" w:cs="Times New Roman" w:eastAsia="Times New Roman" w:hAnsi="Times New Roman"/>
                <w:b/>
                <w:bCs/>
                <w:sz w:val="22"/>
                <w:szCs w:val="22"/>
              </w:rPr>
              <w:t xml:space="preserve">Response</w:t>
            </w:r>
          </w:p>
        </w:tc>
      </w:tr>
      <w:tr>
        <w:tc>
          <w:tcPr>
            <w:tcW w:type="dxa" w:w="3000"/>
            <w:vAlign w:val="center"/>
          </w:tcPr>
          <w:p>
            <w:pPr>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c>
          <w:tcPr>
            <w:tcW w:type="dxa" w:w="3000"/>
            <w:vAlign w:val="center"/>
          </w:tcPr>
          <w:p>
            <w:pPr>
              <w:spacing w:after="60"/>
            </w:pPr>
            <w:r>
              <w:rPr>
                <w:rFonts w:ascii="Times New Roman" w:cs="Times New Roman" w:eastAsia="Times New Roman" w:hAnsi="Times New Roman"/>
                <w:sz w:val="22"/>
                <w:szCs w:val="22"/>
              </w:rPr>
              <w:t xml:space="preserve">One school, one task</w:t>
            </w:r>
          </w:p>
        </w:tc>
        <w:tc>
          <w:tcPr>
            <w:tcW w:type="dxa" w:w="6200"/>
            <w:vAlign w:val="center"/>
          </w:tcPr>
          <w:p>
            <w:pPr>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c>
          <w:tcPr>
            <w:tcW w:type="dxa" w:w="3000"/>
            <w:vAlign w:val="center"/>
          </w:tcPr>
          <w:p>
            <w:pPr>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c>
          <w:tcPr>
            <w:tcW w:type="dxa" w:w="3000"/>
            <w:vAlign w:val="center"/>
          </w:tcPr>
          <w:p>
            <w:pPr>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spacing w:after="60"/>
            </w:pPr>
            <w:r>
              <w:rPr>
                <w:rFonts w:ascii="Times New Roman" w:cs="Times New Roman" w:eastAsia="Times New Roman" w:hAnsi="Times New Roman"/>
                <w:sz w:val="22"/>
                <w:szCs w:val="22"/>
              </w:rPr>
              <w:t xml:space="preserve">Bootstrapped 95% CIs reported; expected precision discussed in preregistration</w:t>
            </w:r>
          </w:p>
        </w:tc>
      </w:tr>
      <w:tr>
        <w:tc>
          <w:tcPr>
            <w:tcW w:type="dxa" w:w="3000"/>
            <w:vAlign w:val="center"/>
          </w:tcPr>
          <w:p>
            <w:pPr>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tool-level ICC(1,1) is well-supported but individual-script precision remains limited. More passes would improve precision but exceed the study’s practical constraints.</w:t>
            </w:r>
          </w:p>
        </w:tc>
      </w:tr>
      <w:tr>
        <w:tc>
          <w:tcPr>
            <w:tcW w:type="dxa" w:w="3000"/>
            <w:vAlign w:val="center"/>
          </w:tcPr>
          <w:p>
            <w:pPr>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c>
          <w:tcPr>
            <w:tcW w:type="dxa" w:w="3000"/>
            <w:vAlign w:val="center"/>
          </w:tcPr>
          <w:p>
            <w:pPr>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c>
          <w:tcPr>
            <w:tcW w:type="dxa" w:w="3000"/>
            <w:vAlign w:val="center"/>
          </w:tcPr>
          <w:p>
            <w:pPr>
              <w:spacing w:after="60"/>
            </w:pPr>
            <w:r>
              <w:rPr>
                <w:rFonts w:ascii="Times New Roman" w:cs="Times New Roman" w:eastAsia="Times New Roman" w:hAnsi="Times New Roman"/>
                <w:sz w:val="22"/>
                <w:szCs w:val="22"/>
              </w:rPr>
              <w:t xml:space="preserve">Single scoring wave</w:t>
            </w:r>
          </w:p>
        </w:tc>
        <w:tc>
          <w:tcPr>
            <w:tcW w:type="dxa" w:w="6200"/>
            <w:vAlign w:val="center"/>
          </w:tcPr>
          <w:p>
            <w:pPr>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c>
          <w:tcPr>
            <w:tcW w:type="dxa" w:w="3000"/>
            <w:vAlign w:val="center"/>
          </w:tcPr>
          <w:p>
            <w:pPr>
              <w:spacing w:after="60"/>
            </w:pPr>
            <w:r>
              <w:rPr>
                <w:rFonts w:ascii="Times New Roman" w:cs="Times New Roman" w:eastAsia="Times New Roman" w:hAnsi="Times New Roman"/>
                <w:sz w:val="22"/>
                <w:szCs w:val="22"/>
              </w:rPr>
              <w:t xml:space="preserve">Prompt sensitivity</w:t>
            </w:r>
          </w:p>
        </w:tc>
        <w:tc>
          <w:tcPr>
            <w:tcW w:type="dxa" w:w="6200"/>
            <w:vAlign w:val="center"/>
          </w:tcPr>
          <w:p>
            <w:pPr>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c>
          <w:tcPr>
            <w:tcW w:type="dxa" w:w="3000"/>
            <w:vAlign w:val="center"/>
          </w:tcPr>
          <w:p>
            <w:pPr>
              <w:spacing w:after="60"/>
            </w:pPr>
            <w:r>
              <w:rPr>
                <w:rFonts w:ascii="Times New Roman" w:cs="Times New Roman" w:eastAsia="Times New Roman" w:hAnsi="Times New Roman"/>
                <w:sz w:val="22"/>
                <w:szCs w:val="22"/>
              </w:rPr>
              <w:t xml:space="preserve">Content analysis dual-coded but not independently validated</w:t>
            </w:r>
          </w:p>
        </w:tc>
        <w:tc>
          <w:tcPr>
            <w:tcW w:type="dxa" w:w="6200"/>
            <w:vAlign w:val="center"/>
          </w:tcPr>
          <w:p>
            <w:pPr>
              <w:spacing w:after="60"/>
            </w:pPr>
            <w:r>
              <w:rPr>
                <w:rFonts w:ascii="Times New Roman" w:cs="Times New Roman" w:eastAsia="Times New Roman" w:hAnsi="Times New Roman"/>
                <w:sz w:val="22"/>
                <w:szCs w:val="22"/>
              </w:rPr>
              <w:t xml:space="preserve">Both the candidate and the second human rater independently code all 8 selected scripts using the same coding scheme, and inter-coder agreement is reported. The supervisor reviews a sample as an additional credibility check. This strengthens trustworthiness relative to single-coder designs but does not constitute expert panel validation.</w:t>
            </w:r>
          </w:p>
        </w:tc>
      </w:tr>
      <w:tr>
        <w:tc>
          <w:tcPr>
            <w:tcW w:type="dxa" w:w="3000"/>
            <w:vAlign w:val="center"/>
          </w:tcPr>
          <w:p>
            <w:pPr>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c>
          <w:tcPr>
            <w:tcW w:type="dxa" w:w="3000"/>
            <w:vAlign w:val="center"/>
          </w:tcPr>
          <w:p>
            <w:pPr>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contribution can be stated precisely: whether consumer AI scoring of an IGCSE selective summary is sufficiently consistent and sufficiently aligned with human judgement to support a discrepancy-review workflow, and where it is not, what the pattern of failure reveals.</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the descriptive evidence base—consistency statistics, agreement benchmarks, correction-gap profiles and qualitative explanations—that a teacher or school would need to make an informed decision about using a consumer AI tool as a second marker for this task. The evidence base is intended as a foundation for further validation rather than immediate operational adoption.</w:t>
      </w:r>
    </w:p>
    <w:p>
      <w:pPr>
        <w:spacing w:after="120" w:line="360"/>
        <w:jc w:val="both"/>
      </w:pPr>
      <w:r>
        <w:rPr>
          <w:rFonts w:ascii="Times New Roman" w:cs="Times New Roman" w:eastAsia="Times New Roman" w:hAnsi="Times New Roman"/>
          <w:sz w:val="24"/>
          <w:szCs w:val="24"/>
        </w:rPr>
        <w:t xml:space="preserve">Fourth, the frozen, anonymised corpus will be documented for replication and, subject to ethics and data policy, made available for rescoring by future models.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Description</w:t>
            </w:r>
          </w:p>
        </w:tc>
      </w:tr>
      <w:tr>
        <w:tc>
          <w:tcPr>
            <w:tcW w:type="dxa" w:w="2400"/>
            <w:vAlign w:val="center"/>
          </w:tcPr>
          <w:p>
            <w:pPr>
              <w:spacing w:after="60"/>
            </w:pPr>
            <w:r>
              <w:rPr>
                <w:rFonts w:ascii="Times New Roman" w:cs="Times New Roman" w:eastAsia="Times New Roman" w:hAnsi="Times New Roman"/>
                <w:sz w:val="22"/>
                <w:szCs w:val="22"/>
              </w:rPr>
              <w:t xml:space="preserve">Submission ID</w:t>
            </w:r>
          </w:p>
        </w:tc>
        <w:tc>
          <w:tcPr>
            <w:tcW w:type="dxa" w:w="6800"/>
            <w:vAlign w:val="center"/>
          </w:tcPr>
          <w:p>
            <w:pPr>
              <w:spacing w:after="60"/>
            </w:pPr>
            <w:r>
              <w:rPr>
                <w:rFonts w:ascii="Times New Roman" w:cs="Times New Roman" w:eastAsia="Times New Roman" w:hAnsi="Times New Roman"/>
                <w:sz w:val="22"/>
                <w:szCs w:val="22"/>
              </w:rPr>
              <w:t xml:space="preserve">Unique identifier for each submission</w:t>
            </w:r>
          </w:p>
        </w:tc>
      </w:tr>
      <w:tr>
        <w:tc>
          <w:tcPr>
            <w:tcW w:type="dxa" w:w="2400"/>
            <w:vAlign w:val="center"/>
          </w:tcPr>
          <w:p>
            <w:pPr>
              <w:spacing w:after="60"/>
            </w:pPr>
            <w:r>
              <w:rPr>
                <w:rFonts w:ascii="Times New Roman" w:cs="Times New Roman" w:eastAsia="Times New Roman" w:hAnsi="Times New Roman"/>
                <w:sz w:val="22"/>
                <w:szCs w:val="22"/>
              </w:rPr>
              <w:t xml:space="preserve">Date and time</w:t>
            </w:r>
          </w:p>
        </w:tc>
        <w:tc>
          <w:tcPr>
            <w:tcW w:type="dxa" w:w="6800"/>
            <w:vAlign w:val="center"/>
          </w:tcPr>
          <w:p>
            <w:pPr>
              <w:spacing w:after="60"/>
            </w:pPr>
            <w:r>
              <w:rPr>
                <w:rFonts w:ascii="Times New Roman" w:cs="Times New Roman" w:eastAsia="Times New Roman" w:hAnsi="Times New Roman"/>
                <w:sz w:val="22"/>
                <w:szCs w:val="22"/>
              </w:rPr>
              <w:t xml:space="preserve">Date and time of submission (with time zone)</w:t>
            </w:r>
          </w:p>
        </w:tc>
      </w:tr>
      <w:tr>
        <w:tc>
          <w:tcPr>
            <w:tcW w:type="dxa" w:w="2400"/>
            <w:vAlign w:val="center"/>
          </w:tcPr>
          <w:p>
            <w:pPr>
              <w:spacing w:after="60"/>
            </w:pPr>
            <w:r>
              <w:rPr>
                <w:rFonts w:ascii="Times New Roman" w:cs="Times New Roman" w:eastAsia="Times New Roman" w:hAnsi="Times New Roman"/>
                <w:sz w:val="22"/>
                <w:szCs w:val="22"/>
              </w:rPr>
              <w:t xml:space="preserve">App and plan</w:t>
            </w:r>
          </w:p>
        </w:tc>
        <w:tc>
          <w:tcPr>
            <w:tcW w:type="dxa" w:w="6800"/>
            <w:vAlign w:val="center"/>
          </w:tcPr>
          <w:p>
            <w:pPr>
              <w:spacing w:after="60"/>
            </w:pPr>
            <w:r>
              <w:rPr>
                <w:rFonts w:ascii="Times New Roman" w:cs="Times New Roman" w:eastAsia="Times New Roman" w:hAnsi="Times New Roman"/>
                <w:sz w:val="22"/>
                <w:szCs w:val="22"/>
              </w:rPr>
              <w:t xml:space="preserve">ChatGPT or Claude; interface (web or mobile); subscription plan</w:t>
            </w:r>
          </w:p>
        </w:tc>
      </w:tr>
      <w:tr>
        <w:tc>
          <w:tcPr>
            <w:tcW w:type="dxa" w:w="2400"/>
            <w:vAlign w:val="center"/>
          </w:tcPr>
          <w:p>
            <w:pPr>
              <w:spacing w:after="60"/>
            </w:pPr>
            <w:r>
              <w:rPr>
                <w:rFonts w:ascii="Times New Roman" w:cs="Times New Roman" w:eastAsia="Times New Roman" w:hAnsi="Times New Roman"/>
                <w:sz w:val="22"/>
                <w:szCs w:val="22"/>
              </w:rPr>
              <w:t xml:space="preserve">Model name</w:t>
            </w:r>
          </w:p>
        </w:tc>
        <w:tc>
          <w:tcPr>
            <w:tcW w:type="dxa" w:w="6800"/>
            <w:vAlign w:val="center"/>
          </w:tcPr>
          <w:p>
            <w:pPr>
              <w:spacing w:after="60"/>
            </w:pPr>
            <w:r>
              <w:rPr>
                <w:rFonts w:ascii="Times New Roman" w:cs="Times New Roman" w:eastAsia="Times New Roman" w:hAnsi="Times New Roman"/>
                <w:sz w:val="22"/>
                <w:szCs w:val="22"/>
              </w:rPr>
              <w:t xml:space="preserve">Flagship model chosen in the picker, as displayed</w:t>
            </w:r>
          </w:p>
        </w:tc>
      </w:tr>
      <w:tr>
        <w:tc>
          <w:tcPr>
            <w:tcW w:type="dxa" w:w="2400"/>
            <w:vAlign w:val="center"/>
          </w:tcPr>
          <w:p>
            <w:pPr>
              <w:spacing w:after="60"/>
            </w:pPr>
            <w:r>
              <w:rPr>
                <w:rFonts w:ascii="Times New Roman" w:cs="Times New Roman" w:eastAsia="Times New Roman" w:hAnsi="Times New Roman"/>
                <w:sz w:val="22"/>
                <w:szCs w:val="22"/>
              </w:rPr>
              <w:t xml:space="preserve">Reasoning mode</w:t>
            </w:r>
          </w:p>
        </w:tc>
        <w:tc>
          <w:tcPr>
            <w:tcW w:type="dxa" w:w="6800"/>
            <w:vAlign w:val="center"/>
          </w:tcPr>
          <w:p>
            <w:pPr>
              <w:spacing w:after="60"/>
            </w:pPr>
            <w:r>
              <w:rPr>
                <w:rFonts w:ascii="Times New Roman" w:cs="Times New Roman" w:eastAsia="Times New Roman" w:hAnsi="Times New Roman"/>
                <w:sz w:val="22"/>
                <w:szCs w:val="22"/>
              </w:rPr>
              <w:t xml:space="preserve">Reasoning or thinking setting as displayed</w:t>
            </w:r>
          </w:p>
        </w:tc>
      </w:tr>
      <w:tr>
        <w:tc>
          <w:tcPr>
            <w:tcW w:type="dxa" w:w="2400"/>
            <w:vAlign w:val="center"/>
          </w:tcPr>
          <w:p>
            <w:pPr>
              <w:spacing w:after="60"/>
            </w:pPr>
            <w:r>
              <w:rPr>
                <w:rFonts w:ascii="Times New Roman" w:cs="Times New Roman" w:eastAsia="Times New Roman" w:hAnsi="Times New Roman"/>
                <w:sz w:val="22"/>
                <w:szCs w:val="22"/>
              </w:rPr>
              <w:t xml:space="preserve">Model change</w:t>
            </w:r>
          </w:p>
        </w:tc>
        <w:tc>
          <w:tcPr>
            <w:tcW w:type="dxa" w:w="6800"/>
            <w:vAlign w:val="center"/>
          </w:tcPr>
          <w:p>
            <w:pPr>
              <w:spacing w:after="60"/>
            </w:pPr>
            <w:r>
              <w:rPr>
                <w:rFonts w:ascii="Times New Roman" w:cs="Times New Roman" w:eastAsia="Times New Roman" w:hAnsi="Times New Roman"/>
                <w:sz w:val="22"/>
                <w:szCs w:val="22"/>
              </w:rPr>
              <w:t xml:space="preserve">Whether the picker’s flagship model differs from that at the start of the scoring window (covariate)</w:t>
            </w:r>
          </w:p>
        </w:tc>
      </w:tr>
      <w:tr>
        <w:tc>
          <w:tcPr>
            <w:tcW w:type="dxa" w:w="2400"/>
            <w:vAlign w:val="center"/>
          </w:tcPr>
          <w:p>
            <w:pPr>
              <w:spacing w:after="60"/>
            </w:pPr>
            <w:r>
              <w:rPr>
                <w:rFonts w:ascii="Times New Roman" w:cs="Times New Roman" w:eastAsia="Times New Roman" w:hAnsi="Times New Roman"/>
                <w:sz w:val="22"/>
                <w:szCs w:val="22"/>
              </w:rPr>
              <w:t xml:space="preserve">Framing</w:t>
            </w:r>
          </w:p>
        </w:tc>
        <w:tc>
          <w:tcPr>
            <w:tcW w:type="dxa" w:w="6800"/>
            <w:vAlign w:val="center"/>
          </w:tcPr>
          <w:p>
            <w:pPr>
              <w:spacing w:after="60"/>
            </w:pPr>
            <w:r>
              <w:rPr>
                <w:rFonts w:ascii="Times New Roman" w:cs="Times New Roman" w:eastAsia="Times New Roman" w:hAnsi="Times New Roman"/>
                <w:sz w:val="22"/>
                <w:szCs w:val="22"/>
              </w:rPr>
              <w:t xml:space="preserve">Rubric-embedded</w:t>
            </w:r>
          </w:p>
        </w:tc>
      </w:tr>
      <w:tr>
        <w:tc>
          <w:tcPr>
            <w:tcW w:type="dxa" w:w="2400"/>
            <w:vAlign w:val="center"/>
          </w:tcPr>
          <w:p>
            <w:pPr>
              <w:spacing w:after="60"/>
            </w:pPr>
            <w:r>
              <w:rPr>
                <w:rFonts w:ascii="Times New Roman" w:cs="Times New Roman" w:eastAsia="Times New Roman" w:hAnsi="Times New Roman"/>
                <w:sz w:val="22"/>
                <w:szCs w:val="22"/>
              </w:rPr>
              <w:t xml:space="preserve">Passage</w:t>
            </w:r>
          </w:p>
        </w:tc>
        <w:tc>
          <w:tcPr>
            <w:tcW w:type="dxa" w:w="6800"/>
            <w:vAlign w:val="center"/>
          </w:tcPr>
          <w:p>
            <w:pPr>
              <w:spacing w:after="60"/>
            </w:pPr>
            <w:r>
              <w:rPr>
                <w:rFonts w:ascii="Times New Roman" w:cs="Times New Roman" w:eastAsia="Times New Roman" w:hAnsi="Times New Roman"/>
                <w:sz w:val="22"/>
                <w:szCs w:val="22"/>
              </w:rPr>
              <w:t xml:space="preserve">A or B</w:t>
            </w:r>
          </w:p>
        </w:tc>
      </w:tr>
      <w:tr>
        <w:tc>
          <w:tcPr>
            <w:tcW w:type="dxa" w:w="2400"/>
            <w:vAlign w:val="center"/>
          </w:tcPr>
          <w:p>
            <w:pPr>
              <w:spacing w:after="60"/>
            </w:pPr>
            <w:r>
              <w:rPr>
                <w:rFonts w:ascii="Times New Roman" w:cs="Times New Roman" w:eastAsia="Times New Roman" w:hAnsi="Times New Roman"/>
                <w:sz w:val="22"/>
                <w:szCs w:val="22"/>
              </w:rPr>
              <w:t xml:space="preserve">Pass</w:t>
            </w:r>
          </w:p>
        </w:tc>
        <w:tc>
          <w:tcPr>
            <w:tcW w:type="dxa" w:w="6800"/>
            <w:vAlign w:val="center"/>
          </w:tcPr>
          <w:p>
            <w:pPr>
              <w:spacing w:after="60"/>
            </w:pPr>
            <w:r>
              <w:rPr>
                <w:rFonts w:ascii="Times New Roman" w:cs="Times New Roman" w:eastAsia="Times New Roman" w:hAnsi="Times New Roman"/>
                <w:sz w:val="22"/>
                <w:szCs w:val="22"/>
              </w:rPr>
              <w:t xml:space="preserve">1, 2 or 3</w:t>
            </w:r>
          </w:p>
        </w:tc>
      </w:tr>
      <w:tr>
        <w:tc>
          <w:tcPr>
            <w:tcW w:type="dxa" w:w="2400"/>
            <w:vAlign w:val="center"/>
          </w:tcPr>
          <w:p>
            <w:pPr>
              <w:spacing w:after="60"/>
            </w:pPr>
            <w:r>
              <w:rPr>
                <w:rFonts w:ascii="Times New Roman" w:cs="Times New Roman" w:eastAsia="Times New Roman" w:hAnsi="Times New Roman"/>
                <w:sz w:val="22"/>
                <w:szCs w:val="22"/>
              </w:rPr>
              <w:t xml:space="preserve">Randomised position</w:t>
            </w:r>
          </w:p>
        </w:tc>
        <w:tc>
          <w:tcPr>
            <w:tcW w:type="dxa" w:w="6800"/>
            <w:vAlign w:val="center"/>
          </w:tcPr>
          <w:p>
            <w:pPr>
              <w:spacing w:after="60"/>
            </w:pPr>
            <w:r>
              <w:rPr>
                <w:rFonts w:ascii="Times New Roman" w:cs="Times New Roman" w:eastAsia="Times New Roman" w:hAnsi="Times New Roman"/>
                <w:sz w:val="22"/>
                <w:szCs w:val="22"/>
              </w:rPr>
              <w:t xml:space="preserve">Position of the submission in the pass’s randomised order</w:t>
            </w:r>
          </w:p>
        </w:tc>
      </w:tr>
      <w:tr>
        <w:tc>
          <w:tcPr>
            <w:tcW w:type="dxa" w:w="2400"/>
            <w:vAlign w:val="center"/>
          </w:tcPr>
          <w:p>
            <w:pPr>
              <w:spacing w:after="60"/>
            </w:pPr>
            <w:r>
              <w:rPr>
                <w:rFonts w:ascii="Times New Roman" w:cs="Times New Roman" w:eastAsia="Times New Roman" w:hAnsi="Times New Roman"/>
                <w:sz w:val="22"/>
                <w:szCs w:val="22"/>
              </w:rPr>
              <w:t xml:space="preserve">Script code</w:t>
            </w:r>
          </w:p>
        </w:tc>
        <w:tc>
          <w:tcPr>
            <w:tcW w:type="dxa" w:w="6800"/>
            <w:vAlign w:val="center"/>
          </w:tcPr>
          <w:p>
            <w:pPr>
              <w:spacing w:after="60"/>
            </w:pPr>
            <w:r>
              <w:rPr>
                <w:rFonts w:ascii="Times New Roman" w:cs="Times New Roman" w:eastAsia="Times New Roman" w:hAnsi="Times New Roman"/>
                <w:sz w:val="22"/>
                <w:szCs w:val="22"/>
              </w:rPr>
              <w:t xml:space="preserve">Anonymised script code, or anchor code</w:t>
            </w:r>
          </w:p>
        </w:tc>
      </w:tr>
      <w:tr>
        <w:tc>
          <w:tcPr>
            <w:tcW w:type="dxa" w:w="2400"/>
            <w:vAlign w:val="center"/>
          </w:tcPr>
          <w:p>
            <w:pPr>
              <w:spacing w:after="60"/>
            </w:pPr>
            <w:r>
              <w:rPr>
                <w:rFonts w:ascii="Times New Roman" w:cs="Times New Roman" w:eastAsia="Times New Roman" w:hAnsi="Times New Roman"/>
                <w:sz w:val="22"/>
                <w:szCs w:val="22"/>
              </w:rPr>
              <w:t xml:space="preserve">Anchor flag</w:t>
            </w:r>
          </w:p>
        </w:tc>
        <w:tc>
          <w:tcPr>
            <w:tcW w:type="dxa" w:w="6800"/>
            <w:vAlign w:val="center"/>
          </w:tcPr>
          <w:p>
            <w:pPr>
              <w:spacing w:after="60"/>
            </w:pPr>
            <w:r>
              <w:rPr>
                <w:rFonts w:ascii="Times New Roman" w:cs="Times New Roman" w:eastAsia="Times New Roman" w:hAnsi="Times New Roman"/>
                <w:sz w:val="22"/>
                <w:szCs w:val="22"/>
              </w:rPr>
              <w:t xml:space="preserve">Whether the submission is an anchor check</w:t>
            </w:r>
          </w:p>
        </w:tc>
      </w:tr>
      <w:tr>
        <w:tc>
          <w:tcPr>
            <w:tcW w:type="dxa" w:w="2400"/>
            <w:vAlign w:val="center"/>
          </w:tcPr>
          <w:p>
            <w:pPr>
              <w:spacing w:after="60"/>
            </w:pPr>
            <w:r>
              <w:rPr>
                <w:rFonts w:ascii="Times New Roman" w:cs="Times New Roman" w:eastAsia="Times New Roman" w:hAnsi="Times New Roman"/>
                <w:sz w:val="22"/>
                <w:szCs w:val="22"/>
              </w:rPr>
              <w:t xml:space="preserve">Settings check</w:t>
            </w:r>
          </w:p>
        </w:tc>
        <w:tc>
          <w:tcPr>
            <w:tcW w:type="dxa" w:w="6800"/>
            <w:vAlign w:val="center"/>
          </w:tcPr>
          <w:p>
            <w:pPr>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c>
          <w:tcPr>
            <w:tcW w:type="dxa" w:w="2400"/>
            <w:vAlign w:val="center"/>
          </w:tcPr>
          <w:p>
            <w:pPr>
              <w:spacing w:after="60"/>
            </w:pPr>
            <w:r>
              <w:rPr>
                <w:rFonts w:ascii="Times New Roman" w:cs="Times New Roman" w:eastAsia="Times New Roman" w:hAnsi="Times New Roman"/>
                <w:sz w:val="22"/>
                <w:szCs w:val="22"/>
              </w:rPr>
              <w:t xml:space="preserve">Full response</w:t>
            </w:r>
          </w:p>
        </w:tc>
        <w:tc>
          <w:tcPr>
            <w:tcW w:type="dxa" w:w="6800"/>
            <w:vAlign w:val="center"/>
          </w:tcPr>
          <w:p>
            <w:pPr>
              <w:spacing w:after="60"/>
            </w:pPr>
            <w:r>
              <w:rPr>
                <w:rFonts w:ascii="Times New Roman" w:cs="Times New Roman" w:eastAsia="Times New Roman" w:hAnsi="Times New Roman"/>
                <w:sz w:val="22"/>
                <w:szCs w:val="22"/>
              </w:rPr>
              <w:t xml:space="preserve">Complete text of the AI response</w:t>
            </w:r>
          </w:p>
        </w:tc>
      </w:tr>
      <w:tr>
        <w:tc>
          <w:tcPr>
            <w:tcW w:type="dxa" w:w="2400"/>
            <w:vAlign w:val="center"/>
          </w:tcPr>
          <w:p>
            <w:pPr>
              <w:spacing w:after="60"/>
            </w:pPr>
            <w:r>
              <w:rPr>
                <w:rFonts w:ascii="Times New Roman" w:cs="Times New Roman" w:eastAsia="Times New Roman" w:hAnsi="Times New Roman"/>
                <w:sz w:val="22"/>
                <w:szCs w:val="22"/>
              </w:rPr>
              <w:t xml:space="preserve">Extracted scores</w:t>
            </w:r>
          </w:p>
        </w:tc>
        <w:tc>
          <w:tcPr>
            <w:tcW w:type="dxa" w:w="6800"/>
            <w:vAlign w:val="center"/>
          </w:tcPr>
          <w:p>
            <w:pPr>
              <w:spacing w:after="60"/>
            </w:pPr>
            <w:r>
              <w:rPr>
                <w:rFonts w:ascii="Times New Roman" w:cs="Times New Roman" w:eastAsia="Times New Roman" w:hAnsi="Times New Roman"/>
                <w:sz w:val="22"/>
                <w:szCs w:val="22"/>
              </w:rPr>
              <w:t xml:space="preserve">Reading and writing marks parsed from the output line</w:t>
            </w:r>
          </w:p>
        </w:tc>
      </w:tr>
      <w:tr>
        <w:tc>
          <w:tcPr>
            <w:tcW w:type="dxa" w:w="2400"/>
            <w:vAlign w:val="center"/>
          </w:tcPr>
          <w:p>
            <w:pPr>
              <w:spacing w:after="60"/>
            </w:pPr>
            <w:r>
              <w:rPr>
                <w:rFonts w:ascii="Times New Roman" w:cs="Times New Roman" w:eastAsia="Times New Roman" w:hAnsi="Times New Roman"/>
                <w:sz w:val="22"/>
                <w:szCs w:val="22"/>
              </w:rPr>
              <w:t xml:space="preserve">Response status</w:t>
            </w:r>
          </w:p>
        </w:tc>
        <w:tc>
          <w:tcPr>
            <w:tcW w:type="dxa" w:w="6800"/>
            <w:vAlign w:val="center"/>
          </w:tcPr>
          <w:p>
            <w:pPr>
              <w:spacing w:after="60"/>
            </w:pPr>
            <w:r>
              <w:rPr>
                <w:rFonts w:ascii="Times New Roman" w:cs="Times New Roman" w:eastAsia="Times New Roman" w:hAnsi="Times New Roman"/>
                <w:sz w:val="22"/>
                <w:szCs w:val="22"/>
              </w:rPr>
              <w:t xml:space="preserve">Valid, refusal, out-of-range or unparseable, handled by the pre-set rules</w:t>
            </w:r>
          </w:p>
        </w:tc>
      </w:tr>
      <w:tr>
        <w:tc>
          <w:tcPr>
            <w:tcW w:type="dxa" w:w="2400"/>
            <w:vAlign w:val="center"/>
          </w:tcPr>
          <w:p>
            <w:pPr>
              <w:spacing w:after="60"/>
            </w:pPr>
            <w:r>
              <w:rPr>
                <w:rFonts w:ascii="Times New Roman" w:cs="Times New Roman" w:eastAsia="Times New Roman" w:hAnsi="Times New Roman"/>
                <w:sz w:val="22"/>
                <w:szCs w:val="22"/>
              </w:rPr>
              <w:t xml:space="preserve">Screenshot</w:t>
            </w:r>
          </w:p>
        </w:tc>
        <w:tc>
          <w:tcPr>
            <w:tcW w:type="dxa" w:w="6800"/>
            <w:vAlign w:val="center"/>
          </w:tcPr>
          <w:p>
            <w:pPr>
              <w:spacing w:after="60"/>
            </w:pPr>
            <w:r>
              <w:rPr>
                <w:rFonts w:ascii="Times New Roman" w:cs="Times New Roman" w:eastAsia="Times New Roman" w:hAnsi="Times New Roman"/>
                <w:sz w:val="22"/>
                <w:szCs w:val="22"/>
              </w:rPr>
              <w:t xml:space="preserve">File reference</w:t>
            </w:r>
          </w:p>
        </w:tc>
      </w:tr>
      <w:tr>
        <w:tc>
          <w:tcPr>
            <w:tcW w:type="dxa" w:w="2400"/>
            <w:vAlign w:val="center"/>
          </w:tcPr>
          <w:p>
            <w:pPr>
              <w:spacing w:after="60"/>
            </w:pPr>
            <w:r>
              <w:rPr>
                <w:rFonts w:ascii="Times New Roman" w:cs="Times New Roman" w:eastAsia="Times New Roman" w:hAnsi="Times New Roman"/>
                <w:sz w:val="22"/>
                <w:szCs w:val="22"/>
              </w:rPr>
              <w:t xml:space="preserve">Anomalies</w:t>
            </w:r>
          </w:p>
        </w:tc>
        <w:tc>
          <w:tcPr>
            <w:tcW w:type="dxa" w:w="6800"/>
            <w:vAlign w:val="center"/>
          </w:tcPr>
          <w:p>
            <w:pPr>
              <w:spacing w:after="60"/>
            </w:pPr>
            <w:r>
              <w:rPr>
                <w:rFonts w:ascii="Times New Roman" w:cs="Times New Roman" w:eastAsia="Times New Roman" w:hAnsi="Times New Roman"/>
                <w:sz w:val="22"/>
                <w:szCs w:val="22"/>
              </w:rPr>
              <w:t xml:space="preserve">Message-cap interruptions, regenerated responses or other irregularities</w:t>
            </w:r>
          </w:p>
        </w:tc>
      </w:tr>
    </w:tbl>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References</w:t>
      </w:r>
    </w:p>
    <w:p>
      <w:pPr>
        <w:spacing w:after="80" w:line="276"/>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spacing w:after="80" w:line="276"/>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spacing w:after="80" w:line="276"/>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spacing w:after="80" w:line="276"/>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spacing w:after="80" w:line="276"/>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spacing w:after="80" w:line="276"/>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spacing w:after="80" w:line="276"/>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spacing w:after="80" w:line="276"/>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spacing w:after="80" w:line="276"/>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spacing w:after="80" w:line="276"/>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spacing w:after="80" w:line="276"/>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spacing w:after="80" w:line="276"/>
        <w:ind w:left="720" w:hanging="720"/>
        <w:jc w:val="left"/>
      </w:pPr>
      <w:r>
        <w:rPr>
          <w:rFonts w:ascii="Times New Roman" w:cs="Times New Roman" w:eastAsia="Times New Roman" w:hAnsi="Times New Roman"/>
          <w:sz w:val="22"/>
          <w:szCs w:val="22"/>
        </w:rPr>
        <w:t xml:space="preserve">Cambridge International Education. (2024a). Cambridge IGCSE First Language English 0500: Syllabus for examination in 2027, 2028 and 2029 (Version 1).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Cambridge International Education. (2024c). 0990 First Language English (9–1) June 2024: Principal examiner report for teachers.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spacing w:after="80" w:line="276"/>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spacing w:after="80" w:line="276"/>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spacing w:after="80" w:line="276"/>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spacing w:after="80" w:line="276"/>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spacing w:after="80" w:line="276"/>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spacing w:after="80" w:line="276"/>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spacing w:after="80" w:line="276"/>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spacing w:after="80" w:line="276"/>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w:t>
      </w:r>
    </w:p>
    <w:p>
      <w:pPr>
        <w:spacing w:after="80" w:line="276"/>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spacing w:after="80" w:line="276"/>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spacing w:after="80" w:line="276"/>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spacing w:after="80" w:line="276"/>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spacing w:after="80" w:line="276"/>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spacing w:after="80" w:line="276"/>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spacing w:after="80" w:line="276"/>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spacing w:after="80" w:line="276"/>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spacing w:after="80" w:line="276"/>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spacing w:after="80" w:line="276"/>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spacing w:after="80" w:line="276"/>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spacing w:after="80" w:line="276"/>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spacing w:after="80" w:line="276"/>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spacing w:after="80" w:line="276"/>
        <w:ind w:left="720" w:hanging="720"/>
        <w:jc w:val="left"/>
      </w:pPr>
      <w:r>
        <w:rPr>
          <w:rFonts w:ascii="Times New Roman" w:cs="Times New Roman" w:eastAsia="Times New Roman" w:hAnsi="Times New Roman"/>
          <w:sz w:val="22"/>
          <w:szCs w:val="22"/>
        </w:rPr>
        <w:t xml:space="preserve">McNamara, T. F. (1996). Measuring second language performance. Longman.</w:t>
      </w:r>
    </w:p>
    <w:p>
      <w:pPr>
        <w:spacing w:after="80" w:line="276"/>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spacing w:after="80" w:line="276"/>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spacing w:after="80" w:line="276"/>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spacing w:after="80" w:line="276"/>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spacing w:after="80" w:line="276"/>
        <w:ind w:left="720" w:hanging="720"/>
        <w:jc w:val="left"/>
      </w:pPr>
      <w:r>
        <w:rPr>
          <w:rFonts w:ascii="Times New Roman" w:cs="Times New Roman" w:eastAsia="Times New Roman" w:hAnsi="Times New Roman"/>
          <w:sz w:val="22"/>
          <w:szCs w:val="22"/>
        </w:rPr>
        <w:t xml:space="preserve">OpenAI. (n.d.-a). Model release notes. OpenAI Help Center. Retrieved October 9, 2026.</w:t>
      </w:r>
    </w:p>
    <w:p>
      <w:pPr>
        <w:spacing w:after="80" w:line="276"/>
        <w:ind w:left="720" w:hanging="720"/>
        <w:jc w:val="left"/>
      </w:pPr>
      <w:r>
        <w:rPr>
          <w:rFonts w:ascii="Times New Roman" w:cs="Times New Roman" w:eastAsia="Times New Roman" w:hAnsi="Times New Roman"/>
          <w:sz w:val="22"/>
          <w:szCs w:val="22"/>
        </w:rPr>
        <w:t xml:space="preserve">OpenAI. (n.d.-b). Temporary chat in ChatGPT. OpenAI Help Center. Retrieved October 9, 2026.</w:t>
      </w:r>
    </w:p>
    <w:p>
      <w:pPr>
        <w:spacing w:after="80" w:line="276"/>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spacing w:after="80" w:line="276"/>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spacing w:after="80" w:line="276"/>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spacing w:after="80" w:line="276"/>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spacing w:after="80" w:line="276"/>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spacing w:after="80" w:line="276"/>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Language Testing, 42(4), 447–475. https://doi.org/10.1177/02655322251349217</w:t>
      </w:r>
    </w:p>
    <w:p>
      <w:pPr>
        <w:spacing w:after="80" w:line="276"/>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spacing w:after="80" w:line="276"/>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spacing w:after="80" w:line="276"/>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spacing w:after="80" w:line="276"/>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spacing w:after="80" w:line="276"/>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spacing w:after="80" w:line="276"/>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spacing w:after="80" w:line="276"/>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spacing w:after="80" w:line="276"/>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spacing w:after="80" w:line="276"/>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2026-10-10T15:08:49.489Z</dcterms:created>
  <dcterms:modified xsi:type="dcterms:W3CDTF">2026-10-10T15:08:49.491Z</dcterms:modified>
</cp:coreProperties>
</file>

<file path=docProps/custom.xml><?xml version="1.0" encoding="utf-8"?>
<Properties xmlns="http://schemas.openxmlformats.org/officeDocument/2006/custom-properties" xmlns:vt="http://schemas.openxmlformats.org/officeDocument/2006/docPropsVTypes"/>
</file>