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Pass-to-Pass Consistency, Agreement and the Scoring Correction Gap in Consumer AI Marking of IGCSE Summary Writing: A Two-Passage Study of ChatGPT and Claude Against Human Raters</w:t>
      </w:r>
    </w:p>
    <w:p>
      <w:pPr/>
      <w:r/>
      <w:r>
        <w:rPr>
          <w:b/>
        </w:rPr>
        <w:t>Universiti Sains Malaysia</w:t>
      </w:r>
      <w:r/>
    </w:p>
    <w:p>
      <w:pPr/>
      <w:r/>
      <w:r>
        <w:rPr>
          <w:b/>
        </w:rPr>
        <w:t>School of Languages, Literacies and Translation</w:t>
      </w:r>
      <w:r/>
    </w:p>
    <w:p>
      <w:pPr/>
      <w:r>
        <w:t>PhD research proposal for supervisory review</w:t>
      </w:r>
    </w:p>
    <w:p>
      <w:pPr/>
      <w:r/>
      <w:r>
        <w:rPr>
          <w:b/>
        </w:rPr>
        <w:t>Ehab Hourani</w:t>
      </w:r>
      <w:r/>
    </w:p>
    <w:p>
      <w:pPr/>
      <w:r>
        <w:t>Doctor of Philosophy (Language Studies), by research</w:t>
      </w:r>
    </w:p>
    <w:p>
      <w:pPr/>
      <w:r>
        <w:t>Proposed candidature: September 2027 to August 2031</w:t>
      </w:r>
    </w:p>
    <w:p>
      <w:pPr/>
      <w:r>
        <w:t>October 2026</w:t>
      </w:r>
    </w:p>
    <w:p>
      <w:pPr/>
      <w:r>
        <w:t>—</w:t>
      </w:r>
    </w:p>
    <w:p>
      <w:pPr>
        <w:pStyle w:val="Heading1"/>
      </w:pPr>
      <w:r>
        <w:t>Abstract</w:t>
      </w:r>
    </w:p>
    <w:p>
      <w:pPr/>
      <w:r>
        <w:t>Teachers increasingly paste student writing into consumer generative AI applications such as ChatGPT and Claude and ask for a mark. Used this way, the tools offer no control over sampling or model version and limited visibility of underlying model changes, so it is unknown whether the same script receives the same mark twice, where an AI mark diverges from a human marker's judgement, what justifications the tools provide for their marks, or what the pattern of divergence reveals about how AI tools handle a reading-into-writing task completed by second-language learners sitting a first-language examination.</w:t>
      </w:r>
    </w:p>
    <w:p>
      <w:pPr/>
      <w:r>
        <w:t>This study examines these questions for the selective summary task of Cambridge IGCSE First Language English (0500, Paper 1, Question 2(a)): a summary of no more than 120 words, marked for reading (10 marks) and writing (5 marks). Students in four IGCSE classes at a school in Erbil, Kurdistan Region of Iraq (expected n = 65–80), will each summarise two original passages in separate sessions, yielding 130–160 scripts. Two experienced human raters will mark the typed, anonymised scripts independently and blind. Each script will then be scored through paid consumer subscriptions to ChatGPT and Claude under a rubric-embedded prompt framing, in two passes in separate sessions within the same week.</w:t>
      </w:r>
    </w:p>
    <w:p>
      <w:pPr/>
      <w:r>
        <w:t xml:space="preserve">The study introduces the </w:t>
      </w:r>
      <w:r>
        <w:rPr>
          <w:i/>
        </w:rPr>
        <w:t>scoring correction gap</w:t>
      </w:r>
      <w:r>
        <w:t>: the documented, criterion-level difference between an AI mark and the human-rater benchmark, analysed not only in magnitude but in the reasoning the AI tool provides. A focused content analysis of up to 10 prespecified scripts (7 high-discrepancy and 3 low-discrepancy; up to 20 rationale texts) examines what justifications the tools provide for their marks and how well those justifications accord with the available textual evidence, with particular attention to how the tools handle source fidelity, construct-irrelevant features, and observable language features of multilingual learners. This qualitative strand applies the accessibility–fidelity lens from research on second-language learners in first-language examinations: where English is itself the assessed construct, an AI scorer that confuses reading and writing constructs—for instance, rewarding fluent prose (writing) while overlooking whether the student has selected and transformed the relevant content points (reading)---introduces a distortion that aggregate agreement statistics alone cannot reveal.</w:t>
      </w:r>
    </w:p>
    <w:p>
      <w:pPr/>
      <w:r>
        <w:t>Analyses combine single-run agreement statistics (quadratic weighted kappa, intraclass correlation coefficients), a mixed model estimating tool, passage and pass effects, and the focused content analysis. The study provides a descriptive evidence base for a discrepancy-review workflow: the agreement and correction-gap evidence needed for a teacher to judge when an AI tool is sufficiently consistent to serve as a second marker, and when an AI–teacher gap warrants re-examination of a script. The central empirical question is whether consumer AI scoring of this task is sufficiently consistent and sufficiently aligned with human judgement to support such a workflow, and where it is not, what the pattern of failure reveals about the interaction between AI scoring, source-based assessment and L2 learner writing.</w:t>
      </w:r>
    </w:p>
    <w:p>
      <w:pPr/>
      <w:r>
        <w:t>—</w:t>
      </w:r>
    </w:p>
    <w:p>
      <w:pPr>
        <w:pStyle w:val="Heading1"/>
      </w:pPr>
      <w:r>
        <w:t>Chapter 1. Introduction</w:t>
      </w:r>
    </w:p>
    <w:p>
      <w:pPr>
        <w:pStyle w:val="Heading2"/>
      </w:pPr>
      <w:r>
        <w:t>1.1 Background</w:t>
      </w:r>
    </w:p>
    <w:p>
      <w:pPr/>
      <w:r>
        <w:t>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2025a). These populations differ from teachers in Iraq or Malaysia, but the figures indicate that using a consumer chat application as a marker is an existing practice.</w:t>
      </w:r>
    </w:p>
    <w:p>
      <w:pPr/>
      <w:r>
        <w:t>The ecological condition of consumer access differs from the conditions studied in most scoring research. Research on large language model (LLM) scoring has largely used application programming interfaces (APIs) or controlled settings. A teacher with a monthly subscription cannot set sampling parameters such as temperature, cannot fix a model version and has no reliable way of knowing when the model behind the application has been updated or replaced. OpenAI's release notes, for example, record successive launches, updates and retirements of the models offered in ChatGPT (OpenAI, n.d.-a). Such changes matter: Chen et al. (2024) found that the behaviour of GPT-3.5 and GPT-4 changed substantially between March and June 2023, including a decline in GPT-4's adherence to user instructions. The present study treats consumer access not as a methodological innovation but as the ecological condition under which teachers actually use these tools—the condition whose scoring properties most urgently need evidence.</w:t>
      </w:r>
    </w:p>
    <w:p>
      <w:pPr/>
      <w:r>
        <w:t>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2024a). The task is a highly constrained, rubric-bound writing task in the qualification, it is taught in both Grade 9 and Grade 10, and its component skills transfer to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r>
        <w:t>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Messick's (1989) distinction between construct underrepresentation and construct-irrelevant variance frames the concern: an AI scorer that confuses reading and writing constructs—rewarding fluent prose while overlooking whether the student has selected and transformed the relevant content points—underrepresents the reading construct, while one that penalises communicatively effective phrasing a human marker would credit introduces construct-irrelevant variance. Whether consumer AI tools exhibit either tendency when scoring summaries by multilingual adolescents has not been studied.</w:t>
      </w:r>
    </w:p>
    <w:p>
      <w:pPr/>
      <w:r>
        <w:t>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pPr>
      <w:r>
        <w:t>1.2 Problem statement</w:t>
      </w:r>
    </w:p>
    <w:p>
      <w:pPr/>
      <w:r>
        <w:t>Teachers who use ChatGPT or Claude through consumer subscriptions to mark student writing do so without evidence on three properties of the resulting scores, and without understanding of the nature of AI–human disagreement in this context. It is not known whether the same script receives the same mark when submitted repeatedly in independent sessions (pass-to-pass consistency); whether the tool's scoring properties hold across different passages within the same task type (passage dependence); or what the AI tool's scoring rationale reveals when its mark diverges substantially from human judgement, particularly for second-language learners whose writing may be penalised or credited on construct-irrelevant grounds.</w:t>
      </w:r>
    </w:p>
    <w:p>
      <w:pPr/>
      <w:r>
        <w:t>Existing studies of LLM scoring have mostly examined API or research access, single scoring occasions, single passages and essay tasks (Chapter 2). No published study, to the author's knowledge, combines consumer-subscription access, two passages within the same task type, repeated scoring of the same scripts, a qualification-relevant adolescent reading-into-writing task (IGCSE), and a systematic content analysis of AI scoring rationales for high-divergence cases involving L2 writers.</w:t>
      </w:r>
    </w:p>
    <w:p>
      <w:pPr>
        <w:pStyle w:val="Heading2"/>
      </w:pPr>
      <w:r>
        <w:t>1.3 Aim and objectives</w:t>
      </w:r>
    </w:p>
    <w:p>
      <w:pPr/>
      <w:r>
        <w:t>The aim is to provide an evidence base for a discrepancy-review workflow in which a teacher uses a consumer AI tool as a second marker for IGCSE summary writing, and to examine where AI scoring diverges from human judgement and what justifications the tools provide, with attention to multilingual learners. The objectives are to:</w:t>
      </w:r>
    </w:p>
    <w:p>
      <w:pPr>
        <w:pStyle w:val="ListNumber"/>
      </w:pPr>
      <w:r>
        <w:t>estimate the pass-to-pass consistency of ChatGPT and Claude scores for the same summaries scored repeatedly through consumer subscriptions, across two passages;</w:t>
      </w:r>
    </w:p>
    <w:p>
      <w:pPr>
        <w:pStyle w:val="ListNumber"/>
      </w:pPr>
      <w:r>
        <w:t>measure agreement between AI and human scores, and locate the correction gap by criterion, score level and passage;</w:t>
      </w:r>
    </w:p>
    <w:p>
      <w:pPr>
        <w:pStyle w:val="ListNumber"/>
      </w:pPr>
      <w:r>
        <w:t>analyse the scoring rationales of high-divergence cases to examine what justifications the tools provide and how well those justifications accord with the available textual evidence, with attention to source fidelity, construct-irrelevant features, and observable language features of multilingual learners.</w:t>
      </w:r>
    </w:p>
    <w:p>
      <w:pPr/>
      <w:r>
        <w:t>The study's synthesis objective is to draw on the findings of objectives 1–3 to assemble a descriptive evidence base for a discrepancy-review workflow.</w:t>
      </w:r>
    </w:p>
    <w:p>
      <w:pPr>
        <w:pStyle w:val="Heading2"/>
      </w:pPr>
      <w:r>
        <w:t>1.4 Research questions</w:t>
      </w:r>
    </w:p>
    <w:tbl>
      <w:tblPr>
        <w:tblStyle w:val="TableGrid"/>
        <w:tblW w:type="auto" w:w="0"/>
        <w:tblLook w:firstColumn="1" w:firstRow="1" w:lastColumn="0" w:lastRow="0" w:noHBand="0" w:noVBand="1" w:val="04A0"/>
      </w:tblPr>
      <w:tblGrid>
        <w:gridCol w:w="2880"/>
        <w:gridCol w:w="2880"/>
        <w:gridCol w:w="2880"/>
      </w:tblGrid>
      <w:tr>
        <w:tc>
          <w:tcPr>
            <w:tcW w:type="dxa" w:w="2880"/>
          </w:tcPr>
          <w:p>
            <w:pPr/>
            <w:r>
              <w:t>RQ</w:t>
            </w:r>
          </w:p>
        </w:tc>
        <w:tc>
          <w:tcPr>
            <w:tcW w:type="dxa" w:w="2880"/>
          </w:tcPr>
          <w:p>
            <w:pPr/>
            <w:r>
              <w:t>Question</w:t>
            </w:r>
          </w:p>
        </w:tc>
        <w:tc>
          <w:tcPr>
            <w:tcW w:type="dxa" w:w="2880"/>
          </w:tcPr>
          <w:p>
            <w:pPr/>
            <w:r>
              <w:t>Layer</w:t>
            </w:r>
          </w:p>
        </w:tc>
      </w:tr>
      <w:tr>
        <w:tc>
          <w:tcPr>
            <w:tcW w:type="dxa" w:w="2880"/>
          </w:tcPr>
          <w:p>
            <w:pPr/>
            <w:r>
              <w:t>RQ1</w:t>
            </w:r>
          </w:p>
        </w:tc>
        <w:tc>
          <w:tcPr>
            <w:tcW w:type="dxa" w:w="2880"/>
          </w:tcPr>
          <w:p>
            <w:pPr/>
            <w:r>
              <w:t>To what extent do ChatGPT and Claude, used through consumer subscriptions, give consistent scores to the same summary when it is scored repeatedly in independent sessions, and does consistency differ across passages?</w:t>
            </w:r>
          </w:p>
        </w:tc>
        <w:tc>
          <w:tcPr>
            <w:tcW w:type="dxa" w:w="2880"/>
          </w:tcPr>
          <w:p>
            <w:pPr/>
            <w:r>
              <w:t>Pass-to-pass consistency</w:t>
            </w:r>
          </w:p>
        </w:tc>
      </w:tr>
      <w:tr>
        <w:tc>
          <w:tcPr>
            <w:tcW w:type="dxa" w:w="2880"/>
          </w:tcPr>
          <w:p>
            <w:pPr/>
            <w:r>
              <w:t>RQ2</w:t>
            </w:r>
          </w:p>
        </w:tc>
        <w:tc>
          <w:tcPr>
            <w:tcW w:type="dxa" w:w="2880"/>
          </w:tcPr>
          <w:p>
            <w:pPr/>
            <w:r>
              <w:t>How closely do AI scores agree with those of two experienced human raters, and where (by criterion, score level and passage) do they diverge?</w:t>
            </w:r>
          </w:p>
        </w:tc>
        <w:tc>
          <w:tcPr>
            <w:tcW w:type="dxa" w:w="2880"/>
          </w:tcPr>
          <w:p>
            <w:pPr/>
            <w:r>
              <w:t>Agreement and correction gap</w:t>
            </w:r>
          </w:p>
        </w:tc>
      </w:tr>
      <w:tr>
        <w:tc>
          <w:tcPr>
            <w:tcW w:type="dxa" w:w="2880"/>
          </w:tcPr>
          <w:p>
            <w:pPr/>
            <w:r>
              <w:t>RQ3</w:t>
            </w:r>
          </w:p>
        </w:tc>
        <w:tc>
          <w:tcPr>
            <w:tcW w:type="dxa" w:w="2880"/>
          </w:tcPr>
          <w:p>
            <w:pPr/>
            <w:r>
              <w:t>What justifications do the AI tools provide for their marks in high-divergence cases, how well do those justifications accord with the available textual evidence, and what do they reveal about how the tools handle source fidelity, construct-irrelevant features and observable language features of multilingual learners?</w:t>
            </w:r>
          </w:p>
        </w:tc>
        <w:tc>
          <w:tcPr>
            <w:tcW w:type="dxa" w:w="2880"/>
          </w:tcPr>
          <w:p>
            <w:pPr/>
            <w:r>
              <w:t>The scoring correction gap explained</w:t>
            </w:r>
          </w:p>
        </w:tc>
      </w:tr>
    </w:tbl>
    <w:p>
      <w:pPr/>
      <w:r>
        <w:t>The discrepancy-review workflow is the study's synthesis objective, not a separate research question. The synthesis draws on the findings of RQ1–RQ3 to assemble the descriptive evidence base for a discrepancy-review workflow (see Section 3.7).</w:t>
      </w:r>
    </w:p>
    <w:p>
      <w:pPr>
        <w:pStyle w:val="Heading2"/>
      </w:pPr>
      <w:r>
        <w:t>1.5 Significance</w:t>
      </w:r>
    </w:p>
    <w:p>
      <w:pPr/>
      <w:r/>
      <w:r>
        <w:rPr>
          <w:b/>
        </w:rPr>
        <w:t>For teachers and schools.</w:t>
      </w:r>
      <w:r>
        <w:t xml:space="preserve"> The study will give teachers who already use consumer AI tools a defensible basis for deciding when a tool is consistent enough to use as a second marker, and when an AI–teacher discrepancy is large enough to warrant re-examination—under the ecological conditions of ordinary consumer access rather than through an API pipeline that most teachers cannot build. The content analysis of high-divergence cases will illustrate the kinds of scoring justifications AI tools produce and how well those justifications hold up against the textual evidence, and the analysis of observable language features will address a concern specific to the many international schools where multilingual learners sit first-language examinations.</w:t>
      </w:r>
    </w:p>
    <w:p>
      <w:pPr/>
      <w:r/>
      <w:r>
        <w:rPr>
          <w:b/>
        </w:rPr>
        <w:t>For language assessment research.</w:t>
      </w:r>
      <w:r>
        <w:t xml:space="preserve"> The study treats the consumer AI application as a rater whose behaviour may vary across passages within the same task type. Repeated scoring across two passages allows within-passage pass-to-pass variation and passage effects to be estimated separately from human–AI disagreement. The </w:t>
      </w:r>
      <w:r>
        <w:rPr>
          <w:i/>
        </w:rPr>
        <w:t>scoring correction gap</w:t>
      </w:r>
      <w:r>
        <w:t>---a proposed analytical label for the criterion-level, rationale-supported description of where AI scores diverge and what justifications the tools offer—describes what a teacher must understand about an AI mark before acting on it. This label, and the structured evidence-checking procedure that supports it, is the study's descriptive contribution.</w:t>
      </w:r>
    </w:p>
    <w:p>
      <w:pPr/>
      <w:r/>
      <w:r>
        <w:rPr>
          <w:b/>
        </w:rPr>
        <w:t>For validity theory applied to AI scoring.</w:t>
      </w:r>
      <w:r>
        <w:t xml:space="preserve"> 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accessibility–fidelity analysis contributes to the broader question of whether AI scoring introduces construct-irrelevant variance for L2 populations.</w:t>
      </w:r>
    </w:p>
    <w:p>
      <w:pPr>
        <w:pStyle w:val="Heading2"/>
      </w:pPr>
      <w:r>
        <w:t>1.6 Scope and key definitions</w:t>
      </w:r>
    </w:p>
    <w:p>
      <w:pPr/>
      <w:r>
        <w:t>The study is bounded to one task (Question 2(a)), two original passages, one school, two consumer AI tools and one scoring wave.</w:t>
      </w:r>
    </w:p>
    <w:p>
      <w:pPr/>
      <w:r/>
      <w:r>
        <w:rPr>
          <w:b/>
        </w:rPr>
        <w:t>Consumer AI access (ecological condition).</w:t>
      </w:r>
      <w:r>
        <w:t xml:space="preserve"> Use of ChatGPT or Claude through a paid individual subscription to the provider's chat application, without API access, using the latest flagship model offered on the paid plan, chosen in the model picker. The user cannot set sampling parameters, fix a model version or reliably see model changes; the model name and reasoning mode are therefore logged for every submission. The study treats this as the ecological condition under which teachers use these tools, not as a methodological choice.</w:t>
      </w:r>
    </w:p>
    <w:p>
      <w:pPr/>
      <w:r/>
      <w:r>
        <w:rPr>
          <w:b/>
        </w:rPr>
        <w:t>Repeatability under consumer-use conditions.</w:t>
      </w:r>
      <w:r>
        <w:t xml:space="preserve"> Variation in the scores a single tool assigns to the same script across two independent passes in separate sessions within the same week, under the same framing. This estimate includes both within-session random variation and any between-session variation from the service. With only two passes, the estimate of within-script variability rests on a single difference per script; it characterises tool-level repeatability when aggregated across scripts but is imprecise for individual scripts. Also referred to as pass-to-pass consistency in this proposal.</w:t>
      </w:r>
    </w:p>
    <w:p>
      <w:pPr/>
      <w:r/>
      <w:r>
        <w:rPr>
          <w:b/>
        </w:rPr>
        <w:t>Correction gap (scoring).</w:t>
      </w:r>
      <w:r>
        <w:t xml:space="preserve"> The AI score minus the mean of the two human raters' scores, so that a positive value indicates AI leniency, analysed by criterion, score level and passage. </w:t>
      </w:r>
      <w:r>
        <w:rPr>
          <w:i/>
        </w:rPr>
        <w:t>Scoring correction gap</w:t>
      </w:r>
      <w:r>
        <w:t xml:space="preserve"> is proposed as an analytical label—informed by prior work on evaluating and revising machine output—for describing, at the criterion level, the documented difference between what the AI awards and what the human benchmark awards, characterised not only by magnitude but by the reasoning the AI provides. It is not a new theoretical construct; it is a descriptive tool for organising the comparison of AI and human scoring. The prompt framing requests a short reason alongside the mark; these reasons are retained in the response log and are analysed for up to 10 prespecified scripts (Section 3.7).</w:t>
      </w:r>
    </w:p>
    <w:p>
      <w:pPr/>
      <w:r/>
      <w:r>
        <w:rPr>
          <w:b/>
        </w:rPr>
        <w:t>Accessibility–fidelity tension.</w:t>
      </w:r>
      <w:r>
        <w:t xml:space="preserve"> In a first-language examination, the language is the construct. The central risk is that an AI scorer confuses reading and writing constructs: rewarding fluent, well-formed prose (a writing quality) while overlooking whether the student has selected and faithfully transformed the relevant content points (the reading construct), or penalising language features observable in multilingual learners' writing that preserve meaning. The content analysis examines whether AI scoring rationales show either tendency.</w:t>
      </w:r>
    </w:p>
    <w:p>
      <w:pPr/>
      <w:r/>
      <w:r>
        <w:rPr>
          <w:b/>
        </w:rPr>
        <w:t>Discrepancy-review workflow.</w:t>
      </w:r>
      <w:r>
        <w:t xml:space="preserve"> A teacher-facing workflow in which the teacher marks a script first, then submits it to an AI tool, and compares the two marks. The study provides the descriptive evidence base—consistency statistics, agreement benchmarks, correction-gap profiles and qualitative explanations—needed to judge whether a given tool supports this workflow for the IGCSE summary task. It does not provide a validated operational protocol; that requires further research.</w:t>
      </w:r>
    </w:p>
    <w:p>
      <w:pPr/>
      <w:r>
        <w:t>—</w:t>
      </w:r>
    </w:p>
    <w:p>
      <w:pPr>
        <w:pStyle w:val="Heading1"/>
      </w:pPr>
      <w:r>
        <w:t>Chapter 2. Literature Review and Conceptual Framework</w:t>
      </w:r>
    </w:p>
    <w:p>
      <w:pPr>
        <w:pStyle w:val="Heading2"/>
      </w:pPr>
      <w:r>
        <w:t>2.1 Summary writing as a reading-into-writing construct</w:t>
      </w:r>
    </w:p>
    <w:p>
      <w:pPr/>
      <w:r>
        <w:t>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r>
        <w:t>L2 summarising adds proficiency-related copying.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2024c). These tendencies may occur in the study corpus.</w:t>
      </w:r>
    </w:p>
    <w:p>
      <w:pPr>
        <w:pStyle w:val="Heading2"/>
      </w:pPr>
      <w:r>
        <w:t>2.2 Accessibility, L2 writers and the first-language construct</w:t>
      </w:r>
    </w:p>
    <w:p>
      <w:pPr/>
      <w:r>
        <w:t xml:space="preserve">Messick's (1989) distinction between construct underrepresentation and construct-irrelevant variance frames the central scoring tension for L2 writers in an L1 examination. Where language is not the construct, reducing linguistic difficulty removes irrelevant barrier. But in IGCSE 0500, reading a demanding source and transforming it into one's own words </w:t>
      </w:r>
      <w:r>
        <w:rPr>
          <w:i/>
        </w:rPr>
        <w:t>is</w:t>
      </w:r>
      <w:r>
        <w:t xml:space="preserve"> the construct. A student whose summary preserves meaning through communicatively effective phrasing—even where that phrasing shows features observable in multilingual writers' prose—has demonstrated the assessed skill; a scorer that penalises such phrasing while crediting a more fluent but less faithful alternative misrepresents the construct.</w:t>
      </w:r>
    </w:p>
    <w:p>
      <w:pPr/>
      <w:r>
        <w:t>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Research on text modification shows that simplification does not consistently aid comprehension (Young, 1999), that elaboration can serve learners at least as well (Oh, 2001), and that simplified texts are processed faster (Crossley et al., 2014). These findings concern materials, but they have a scoring parallel: an AI scorer trained on large corpora of fluent English may implicitly confuse reading and writing constructs, valuing fluent prose over the faithful content-point transformations that the IGCSE rubric rewards for the reading mark.</w:t>
      </w:r>
    </w:p>
    <w:p>
      <w:pPr/>
      <w:r>
        <w:t>Whether consumer AI tools exhibit this tendency when scoring summaries by multilingual adolescents has not been studied. The present study's content analysis of high-divergence cases (RQ3) examines the justifications the tools provide and whether those justifications reveal confusion between reading and writing constructs.</w:t>
      </w:r>
    </w:p>
    <w:p>
      <w:pPr>
        <w:pStyle w:val="Heading2"/>
      </w:pPr>
      <w:r>
        <w:t>2.3 Frameworks for evaluating automated scoring</w:t>
      </w:r>
    </w:p>
    <w:p>
      <w:pPr/>
      <w:r>
        <w:t>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r>
        <w:t>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w:t>
      </w:r>
    </w:p>
    <w:p>
      <w:pPr>
        <w:pStyle w:val="Heading2"/>
      </w:pPr>
      <w:r>
        <w:t>2.4 Empirical evidence on LLM scoring of L2 writing</w:t>
      </w:r>
    </w:p>
    <w:p>
      <w:pPr/>
      <w:r>
        <w:t>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r>
        <w:t>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r>
        <w:t>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pStyle w:val="Heading2"/>
      </w:pPr>
      <w:r>
        <w:t>2.5 Scoring biases and the case for understanding divergence</w:t>
      </w:r>
    </w:p>
    <w:p>
      <w:pPr/>
      <w:r>
        <w:t>Automated scorers can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r>
        <w:t xml:space="preserve">These findings motivate the study's dual approach: aggregate agreement statistics show </w:t>
      </w:r>
      <w:r>
        <w:rPr>
          <w:i/>
        </w:rPr>
        <w:t>how much</w:t>
      </w:r>
      <w:r>
        <w:t xml:space="preserve"> AI and human scores diverge, while the content analysis of rationales examines </w:t>
      </w:r>
      <w:r>
        <w:rPr>
          <w:i/>
        </w:rPr>
        <w:t>what justifications the tools offer</w:t>
      </w:r>
      <w:r>
        <w:t xml:space="preserve"> and how well those justifications hold up against the textual evidence. A teacher who knows only the magnitude of the gap cannot judge whether to trust or override the AI mark; a teacher who also knows the </w:t>
      </w:r>
      <w:r>
        <w:rPr>
          <w:i/>
        </w:rPr>
        <w:t>pattern</w:t>
      </w:r>
      <w:r>
        <w:t xml:space="preserve"> of divergence—for instance, that the tool's rationales systematically credit fluent but unfaithful summaries—can make a more informed decision.</w:t>
      </w:r>
    </w:p>
    <w:p>
      <w:pPr>
        <w:pStyle w:val="Heading2"/>
      </w:pPr>
      <w:r>
        <w:t>2.6 Rater-mediated assessment</w:t>
      </w:r>
    </w:p>
    <w:p>
      <w:pPr/>
      <w:r>
        <w:t>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pPr>
      <w:r>
        <w:t>2.7 Close precursors and the present study's contribution</w:t>
      </w:r>
    </w:p>
    <w:p>
      <w:pPr/>
      <w:r/>
      <w:r>
        <w:rPr>
          <w:b/>
        </w:rPr>
        <w:t>Jiao et al. (2025).</w:t>
      </w:r>
      <w:r>
        <w:t xml:space="preserve"> 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r/>
      <w:r>
        <w:rPr>
          <w:b/>
        </w:rPr>
        <w:t>Jin et al. (2025).</w:t>
      </w:r>
      <w:r>
        <w:t xml:space="preserve"> 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r/>
      <w:r>
        <w:rPr>
          <w:b/>
        </w:rPr>
        <w:t>Sawaki et al. (2025).</w:t>
      </w:r>
      <w:r>
        <w:t xml:space="preserve"> 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r/>
      <w:r>
        <w:rPr>
          <w:b/>
        </w:rPr>
        <w:t>The present study's contribution.</w:t>
      </w:r>
      <w:r>
        <w:t xml:space="preserve"> The study extends rather than replaces prior work. Its contribution rests on three elements that, in combination, no published study provides:</w:t>
      </w:r>
    </w:p>
    <w:p>
      <w:pPr>
        <w:pStyle w:val="ListNumber"/>
      </w:pPr>
      <w:r/>
      <w:r>
        <w:rPr>
          <w:i/>
        </w:rPr>
        <w:t>Consumer-subscription access under the ecological conditions teachers face</w:t>
      </w:r>
      <w:r>
        <w:t>, without API control—the condition whose evidence gap is most practically urgent.</w:t>
      </w:r>
    </w:p>
    <w:p>
      <w:pPr>
        <w:pStyle w:val="ListNumber"/>
      </w:pPr>
      <w:r/>
      <w:r>
        <w:rPr>
          <w:i/>
        </w:rPr>
        <w:t>Two passages within the same task type</w:t>
      </w:r>
      <w:r>
        <w:t>, allowing passage dependence to be examined for a reading-into-writing task where the source passage directly affects the scoring target.</w:t>
      </w:r>
    </w:p>
    <w:p>
      <w:pPr>
        <w:pStyle w:val="ListNumber"/>
      </w:pPr>
      <w:r/>
      <w:r>
        <w:rPr>
          <w:i/>
        </w:rPr>
        <w:t>The scoring correction gap</w:t>
      </w:r>
      <w:r>
        <w:t xml:space="preserve">: a systematic, criterion-level, rationale-supported analysis of </w:t>
      </w:r>
      <w:r>
        <w:rPr>
          <w:i/>
        </w:rPr>
        <w:t>what justifications</w:t>
      </w:r>
      <w:r>
        <w:t xml:space="preserve"> the AI tools provide for their marks and how well those justifications accord with the available textual evidence, with particular attention to how the tools handle observable language features in multilingual learners' writing in a first-language examination context. Sawaki et al. (2025) examined LLM rationales for checklist-based summary ratings of university writing and identified problems including inappropriate criterion application and difficulty recognising paraphrase. The present study extends this analytical approach to adolescent IGCSE writing with separate reading and writing scores, two passages under consumer-subscription access, and a structured evidence-checking procedure that verifies AI claims against the student text, source passage and rubric descriptors.</w:t>
      </w:r>
    </w:p>
    <w:p>
      <w:pPr/>
      <w:r>
        <w:t>The specific models will age; the lasting value lies in the measurement problem, the reframing of the correction gap for scoring, and the accessibility–fidelity analysis.</w:t>
      </w:r>
    </w:p>
    <w:p>
      <w:pPr>
        <w:pStyle w:val="Heading2"/>
      </w:pPr>
      <w:r>
        <w:t>2.8 Conceptual framework</w:t>
      </w:r>
    </w:p>
    <w:p>
      <w:pPr/>
      <w:r>
        <w:t>The study adopts an argument-based view of validity (AERA et al., 2014; Kane, 2013; Messick, 1989), in which a teacher's use of an AI mark rests on a chain of inferences. Each research question supplies evidence for one or more inferences, and the discrepancy-review evidence base is the synthesis that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t>Inference (Kane, 2013; Xi, 2010)</w:t>
            </w:r>
          </w:p>
        </w:tc>
        <w:tc>
          <w:tcPr>
            <w:tcW w:type="dxa" w:w="2160"/>
          </w:tcPr>
          <w:p>
            <w:pPr/>
            <w:r>
              <w:t>Claim to be supported</w:t>
            </w:r>
          </w:p>
        </w:tc>
        <w:tc>
          <w:tcPr>
            <w:tcW w:type="dxa" w:w="2160"/>
          </w:tcPr>
          <w:p>
            <w:pPr/>
            <w:r>
              <w:t>Evidence (RQ)</w:t>
            </w:r>
          </w:p>
        </w:tc>
        <w:tc>
          <w:tcPr>
            <w:tcW w:type="dxa" w:w="2160"/>
          </w:tcPr>
          <w:p>
            <w:pPr/>
            <w:r>
              <w:t>Failure that would undermine the claim</w:t>
            </w:r>
          </w:p>
        </w:tc>
      </w:tr>
      <w:tr>
        <w:tc>
          <w:tcPr>
            <w:tcW w:type="dxa" w:w="2160"/>
          </w:tcPr>
          <w:p>
            <w:pPr/>
            <w:r>
              <w:t>Scoring: stability</w:t>
            </w:r>
          </w:p>
        </w:tc>
        <w:tc>
          <w:tcPr>
            <w:tcW w:type="dxa" w:w="2160"/>
          </w:tcPr>
          <w:p>
            <w:pPr/>
            <w:r>
              <w:t>The AI mark does not depend on the occasion of submission</w:t>
            </w:r>
          </w:p>
        </w:tc>
        <w:tc>
          <w:tcPr>
            <w:tcW w:type="dxa" w:w="2160"/>
          </w:tcPr>
          <w:p>
            <w:pPr/>
            <w:r>
              <w:t>Pass-to-pass consistency (RQ1)</w:t>
            </w:r>
          </w:p>
        </w:tc>
        <w:tc>
          <w:tcPr>
            <w:tcW w:type="dxa" w:w="2160"/>
          </w:tcPr>
          <w:p>
            <w:pPr/>
            <w:r>
              <w:t>Single runs disagree beyond a tolerable range</w:t>
            </w:r>
          </w:p>
        </w:tc>
      </w:tr>
      <w:tr>
        <w:tc>
          <w:tcPr>
            <w:tcW w:type="dxa" w:w="2160"/>
          </w:tcPr>
          <w:p>
            <w:pPr/>
            <w:r>
              <w:t>Scoring: agreement with human ratings</w:t>
            </w:r>
          </w:p>
        </w:tc>
        <w:tc>
          <w:tcPr>
            <w:tcW w:type="dxa" w:w="2160"/>
          </w:tcPr>
          <w:p>
            <w:pPr/>
            <w:r>
              <w:t>The mark agrees with trained human judgement about as well as humans agree with each other</w:t>
            </w:r>
          </w:p>
        </w:tc>
        <w:tc>
          <w:tcPr>
            <w:tcW w:type="dxa" w:w="2160"/>
          </w:tcPr>
          <w:p>
            <w:pPr/>
            <w:r>
              <w:t>Agreement and correction gap (RQ2)</w:t>
            </w:r>
          </w:p>
        </w:tc>
        <w:tc>
          <w:tcPr>
            <w:tcW w:type="dxa" w:w="2160"/>
          </w:tcPr>
          <w:p>
            <w:pPr/>
            <w:r>
              <w:t>Systematic leniency or severity by criterion, score level or passage</w:t>
            </w:r>
          </w:p>
        </w:tc>
      </w:tr>
      <w:tr>
        <w:tc>
          <w:tcPr>
            <w:tcW w:type="dxa" w:w="2160"/>
          </w:tcPr>
          <w:p>
            <w:pPr/>
            <w:r>
              <w:t>Scoring: passage comparability</w:t>
            </w:r>
          </w:p>
        </w:tc>
        <w:tc>
          <w:tcPr>
            <w:tcW w:type="dxa" w:w="2160"/>
          </w:tcPr>
          <w:p>
            <w:pPr/>
            <w:r>
              <w:t>The tool's scoring properties are comparable across passages within the same task type</w:t>
            </w:r>
          </w:p>
        </w:tc>
        <w:tc>
          <w:tcPr>
            <w:tcW w:type="dxa" w:w="2160"/>
          </w:tcPr>
          <w:p>
            <w:pPr/>
            <w:r>
              <w:t>Passage effects (RQ1, RQ2)</w:t>
            </w:r>
          </w:p>
        </w:tc>
        <w:tc>
          <w:tcPr>
            <w:tcW w:type="dxa" w:w="2160"/>
          </w:tcPr>
          <w:p>
            <w:pPr/>
            <w:r>
              <w:t>Consistency or agreement differs substantially between passages</w:t>
            </w:r>
          </w:p>
        </w:tc>
      </w:tr>
      <w:tr>
        <w:tc>
          <w:tcPr>
            <w:tcW w:type="dxa" w:w="2160"/>
          </w:tcPr>
          <w:p>
            <w:pPr/>
            <w:r>
              <w:t>Scoring: construct representation</w:t>
            </w:r>
          </w:p>
        </w:tc>
        <w:tc>
          <w:tcPr>
            <w:tcW w:type="dxa" w:w="2160"/>
          </w:tcPr>
          <w:p>
            <w:pPr/>
            <w:r>
              <w:t>The AI mark reflects the construct the rubric targets, not construct-irrelevant features</w:t>
            </w:r>
          </w:p>
        </w:tc>
        <w:tc>
          <w:tcPr>
            <w:tcW w:type="dxa" w:w="2160"/>
          </w:tcPr>
          <w:p>
            <w:pPr/>
            <w:r>
              <w:t>Scoring correction gap examined (RQ3)</w:t>
            </w:r>
          </w:p>
        </w:tc>
        <w:tc>
          <w:tcPr>
            <w:tcW w:type="dxa" w:w="2160"/>
          </w:tcPr>
          <w:p>
            <w:pPr/>
            <w:r>
              <w:t>AI rationales reveal systematic misapplication of the rubric, confusion of reading and writing constructs, or penalisation of communicatively effective language features</w:t>
            </w:r>
          </w:p>
        </w:tc>
      </w:tr>
      <w:tr>
        <w:tc>
          <w:tcPr>
            <w:tcW w:type="dxa" w:w="2160"/>
          </w:tcPr>
          <w:p>
            <w:pPr/>
            <w:r>
              <w:t>Decision</w:t>
            </w:r>
          </w:p>
        </w:tc>
        <w:tc>
          <w:tcPr>
            <w:tcW w:type="dxa" w:w="2160"/>
          </w:tcPr>
          <w:p>
            <w:pPr/>
            <w:r>
              <w:t>The teacher may retain their mark, or review a flagged discrepancy, based on the evidence</w:t>
            </w:r>
          </w:p>
        </w:tc>
        <w:tc>
          <w:tcPr>
            <w:tcW w:type="dxa" w:w="2160"/>
          </w:tcPr>
          <w:p>
            <w:pPr/>
            <w:r>
              <w:t>Synthesis (RQ1–RQ3)</w:t>
            </w:r>
          </w:p>
        </w:tc>
        <w:tc>
          <w:tcPr>
            <w:tcW w:type="dxa" w:w="2160"/>
          </w:tcPr>
          <w:p>
            <w:pPr/>
            <w:r>
              <w:t>Descriptive evidence base for discrepancy-review workflow</w:t>
            </w:r>
          </w:p>
        </w:tc>
      </w:tr>
    </w:tbl>
    <w:p>
      <w:pPr/>
      <w:r>
        <w:t xml:space="preserve">The addition of construct representation as a separate inference, evidenced through the scoring correction gap analysis (RQ3), distinguishes this framework from a purely statistical agreement study. Agreement can be high while the </w:t>
      </w:r>
      <w:r>
        <w:rPr>
          <w:i/>
        </w:rPr>
        <w:t>basis</w:t>
      </w:r>
      <w:r>
        <w:t xml:space="preserve"> for agreement differs between human and AI raters; where it does, the AI mark may fail on different scripts in unpredictable ways. The accessibility–fidelity analysis examines this directly for multilingual learners, focusing on whether the AI tools confuse reading and writing constructs or penalise communicatively effective language features.</w:t>
      </w:r>
    </w:p>
    <w:p>
      <w:pPr/>
      <w:r>
        <w:t>—</w:t>
      </w:r>
    </w:p>
    <w:p>
      <w:pPr>
        <w:pStyle w:val="Heading1"/>
      </w:pPr>
      <w:r>
        <w:t>Chapter 3. Methodology</w:t>
      </w:r>
    </w:p>
    <w:p>
      <w:pPr>
        <w:pStyle w:val="Heading2"/>
      </w:pPr>
      <w:r>
        <w:t>3.1 Research design</w:t>
      </w:r>
    </w:p>
    <w:p>
      <w:pPr/>
      <w:r>
        <w:t>The study uses a quantitative design with a focused qualitative component. AI scores for each script are crossed by tool (ChatGPT, Claude), passage (A, B) and pass (two passes per tool per passage) under the rubric-embedded framing. Human ratings are the reference for comparison, but neither human rater is treated as ground truth. The analysis plan will be preregistered, for example on the Open Science Framework (OSF), before study data are collected, so that confirmatory and exploratory analyses are distinguished (Nosek et al., 2018).</w:t>
      </w:r>
    </w:p>
    <w:p>
      <w:pPr>
        <w:pStyle w:val="Heading2"/>
      </w:pPr>
      <w:r>
        <w:t>3.2 Setting, participants and corpus</w:t>
      </w:r>
    </w:p>
    <w:p>
      <w:pPr/>
      <w:r/>
      <w:r>
        <w:rPr>
          <w:b/>
        </w:rPr>
        <w:t>Setting and participants.</w:t>
      </w:r>
      <w:r>
        <w:t xml:space="preserve"> 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r/>
      <w:r>
        <w:rPr>
          <w:b/>
        </w:rPr>
        <w:t>Corpus.</w:t>
      </w:r>
      <w:r>
        <w:t xml:space="preserve"> 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pPr>
      <w:r>
        <w:t>3.3 Instruments</w:t>
      </w:r>
    </w:p>
    <w:p>
      <w:pPr/>
      <w:r/>
      <w:r>
        <w:rPr>
          <w:b/>
        </w:rPr>
        <w:t>Source passages.</w:t>
      </w:r>
      <w:r>
        <w:t xml:space="preserve"> 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r/>
      <w:r>
        <w:rPr>
          <w:b/>
        </w:rPr>
        <w:t>Structured passage-authenticity check.</w:t>
      </w:r>
      <w:r>
        <w:t xml:space="preserve"> 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r/>
      <w:r>
        <w:rPr>
          <w:b/>
        </w:rPr>
        <w:t>Task wording.</w:t>
      </w:r>
      <w:r>
        <w:t xml:space="preserve"> The task for each passage will follow the Question 2(a) format: a stated focus, continuous writing in the candidate's own words and no more than 120 words (Cambridge International Education, 2024a), confirmed against the 2027–2029 specimen materials.</w:t>
      </w:r>
    </w:p>
    <w:p>
      <w:pPr/>
      <w:r/>
      <w:r>
        <w:rPr>
          <w:b/>
        </w:rPr>
        <w:t>Study rubric and reading keys.</w:t>
      </w:r>
      <w:r>
        <w:t xml:space="preserve"> The candidate will write a study rubric that mirrors Question 2(a) and contains no verbatim Cambridge text. The rubric has two separate components:</w:t>
      </w:r>
    </w:p>
    <w:p>
      <w:pPr/>
      <w:r/>
      <w:r>
        <w:rPr>
          <w:i/>
        </w:rPr>
        <w:t>Holistic reading mark (out of 10).</w:t>
      </w:r>
      <w:r>
        <w:t xml:space="preserve"> Reading is marked holistically through five level-descriptor bands, parallel to Cambridge's Table A reading bands for Q2(a). The bands assess the degree to which the candidate demonstrates understanding, selects relevant ideas rather than transcribing indiscriminately, focuses on the specified aspect of the passage, and shows evidence of an overview. Each band covers two marks (for example, Level 5: 9–10; Level 4: 7–8). This holistic reading mark is the score analysed in all RQs.</w:t>
      </w:r>
    </w:p>
    <w:p>
      <w:pPr/>
      <w:r/>
      <w:r>
        <w:rPr>
          <w:i/>
        </w:rPr>
        <w:t>Reading key.</w:t>
      </w:r>
      <w:r>
        <w:t xml:space="preserve"> 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r/>
      <w:r>
        <w:rPr>
          <w:i/>
        </w:rPr>
        <w:t>Writing mark (out of 5).</w:t>
      </w:r>
      <w:r>
        <w:t xml:space="preserve"> The writing mark is awarded through level-descriptor bands, as in the Q2(a) mark scheme. The same writing rubric applies to both passages.</w:t>
      </w:r>
    </w:p>
    <w:p>
      <w:pPr/>
      <w:r>
        <w:t>Each reading key will be drafted by the candidate and checked by the colleague. The full study rubric, including level descriptors and both reading keys, will be included as an appendix in the submitted proposal once the passages have been written.</w:t>
      </w:r>
    </w:p>
    <w:p>
      <w:pPr>
        <w:pStyle w:val="Heading2"/>
      </w:pPr>
      <w:r>
        <w:t>3.4 Human rating</w:t>
      </w:r>
    </w:p>
    <w:p>
      <w:pPr/>
      <w:r>
        <w:t>Two human raters will mark every script on both passages: Rater 1 is the candidate, an IGCSE teacher since 2019 and an NCUK EAP examiner and moderator; Rater 2 is an experienced IGCSE colleague.</w:t>
      </w:r>
    </w:p>
    <w:p>
      <w:pPr/>
      <w:r/>
      <w:r>
        <w:rPr>
          <w:b/>
        </w:rPr>
        <w:t>Calibration.</w:t>
      </w:r>
      <w:r>
        <w:t xml:space="preserve"> 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w:t>
      </w:r>
    </w:p>
    <w:p>
      <w:pPr/>
      <w:r/>
      <w:r>
        <w:rPr>
          <w:b/>
        </w:rPr>
        <w:t>Formal marking.</w:t>
      </w:r>
      <w:r>
        <w:t xml:space="preserve"> Both raters will use the study rubric and the appropriate reading key for each passage, marking independently, blind to each other and to all AI scores, in random order, after all scripts have been typed and coded.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r>
        <w:t>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moderation rules may still be reported while total-score moderation is withheld.</w:t>
      </w:r>
    </w:p>
    <w:p>
      <w:pPr/>
      <w:r/>
      <w:r>
        <w:rPr>
          <w:b/>
        </w:rPr>
        <w:t>Human marks produced.</w:t>
      </w:r>
      <w:r>
        <w:t xml:space="preserve"> Two raters x (65–80 students) x 2 passages = 260–320 script assessments, each yielding a reading and writing mark.</w:t>
      </w:r>
    </w:p>
    <w:p>
      <w:pPr>
        <w:pStyle w:val="Heading2"/>
      </w:pPr>
      <w:r>
        <w:t>3.5 AI scoring protocol</w:t>
      </w:r>
    </w:p>
    <w:p>
      <w:pPr/>
      <w:r/>
      <w:r>
        <w:rPr>
          <w:b/>
        </w:rPr>
        <w:t>Tools and models.</w:t>
      </w:r>
      <w:r>
        <w:t xml:space="preserve"> ChatGPT and Claude will be accessed through paid consumer subscriptions, without API access. The latest flagship model offered on the paid plan will be chosen in the model picker. The model name and reasoning mode will be logged for every submission.</w:t>
      </w:r>
    </w:p>
    <w:p>
      <w:pPr/>
      <w:r/>
      <w:r>
        <w:rPr>
          <w:b/>
        </w:rPr>
        <w:t>Framing.</w:t>
      </w:r>
      <w:r>
        <w:t xml:space="preserve"> Every submission contains the passage, the task and the student's summary, mirroring the human condition. The rubric-embedded framing contains the mark allocation (10 for reading, 5 for writing), a fixed output line ("Reading _/10; Writing _/5"), a request for a short reason for the marks with reference to the level descriptors, the study rubric and the appropriate reading key for the passage. Rules for refusals and out-of-range or unparseable answers will be fixed in advance. The wording will be fixed before data collection and never changed; a draft is in Appendix A.</w:t>
      </w:r>
    </w:p>
    <w:p>
      <w:pPr/>
      <w:r/>
      <w:r>
        <w:rPr>
          <w:b/>
        </w:rPr>
        <w:t>Design summary.</w:t>
      </w:r>
      <w:r>
        <w:t xml:space="preserve"> The AI scoring conditions are:</w:t>
      </w:r>
    </w:p>
    <w:p>
      <w:pPr>
        <w:pStyle w:val="ListBullet"/>
      </w:pPr>
      <w:r>
        <w:t>Passage A: ChatGPT x 2 passes; Claude x 2 passes</w:t>
      </w:r>
    </w:p>
    <w:p>
      <w:pPr>
        <w:pStyle w:val="ListBullet"/>
      </w:pPr>
      <w:r>
        <w:t>Passage B: ChatGPT x 2 passes; Claude x 2 passes</w:t>
      </w:r>
    </w:p>
    <w:p>
      <w:pPr/>
      <w:r/>
      <w:r>
        <w:rPr>
          <w:b/>
        </w:rPr>
        <w:t>Valid-response rate and retry rule.</w:t>
      </w:r>
      <w:r>
        <w:t xml:space="preserve"> 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r/>
      <w:r>
        <w:rPr>
          <w:b/>
        </w:rPr>
        <w:t>Session controls.</w:t>
      </w:r>
      <w:r>
        <w:t xml:space="preserve"> 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r/>
      <w:r>
        <w:rPr>
          <w:b/>
        </w:rPr>
        <w:t>Passes and timing.</w:t>
      </w:r>
      <w:r>
        <w:t xml:space="preserve"> Both tools will be used during the same collection days: within each scoring day, scripts will be scored by both ChatGPT and Claude, so that the two tools are exposed to the same temporal window and any model changes during that window are recorded for both. The two passes will run in separate sessions within the same week. Within each pass, the order of scripts and passages will be randomised. If the model in the picker changes during the scoring window, scoring will continue and the change will be recorded as a covariate.</w:t>
      </w:r>
    </w:p>
    <w:p>
      <w:pPr/>
      <w:r/>
      <w:r>
        <w:rPr>
          <w:b/>
        </w:rPr>
        <w:t>Stability anchors.</w:t>
      </w:r>
      <w:r>
        <w:t xml:space="preserve"> Once per scoring day, three anchor scripts (low, mid and high) selected from the desk pilot will be scored by each tool in the rubric-embedded framing, yielding six additional submissions per scoring day. The pilot-informed threshold for flagging a day will be set from desk-pilot variance and fixed before main-study data collection. Flags will enter the analysis as a covariate, and no data will ever be excluded on the basis of an anchor check.</w:t>
      </w:r>
    </w:p>
    <w:p>
      <w:pPr/>
      <w:r/>
      <w:r>
        <w:rPr>
          <w:b/>
        </w:rPr>
        <w:t>Workload.</w:t>
      </w:r>
      <w:r>
        <w:t xml:space="preserve"> At approximately three minutes per submission:</w:t>
      </w:r>
    </w:p>
    <w:tbl>
      <w:tblPr>
        <w:tblStyle w:val="TableGrid"/>
        <w:tblW w:type="auto" w:w="0"/>
        <w:tblLook w:firstColumn="1" w:firstRow="1" w:lastColumn="0" w:lastRow="0" w:noHBand="0" w:noVBand="1" w:val="04A0"/>
      </w:tblPr>
      <w:tblGrid>
        <w:gridCol w:w="4320"/>
        <w:gridCol w:w="4320"/>
      </w:tblGrid>
      <w:tr>
        <w:tc>
          <w:tcPr>
            <w:tcW w:type="dxa" w:w="4320"/>
          </w:tcPr>
          <w:p>
            <w:pPr/>
            <w:r>
              <w:t>Calculation</w:t>
            </w:r>
          </w:p>
        </w:tc>
        <w:tc>
          <w:tcPr>
            <w:tcW w:type="dxa" w:w="4320"/>
          </w:tcPr>
          <w:p>
            <w:pPr/>
            <w:r>
              <w:t>Submissions</w:t>
            </w:r>
          </w:p>
        </w:tc>
      </w:tr>
      <w:tr>
        <w:tc>
          <w:tcPr>
            <w:tcW w:type="dxa" w:w="4320"/>
          </w:tcPr>
          <w:p>
            <w:pPr/>
            <w:r>
              <w:t>Primary: 65–80 scripts x 2 passages x 2 tools x 2 passes</w:t>
            </w:r>
          </w:p>
        </w:tc>
        <w:tc>
          <w:tcPr>
            <w:tcW w:type="dxa" w:w="4320"/>
          </w:tcPr>
          <w:p>
            <w:pPr/>
            <w:r>
              <w:t>520–640</w:t>
            </w:r>
          </w:p>
        </w:tc>
      </w:tr>
      <w:tr>
        <w:tc>
          <w:tcPr>
            <w:tcW w:type="dxa" w:w="4320"/>
          </w:tcPr>
          <w:p>
            <w:pPr/>
            <w:r>
              <w:t>Anchors: 3 scripts x 2 tools x each scoring day</w:t>
            </w:r>
          </w:p>
        </w:tc>
        <w:tc>
          <w:tcPr>
            <w:tcW w:type="dxa" w:w="4320"/>
          </w:tcPr>
          <w:p>
            <w:pPr/>
            <w:r>
              <w:t>~30</w:t>
            </w:r>
          </w:p>
        </w:tc>
      </w:tr>
      <w:tr>
        <w:tc>
          <w:tcPr>
            <w:tcW w:type="dxa" w:w="4320"/>
          </w:tcPr>
          <w:p>
            <w:pPr/>
            <w:r/>
            <w:r>
              <w:rPr>
                <w:b/>
              </w:rPr>
              <w:t>Total</w:t>
            </w:r>
            <w:r/>
          </w:p>
        </w:tc>
        <w:tc>
          <w:tcPr>
            <w:tcW w:type="dxa" w:w="4320"/>
          </w:tcPr>
          <w:p>
            <w:pPr/>
            <w:r/>
            <w:r>
              <w:rPr>
                <w:b/>
              </w:rPr>
              <w:t>~550–670 (~28–34 h)</w:t>
            </w:r>
            <w:r/>
          </w:p>
        </w:tc>
      </w:tr>
    </w:tbl>
    <w:p>
      <w:pPr>
        <w:pStyle w:val="Heading2"/>
      </w:pPr>
      <w:r>
        <w:t>3.6 Pilot study</w:t>
      </w:r>
    </w:p>
    <w:p>
      <w:pPr/>
      <w:r/>
      <w:r>
        <w:rPr>
          <w:b/>
        </w:rPr>
        <w:t>Desk pilot.</w:t>
      </w:r>
      <w:r>
        <w:t xml:space="preserve"> Before data collection, 10–15 practice scripts from a previous year's class or from publicly available student summary writing will be scored by both tools under the rubric-embedded framing, in two passes, to test the prompt wording, timing, parsing rules and message caps. These scripts are not from the study cohort; their use will be covered by the approved ethics protocol or by an applicable institutional exemption, with permitted reuse confirmed before the desk pilot begins. The desk pilot supplies the three anchor scripts and sets the anchor-flag threshold. Any threshold or tolerance values informed by pilot results will be fixed and preregistered before main-study data collection begins.</w:t>
      </w:r>
    </w:p>
    <w:p>
      <w:pPr/>
      <w:r/>
      <w:r>
        <w:rPr>
          <w:b/>
        </w:rPr>
        <w:t>Live pilot.</w:t>
      </w:r>
      <w:r>
        <w:t xml:space="preserve"> Before the main data collection, a separate live pilot will be conducted using a third original passage (not used in the main study). The pilot will involve a small class of approximately 10–15 students from a colleague's class (not the candidate's own students), supervised by the colleague. Each script will be scored once by each tool (one pass per tool) under the rubric-embedded framing. The pilot tests the full end-to-end workflow—writing, anonymisation, typing, human marking and AI scoring—under realistic conditions. Ethics approval for the pilot will be sought as part of the main ethics application, covering the colleague's class and the third passage. The pilot scripts do not enter the main analysis. The pilot is used to calibrate procedures and select the educational tolerance values; it is not treated as an independent validation sample.</w:t>
      </w:r>
    </w:p>
    <w:p>
      <w:pPr/>
      <w:r/>
      <w:r>
        <w:rPr>
          <w:b/>
        </w:rPr>
        <w:t>Preliminary repeatability assessment.</w:t>
      </w:r>
      <w:r>
        <w:t xml:space="preserve"> Before preregistration, a preliminary repeatability assessment will be computed from the desk-pilot data: the mean and range of within-script absolute differences across two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pPr>
      <w:r>
        <w:t>3.7 Analysis</w:t>
      </w:r>
    </w:p>
    <w:p>
      <w:pPr/>
      <w:r/>
      <w:r>
        <w:rPr>
          <w:b/>
        </w:rPr>
        <w:t>Analysis hierarchy.</w:t>
      </w:r>
      <w:r>
        <w:t xml:space="preserve"> The primary analyses are organised by research question: RQ1—pass-to-pass consistency; RQ2—agreement and the correction gap; RQ3—content analysis of high-divergence rationales. The synthesis draws on all three RQs. Holm (1979) correction is applied within each family of primary mixed-model contrasts. With two passes, the ICC(1,1) per condition rests on a single pair of scores per script; the study reports it as a tool-level aggregate, not a per-script precision measure.</w:t>
      </w:r>
    </w:p>
    <w:p>
      <w:pPr/>
      <w:r/>
      <w:r>
        <w:rPr>
          <w:b/>
        </w:rPr>
        <w:t>Sensitivity analysis for sample size.</w:t>
      </w:r>
      <w:r>
        <w:t xml:space="preserve"> A sensitivity analysis will be reported alongside the results, estimating the minimum detectable differences in ICC and QWK at the study's sample size (65–80 students, 130–160 scripts). This is reported in the thesis rather than conducted as a separate simulation exercise before preregistration.</w:t>
      </w:r>
    </w:p>
    <w:p>
      <w:pPr/>
      <w:r/>
      <w:r>
        <w:rPr>
          <w:b/>
        </w:rPr>
        <w:t>Units, missing data and uncertainty.</w:t>
      </w:r>
      <w:r>
        <w:t xml:space="preserve"> 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w:t>
      </w:r>
    </w:p>
    <w:p>
      <w:pPr/>
      <w:r/>
      <w:r>
        <w:rPr>
          <w:b/>
        </w:rPr>
        <w:t>Primary result.</w:t>
      </w:r>
      <w:r>
        <w:t xml:space="preserve"> Because a teacher receives a single response, the primary agreement result is the agreement of a single AI run with the humans: QWK and ICC are computed for each pass separately and reported as the mean and range across the two passes, for both passages. Agreement based on the mean of the two passes is a sensitivity check only.</w:t>
      </w:r>
    </w:p>
    <w:p>
      <w:pPr/>
      <w:r/>
      <w:r>
        <w:rPr>
          <w:b/>
        </w:rPr>
        <w:t>Agreement statistics.</w:t>
      </w:r>
      <w:r>
        <w:t xml:space="preserve"> 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r/>
      <w:r>
        <w:rPr>
          <w:b/>
        </w:rPr>
        <w:t>Mixed model.</w:t>
      </w:r>
      <w:r>
        <w:t xml:space="preserve"> Using rubric-embedded scores, fitted separately for reading and writing: score ~ tool x passage + pass + (1|student) + (1|student:passage), using lme4 in R (Bates et al., 2015). Anchor flags and any mid-scoring-window model change enter as covariates. Convergence, singular fits and boundary estimates will be reported. If the model fails to converge, a preregistered fallback will be used: within-script SDs across the two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r/>
      <w:r>
        <w:rPr>
          <w:b/>
        </w:rPr>
        <w:t>Correction gap.</w:t>
      </w:r>
      <w:r>
        <w:t xml:space="preserve"> The correction gap is the AI score minus the mean of the two human raters, computed per pass and per passage and summarised as mean and range. Score level is defined by the mean of the AI and human scores (Bland &amp; Altman, 1986), because grouping by the human score alone produces a regression-to-the-mean artefact.</w:t>
      </w:r>
    </w:p>
    <w:p>
      <w:pPr/>
      <w:r/>
      <w:r>
        <w:rPr>
          <w:b/>
        </w:rPr>
        <w:t>Passage effects.</w:t>
      </w:r>
      <w:r>
        <w:t xml:space="preserve"> 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r/>
      <w:r>
        <w:rPr>
          <w:b/>
        </w:rPr>
        <w:t>Focused content analysis of AI scoring rationales (RQ3).</w:t>
      </w:r>
      <w:r>
        <w:t xml:space="preserve"> A maximum of 10 unique scripts will be selected for content analysis: 7 high-discrepancy and 3 low-discrepancy, using the following prespecified procedure. For each script and each tool/passage combination, two component discrepancies are computed from the rubric-embedded framing, Pass 1: the absolute correction gap on the reading mark as a proportion of the reading scale (gap/10) and the absolute correction gap on the writing mark as a proportion of the writing scale (gap/5). The selection metric for a given script is the maximum of these proportional component discrepancies across both tools and both passages. This normalisation ensures that reading and writing discrepancies contribute equally to selection despite the different scale lengths, and that a script with a large component-level discrepancy is not excluded because the total-score gap is small.</w:t>
      </w:r>
    </w:p>
    <w:p>
      <w:pPr/>
      <w:r>
        <w:t xml:space="preserve">The 7 high-discrepancy scripts are those with the largest selection metric. The 3 low-discrepancy scripts are drawn from the remaining pool (excluding the 7 already selected) and must have small proportional discrepancies across </w:t>
      </w:r>
      <w:r>
        <w:rPr>
          <w:i/>
        </w:rPr>
        <w:t>both</w:t>
      </w:r>
      <w:r>
        <w:t xml:space="preserve"> tools and </w:t>
      </w:r>
      <w:r>
        <w:rPr>
          <w:i/>
        </w:rPr>
        <w:t>both</w:t>
      </w:r>
      <w:r>
        <w:t xml:space="preserve"> components; the 3 with the smallest maximum proportional discrepancy across all tool/passage/component combinations are selected. The two pools are therefore mutually exclusive. Where a script appears in multiple tool/passage lists, it is counted once. Ties are broken alphabetically by script code. The low-discrepancy cases serve as a contrast: they show what AI rationales look like when scoring aligns with human judgement across both tools, providing an interpretive baseline for the high-discrepancy findings.</w:t>
      </w:r>
    </w:p>
    <w:p>
      <w:pPr/>
      <w:r>
        <w:t>For each selected script, one rationale per tool is analysed—the Pass 1 rubric-embedded response—yielding up to 20 rationale texts (10 scripts x 2 tools).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accessibility–fidelity framework, focusing on whether the tools confuse reading and writing constructs (Messick, 1989). Anticipated codes include:</w:t>
      </w:r>
    </w:p>
    <w:p>
      <w:pPr>
        <w:pStyle w:val="ListBullet"/>
      </w:pPr>
      <w:r/>
      <w:r>
        <w:rPr>
          <w:b/>
        </w:rPr>
        <w:t>Source fidelity errors:</w:t>
      </w:r>
      <w:r>
        <w:t xml:space="preserve"> AI credits a content point the student did not include, or misses one they did include; AI fails to detect meaning-changing omission or distortion</w:t>
      </w:r>
    </w:p>
    <w:p>
      <w:pPr>
        <w:pStyle w:val="ListBullet"/>
      </w:pPr>
      <w:r/>
      <w:r>
        <w:rPr>
          <w:b/>
        </w:rPr>
        <w:t>Construct-irrelevant rewarding:</w:t>
      </w:r>
      <w:r>
        <w:t xml:space="preserve"> AI over-credits fluent prose that is unfaithful to the source; AI rewards length, vocabulary sophistication or stylistic features not in the rubric</w:t>
      </w:r>
    </w:p>
    <w:p>
      <w:pPr>
        <w:pStyle w:val="ListBullet"/>
      </w:pPr>
      <w:r/>
      <w:r>
        <w:rPr>
          <w:b/>
        </w:rPr>
        <w:t>Observable language-feature penalisation or crediting:</w:t>
      </w:r>
      <w:r>
        <w:t xml:space="preserve"> AI penalises language features observable in multilingual learners' writing that a human marker credits as effective transformation; AI fails to penalise near-copying that a human marker penalises</w:t>
      </w:r>
    </w:p>
    <w:p>
      <w:pPr>
        <w:pStyle w:val="ListBullet"/>
      </w:pPr>
      <w:r/>
      <w:r>
        <w:rPr>
          <w:b/>
        </w:rPr>
        <w:t>Rubric misapplication and construct confusion:</w:t>
      </w:r>
      <w:r>
        <w:t xml:space="preserve"> AI applies a level descriptor to the wrong criterion; AI conflates reading and writing marks (e.g., crediting fluency under the reading mark or penalising content selection under the writing mark); AI misidentifies the score band</w:t>
      </w:r>
    </w:p>
    <w:p>
      <w:pPr>
        <w:pStyle w:val="ListBullet"/>
      </w:pPr>
      <w:r/>
      <w:r>
        <w:rPr>
          <w:b/>
        </w:rPr>
        <w:t>Own-words transformation:</w:t>
      </w:r>
      <w:r>
        <w:t xml:space="preserve"> AI evaluates paraphrase quality differently from human raters; AI does not distinguish synonym substitution from structural reformulation</w:t>
      </w:r>
    </w:p>
    <w:p>
      <w:pPr/>
      <w:r/>
      <w:r>
        <w:rPr>
          <w:b/>
        </w:rPr>
        <w:t>Evidence-checking procedure.</w:t>
      </w:r>
      <w:r>
        <w:t xml:space="preserve"> For each of the 10 selected scripts, a structured evidence record will be compiled before coding begins. For each AI rationale claim (e.g., "the student included point X" or "the summary lacks own-words transformation"), the record documents: (a) the AI's specific claim; (b) the relevant student wording and corresponding source-passage evidence; (c) the applicable reading or writing level descriptor; and (d) a judgement of whether the claim is </w:t>
      </w:r>
      <w:r>
        <w:rPr>
          <w:i/>
        </w:rPr>
        <w:t>supported</w:t>
      </w:r>
      <w:r>
        <w:t xml:space="preserve">, </w:t>
      </w:r>
      <w:r>
        <w:rPr>
          <w:i/>
        </w:rPr>
        <w:t>unsupported</w:t>
      </w:r>
      <w:r>
        <w:t xml:space="preserve"> or </w:t>
      </w:r>
      <w:r>
        <w:rPr>
          <w:i/>
        </w:rPr>
        <w:t>ambiguous</w:t>
      </w:r>
      <w:r>
        <w:t xml:space="preserve"> given the textual evidence. The second human rater will independently examine the 10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r/>
      <w:r>
        <w:rPr>
          <w:b/>
        </w:rPr>
        <w:t>Important caveat.</w:t>
      </w:r>
      <w:r>
        <w:t xml:space="preserve"> 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r>
        <w:t>Coding will be conducted by the candidate. The supervisor will review the coding of three selected scripts (comprising up to six AI rationales) and discuss discrepancies with the candidate; this serves as a credibility check, not comprehensive independent validation. 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r/>
      <w:r>
        <w:rPr>
          <w:b/>
        </w:rPr>
        <w:t>Synthesis.</w:t>
      </w:r>
      <w:r>
        <w:t xml:space="preserve"> The synthesis draws on RQ1–RQ3 to assess whether the combined evidence supports a discrepancy-review workflow. For each tool/passage combination, the synthesis reports: (a) pass-to-pass consistency (from RQ1); (b) agreement with human raters and the direction and magnitude of the correction gap (from RQ2); and (c) the qualitative patterns that explain high-divergence cases (from RQ3). The synthesis identifies which tool/passage/criterion combinations have the strongest evidence base and which carry the greatest risk of construct-irrelevant scoring. It does not produce operational thresholds or decision rules; it provides the descriptive evidence a teacher or school would need to make an informed decision about whether and how to use a consumer AI tool as a second marker for this task.</w:t>
      </w:r>
    </w:p>
    <w:p>
      <w:pPr/>
      <w:r/>
      <w:r>
        <w:rPr>
          <w:b/>
        </w:rPr>
        <w:t>If discrepancies are small.</w:t>
      </w:r>
      <w:r>
        <w:t xml:space="preserve"> If AI–human agreement is high across both tools and both passages, and the content analysis reveals no systematic patterns of construct confusion or construct-irrelevant scoring, this outcome is reported as evidence that consumer AI scoring of this task, under the study's conditions, is more consistent with human judgement than prior literature might suggest.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high-discrepancy rationales, this is reported as a non-finding: the data did not support the hypothesis, and the absence is itself informative. The preregistered analysis plan will include this contingency.</w:t>
      </w:r>
    </w:p>
    <w:p>
      <w:pPr/>
      <w:r/>
      <w:r>
        <w:rPr>
          <w:b/>
        </w:rPr>
        <w:t>Time-based workload comparison.</w:t>
      </w:r>
      <w:r>
        <w:t xml:space="preserve"> To inform the practical significance, the following time estimates will be reported from actual study timings: (a) average time per script for the AI submission and response-parsing workflow; (b) average time per script for human marking; (c) total time for an AI-assisted check compared with full human double-marking. The comparison will report two scenarios: (i) writing already available digitally, and (ii) handwritten writing requiring transcription.</w:t>
      </w:r>
    </w:p>
    <w:tbl>
      <w:tblPr>
        <w:tblStyle w:val="TableGrid"/>
        <w:tblW w:type="auto" w:w="0"/>
        <w:tblLook w:firstColumn="1" w:firstRow="1" w:lastColumn="0" w:lastRow="0" w:noHBand="0" w:noVBand="1" w:val="04A0"/>
      </w:tblPr>
      <w:tblGrid>
        <w:gridCol w:w="4320"/>
        <w:gridCol w:w="4320"/>
      </w:tblGrid>
      <w:tr>
        <w:tc>
          <w:tcPr>
            <w:tcW w:type="dxa" w:w="4320"/>
          </w:tcPr>
          <w:p>
            <w:pPr/>
            <w:r>
              <w:t>RQ</w:t>
            </w:r>
          </w:p>
        </w:tc>
        <w:tc>
          <w:tcPr>
            <w:tcW w:type="dxa" w:w="4320"/>
          </w:tcPr>
          <w:p>
            <w:pPr/>
            <w:r>
              <w:t>Analysis</w:t>
            </w:r>
          </w:p>
        </w:tc>
      </w:tr>
      <w:tr>
        <w:tc>
          <w:tcPr>
            <w:tcW w:type="dxa" w:w="4320"/>
          </w:tcPr>
          <w:p>
            <w:pPr/>
            <w:r>
              <w:t>RQ1</w:t>
            </w:r>
          </w:p>
        </w:tc>
        <w:tc>
          <w:tcPr>
            <w:tcW w:type="dxa" w:w="4320"/>
          </w:tcPr>
          <w:p>
            <w:pPr/>
            <w:r>
              <w:t>Primary: one-way random-effects ICC(1,1) across passes per tool, passage and criterion. Supplementary: per-script SD and range across passes; exact and adjacent agreement; passage comparison</w:t>
            </w:r>
          </w:p>
        </w:tc>
      </w:tr>
      <w:tr>
        <w:tc>
          <w:tcPr>
            <w:tcW w:type="dxa" w:w="4320"/>
          </w:tcPr>
          <w:p>
            <w:pPr/>
            <w:r>
              <w:t>RQ2</w:t>
            </w:r>
          </w:p>
        </w:tc>
        <w:tc>
          <w:tcPr>
            <w:tcW w:type="dxa" w:w="4320"/>
          </w:tcPr>
          <w:p>
            <w:pPr/>
            <w:r>
              <w:t>Primary: single-run QWK and ICC(A,1), AI–H1 and AI–H2 (mean and range across passes), per passage. Supplementary: human–human baseline; correction gap per pass and passage; Bland–Altman plots</w:t>
            </w:r>
          </w:p>
        </w:tc>
      </w:tr>
      <w:tr>
        <w:tc>
          <w:tcPr>
            <w:tcW w:type="dxa" w:w="4320"/>
          </w:tcPr>
          <w:p>
            <w:pPr/>
            <w:r>
              <w:t>RQ3</w:t>
            </w:r>
          </w:p>
        </w:tc>
        <w:tc>
          <w:tcPr>
            <w:tcW w:type="dxa" w:w="4320"/>
          </w:tcPr>
          <w:p>
            <w:pPr/>
            <w:r>
              <w:t>Focused content analysis of AI rationales for 10 scripts (7 high-discrepancy, 3 low-discrepancy): thematic coding of scoring justifications with attention to source fidelity, construct-irrelevant features, construct confusion (reading vs. writing) and observable language features of multilingual learners</w:t>
            </w:r>
          </w:p>
        </w:tc>
      </w:tr>
      <w:tr>
        <w:tc>
          <w:tcPr>
            <w:tcW w:type="dxa" w:w="4320"/>
          </w:tcPr>
          <w:p>
            <w:pPr/>
            <w:r>
              <w:t>Synthesis</w:t>
            </w:r>
          </w:p>
        </w:tc>
        <w:tc>
          <w:tcPr>
            <w:tcW w:type="dxa" w:w="4320"/>
          </w:tcPr>
          <w:p>
            <w:pPr/>
            <w:r>
              <w:t>Descriptive evidence base for a discrepancy-review workflow, drawing on RQ1–RQ3, by tool, passage and criterion; time-based workload comparison</w:t>
            </w:r>
          </w:p>
        </w:tc>
      </w:tr>
    </w:tbl>
    <w:p>
      <w:pPr>
        <w:pStyle w:val="Heading2"/>
      </w:pPr>
      <w:r>
        <w:t>3.8 Ethics and data protection</w:t>
      </w:r>
    </w:p>
    <w:p>
      <w:pPr/>
      <w:r/>
      <w:r>
        <w:rPr>
          <w:b/>
        </w:rPr>
        <w:t>Approvals and consent.</w:t>
      </w:r>
      <w:r>
        <w:t xml:space="preserve"> 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r/>
      <w:r>
        <w:rPr>
          <w:b/>
        </w:rPr>
        <w:t>Data access and storage.</w:t>
      </w:r>
      <w:r>
        <w:t xml:space="preserve"> 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All materials are retained for the period specified in the USM research data management policy. The anonymiser remains the continuing custodian of potentially re-identifiable originals; the ethics application will specify how access to these materials is audited.</w:t>
      </w:r>
    </w:p>
    <w:p>
      <w:pPr/>
      <w:r/>
      <w:r>
        <w:rPr>
          <w:b/>
        </w:rPr>
        <w:t>Data in AI applications.</w:t>
      </w:r>
      <w:r>
        <w:t xml:space="preserve"> 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r/>
      <w:r>
        <w:rPr>
          <w:b/>
        </w:rPr>
        <w:t>Insider research.</w:t>
      </w:r>
      <w:r>
        <w:t xml:space="preserve"> Because the candidate is the students' teacher, the researcher and a rater, the consent process will make clear that study participation has no bearing on grades. The typing, blinding and locking procedures address the rating role.</w:t>
      </w:r>
    </w:p>
    <w:p>
      <w:pPr/>
      <w:r>
        <w:t>—</w:t>
      </w:r>
    </w:p>
    <w:p>
      <w:pPr>
        <w:pStyle w:val="Heading1"/>
      </w:pPr>
      <w:r>
        <w:t>Chapter 4. Schedule, Outputs and Limitations</w:t>
      </w:r>
    </w:p>
    <w:p>
      <w:pPr>
        <w:pStyle w:val="Heading2"/>
      </w:pPr>
      <w:r>
        <w:t>4.1 Timeline</w:t>
      </w:r>
    </w:p>
    <w:p>
      <w:pPr/>
      <w:r>
        <w:t>The candidature runs from September 2027 to August 2031.</w:t>
      </w:r>
    </w:p>
    <w:tbl>
      <w:tblPr>
        <w:tblStyle w:val="TableGrid"/>
        <w:tblW w:type="auto" w:w="0"/>
        <w:tblLook w:firstColumn="1" w:firstRow="1" w:lastColumn="0" w:lastRow="0" w:noHBand="0" w:noVBand="1" w:val="04A0"/>
      </w:tblPr>
      <w:tblGrid>
        <w:gridCol w:w="4320"/>
        <w:gridCol w:w="4320"/>
      </w:tblGrid>
      <w:tr>
        <w:tc>
          <w:tcPr>
            <w:tcW w:type="dxa" w:w="4320"/>
          </w:tcPr>
          <w:p>
            <w:pPr/>
            <w:r>
              <w:t>Period</w:t>
            </w:r>
          </w:p>
        </w:tc>
        <w:tc>
          <w:tcPr>
            <w:tcW w:type="dxa" w:w="4320"/>
          </w:tcPr>
          <w:p>
            <w:pPr/>
            <w:r>
              <w:t>Work</w:t>
            </w:r>
          </w:p>
        </w:tc>
      </w:tr>
      <w:tr>
        <w:tc>
          <w:tcPr>
            <w:tcW w:type="dxa" w:w="4320"/>
          </w:tcPr>
          <w:p>
            <w:pPr/>
            <w:r>
              <w:t>Before enrolment (by Aug 2027)</w:t>
            </w:r>
          </w:p>
        </w:tc>
        <w:tc>
          <w:tcPr>
            <w:tcW w:type="dxa" w:w="4320"/>
          </w:tcPr>
          <w:p>
            <w:pPr/>
            <w:r>
              <w:t>Prepare ethics documents</w:t>
            </w:r>
          </w:p>
        </w:tc>
      </w:tr>
      <w:tr>
        <w:tc>
          <w:tcPr>
            <w:tcW w:type="dxa" w:w="4320"/>
          </w:tcPr>
          <w:p>
            <w:pPr/>
            <w:r>
              <w:t>Sep–Dec 2027</w:t>
            </w:r>
          </w:p>
        </w:tc>
        <w:tc>
          <w:tcPr>
            <w:tcW w:type="dxa" w:w="4320"/>
          </w:tcPr>
          <w:p>
            <w:pPr/>
            <w:r>
              <w:t>Write both study passages, rubrics and reading keys; colleague review; structured passage-authenticity check; submit ethics application; check KRG permissions</w:t>
            </w:r>
          </w:p>
        </w:tc>
      </w:tr>
      <w:tr>
        <w:tc>
          <w:tcPr>
            <w:tcW w:type="dxa" w:w="4320"/>
          </w:tcPr>
          <w:p>
            <w:pPr/>
            <w:r>
              <w:t>Jan 2028</w:t>
            </w:r>
          </w:p>
        </w:tc>
        <w:tc>
          <w:tcPr>
            <w:tcW w:type="dxa" w:w="4320"/>
          </w:tcPr>
          <w:p>
            <w:pPr/>
            <w:r>
              <w:t>Fix the prompt wording. Run desk pilot on practice scripts (~40–60 AI submissions). Compute preliminary repeatability assessment. Run live pilot on third passage with colleague's class (~10–15 students, one pass per tool, ~20–30 AI submissions plus third passage preparation, recruitment, transcription and human marking). Discuss expected CI width with statistical adviser. Use results to finalise anchors and timings. Use pilot results to select pilot-informed tolerance values. Fix and preregister the analysis plan, including all pilot-informed thresholds, before main-study data collection.</w:t>
            </w:r>
          </w:p>
        </w:tc>
      </w:tr>
      <w:tr>
        <w:tc>
          <w:tcPr>
            <w:tcW w:type="dxa" w:w="4320"/>
          </w:tcPr>
          <w:p>
            <w:pPr/>
            <w:r>
              <w:t>Feb–Apr 2028</w:t>
            </w:r>
          </w:p>
        </w:tc>
        <w:tc>
          <w:tcPr>
            <w:tcW w:type="dxa" w:w="4320"/>
          </w:tcPr>
          <w:p>
            <w:pPr/>
            <w:r>
              <w:t>Students write summaries of both passages in separate sessions (Feb–Mar); anonymiser codes, types and re-checks all scripts before corpus freezing; locked human marking of all scripts</w:t>
            </w:r>
          </w:p>
        </w:tc>
      </w:tr>
      <w:tr>
        <w:tc>
          <w:tcPr>
            <w:tcW w:type="dxa" w:w="4320"/>
          </w:tcPr>
          <w:p>
            <w:pPr/>
            <w:r>
              <w:t>May–Aug 2028</w:t>
            </w:r>
          </w:p>
        </w:tc>
        <w:tc>
          <w:tcPr>
            <w:tcW w:type="dxa" w:w="4320"/>
          </w:tcPr>
          <w:p>
            <w:pPr/>
            <w:r>
              <w:t>AI scoring (both tools interleaved on the same days; two passes per tool within the same week); anchor checks</w:t>
            </w:r>
          </w:p>
        </w:tc>
      </w:tr>
      <w:tr>
        <w:tc>
          <w:tcPr>
            <w:tcW w:type="dxa" w:w="4320"/>
          </w:tcPr>
          <w:p>
            <w:pPr/>
            <w:r>
              <w:t>Sep 2028 – Aug 2029</w:t>
            </w:r>
          </w:p>
        </w:tc>
        <w:tc>
          <w:tcPr>
            <w:tcW w:type="dxa" w:w="4320"/>
          </w:tcPr>
          <w:p>
            <w:pPr/>
            <w:r>
              <w:t>Analysis; content analysis of high-divergence rationales; Papers 1–2 drafted</w:t>
            </w:r>
          </w:p>
        </w:tc>
      </w:tr>
      <w:tr>
        <w:tc>
          <w:tcPr>
            <w:tcW w:type="dxa" w:w="4320"/>
          </w:tcPr>
          <w:p>
            <w:pPr/>
            <w:r>
              <w:t>Sep 2029 – Aug 2031</w:t>
            </w:r>
          </w:p>
        </w:tc>
        <w:tc>
          <w:tcPr>
            <w:tcW w:type="dxa" w:w="4320"/>
          </w:tcPr>
          <w:p>
            <w:pPr/>
            <w:r>
              <w:t>Paper 3; thesis writing; final year at USM</w:t>
            </w:r>
          </w:p>
        </w:tc>
      </w:tr>
    </w:tbl>
    <w:p>
      <w:pPr>
        <w:pStyle w:val="Heading2"/>
      </w:pPr>
      <w:r>
        <w:t>4.2 Planned outputs</w:t>
      </w:r>
    </w:p>
    <w:p>
      <w:pPr/>
      <w:r>
        <w:t>Two primary papers are planned; a third is possible if the data support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t>Paper</w:t>
            </w:r>
          </w:p>
        </w:tc>
        <w:tc>
          <w:tcPr>
            <w:tcW w:type="dxa" w:w="2160"/>
          </w:tcPr>
          <w:p>
            <w:pPr/>
            <w:r>
              <w:t>Content</w:t>
            </w:r>
          </w:p>
        </w:tc>
        <w:tc>
          <w:tcPr>
            <w:tcW w:type="dxa" w:w="2160"/>
          </w:tcPr>
          <w:p>
            <w:pPr/>
            <w:r>
              <w:t>Target journals</w:t>
            </w:r>
          </w:p>
        </w:tc>
        <w:tc>
          <w:tcPr>
            <w:tcW w:type="dxa" w:w="2160"/>
          </w:tcPr>
          <w:p>
            <w:pPr/>
            <w:r>
              <w:t>Status</w:t>
            </w:r>
          </w:p>
        </w:tc>
      </w:tr>
      <w:tr>
        <w:tc>
          <w:tcPr>
            <w:tcW w:type="dxa" w:w="2160"/>
          </w:tcPr>
          <w:p>
            <w:pPr/>
            <w:r>
              <w:t>1</w:t>
            </w:r>
          </w:p>
        </w:tc>
        <w:tc>
          <w:tcPr>
            <w:tcW w:type="dxa" w:w="2160"/>
          </w:tcPr>
          <w:p>
            <w:pPr/>
            <w:r>
              <w:t>Pass-to-pass consistency and passage dependence of consumer AI scoring of IGCSE summaries (RQ1)</w:t>
            </w:r>
          </w:p>
        </w:tc>
        <w:tc>
          <w:tcPr>
            <w:tcW w:type="dxa" w:w="2160"/>
          </w:tcPr>
          <w:p>
            <w:pPr/>
            <w:r/>
            <w:r>
              <w:rPr>
                <w:i/>
              </w:rPr>
              <w:t>Language Testing</w:t>
            </w:r>
            <w:r>
              <w:t xml:space="preserve">; </w:t>
            </w:r>
            <w:r>
              <w:rPr>
                <w:i/>
              </w:rPr>
              <w:t>Language Assessment Quarterly</w:t>
            </w:r>
            <w:r/>
          </w:p>
        </w:tc>
        <w:tc>
          <w:tcPr>
            <w:tcW w:type="dxa" w:w="2160"/>
          </w:tcPr>
          <w:p>
            <w:pPr/>
            <w:r>
              <w:t>Primary</w:t>
            </w:r>
          </w:p>
        </w:tc>
      </w:tr>
      <w:tr>
        <w:tc>
          <w:tcPr>
            <w:tcW w:type="dxa" w:w="2160"/>
          </w:tcPr>
          <w:p>
            <w:pPr/>
            <w:r>
              <w:t>2</w:t>
            </w:r>
          </w:p>
        </w:tc>
        <w:tc>
          <w:tcPr>
            <w:tcW w:type="dxa" w:w="2160"/>
          </w:tcPr>
          <w:p>
            <w:pPr/>
            <w:r>
              <w:t>Human vs. AI rater agreement and the scoring correction gap examined (RQ2, RQ3, Synthesis)</w:t>
            </w:r>
          </w:p>
        </w:tc>
        <w:tc>
          <w:tcPr>
            <w:tcW w:type="dxa" w:w="2160"/>
          </w:tcPr>
          <w:p>
            <w:pPr/>
            <w:r/>
            <w:r>
              <w:rPr>
                <w:i/>
              </w:rPr>
              <w:t>Assessing Writing</w:t>
            </w:r>
            <w:r>
              <w:t xml:space="preserve">; </w:t>
            </w:r>
            <w:r>
              <w:rPr>
                <w:i/>
              </w:rPr>
              <w:t>Computers and Education: Artificial Intelligence</w:t>
            </w:r>
            <w:r/>
          </w:p>
        </w:tc>
        <w:tc>
          <w:tcPr>
            <w:tcW w:type="dxa" w:w="2160"/>
          </w:tcPr>
          <w:p>
            <w:pPr/>
            <w:r>
              <w:t>Primary</w:t>
            </w:r>
          </w:p>
        </w:tc>
      </w:tr>
      <w:tr>
        <w:tc>
          <w:tcPr>
            <w:tcW w:type="dxa" w:w="2160"/>
          </w:tcPr>
          <w:p>
            <w:pPr/>
            <w:r>
              <w:t>3</w:t>
            </w:r>
          </w:p>
        </w:tc>
        <w:tc>
          <w:tcPr>
            <w:tcW w:type="dxa" w:w="2160"/>
          </w:tcPr>
          <w:p>
            <w:pPr/>
            <w:r>
              <w:t>Reading–writing construct separation in AI scoring of multilingual learners' summaries: a focused analysis of how AI tools handle source fidelity and language features (extending RQ3 beyond the scoring-agreement focus of Paper 2)</w:t>
            </w:r>
          </w:p>
        </w:tc>
        <w:tc>
          <w:tcPr>
            <w:tcW w:type="dxa" w:w="2160"/>
          </w:tcPr>
          <w:p>
            <w:pPr/>
            <w:r/>
            <w:r>
              <w:rPr>
                <w:i/>
              </w:rPr>
              <w:t>Journal of Second Language Writing</w:t>
            </w:r>
            <w:r>
              <w:t xml:space="preserve">; </w:t>
            </w:r>
            <w:r>
              <w:rPr>
                <w:i/>
              </w:rPr>
              <w:t>TESOL Quarterly</w:t>
            </w:r>
            <w:r/>
          </w:p>
        </w:tc>
        <w:tc>
          <w:tcPr>
            <w:tcW w:type="dxa" w:w="2160"/>
          </w:tcPr>
          <w:p>
            <w:pPr/>
            <w:r>
              <w:t>Conditional: only if the RQ3 data yield sufficient depth on construct confusion to sustain a standalone paper distinct from Paper 2</w:t>
            </w:r>
          </w:p>
        </w:tc>
      </w:tr>
    </w:tbl>
    <w:p>
      <w:pPr>
        <w:pStyle w:val="Heading2"/>
      </w:pPr>
      <w:r>
        <w:t>4.3 Limitations and mitigations</w:t>
      </w:r>
    </w:p>
    <w:tbl>
      <w:tblPr>
        <w:tblStyle w:val="TableGrid"/>
        <w:tblW w:type="auto" w:w="0"/>
        <w:tblLook w:firstColumn="1" w:firstRow="1" w:lastColumn="0" w:lastRow="0" w:noHBand="0" w:noVBand="1" w:val="04A0"/>
      </w:tblPr>
      <w:tblGrid>
        <w:gridCol w:w="4320"/>
        <w:gridCol w:w="4320"/>
      </w:tblGrid>
      <w:tr>
        <w:tc>
          <w:tcPr>
            <w:tcW w:type="dxa" w:w="4320"/>
          </w:tcPr>
          <w:p>
            <w:pPr/>
            <w:r>
              <w:t>Limitation</w:t>
            </w:r>
          </w:p>
        </w:tc>
        <w:tc>
          <w:tcPr>
            <w:tcW w:type="dxa" w:w="4320"/>
          </w:tcPr>
          <w:p>
            <w:pPr/>
            <w:r>
              <w:t>Response</w:t>
            </w:r>
          </w:p>
        </w:tc>
      </w:tr>
      <w:tr>
        <w:tc>
          <w:tcPr>
            <w:tcW w:type="dxa" w:w="4320"/>
          </w:tcPr>
          <w:p>
            <w:pPr/>
            <w:r>
              <w:t>Teacher, researcher and rater are the same person</w:t>
            </w:r>
          </w:p>
        </w:tc>
        <w:tc>
          <w:tcPr>
            <w:tcW w:type="dxa" w:w="4320"/>
          </w:tcPr>
          <w:p>
            <w:pPr/>
            <w:r>
              <w:t>Independent second rater; anonymiser types scripts, so handwriting is never seen; blind, locked marking of coded, typed scripts in random order</w:t>
            </w:r>
          </w:p>
        </w:tc>
      </w:tr>
      <w:tr>
        <w:tc>
          <w:tcPr>
            <w:tcW w:type="dxa" w:w="4320"/>
          </w:tcPr>
          <w:p>
            <w:pPr/>
            <w:r>
              <w:t>One school, one task</w:t>
            </w:r>
          </w:p>
        </w:tc>
        <w:tc>
          <w:tcPr>
            <w:tcW w:type="dxa" w:w="4320"/>
          </w:tcPr>
          <w:p>
            <w:pPr/>
            <w:r>
              <w:t>A deliberately controlled design; passage effects are estimated with two passages; claims are bounded to this task type and school context</w:t>
            </w:r>
          </w:p>
        </w:tc>
      </w:tr>
      <w:tr>
        <w:tc>
          <w:tcPr>
            <w:tcW w:type="dxa" w:w="4320"/>
          </w:tcPr>
          <w:p>
            <w:pPr/>
            <w:r>
              <w:t>Two passages, both researcher-written</w:t>
            </w:r>
          </w:p>
        </w:tc>
        <w:tc>
          <w:tcPr>
            <w:tcW w:type="dxa" w:w="4320"/>
          </w:tcPr>
          <w:p>
            <w:pPr/>
            <w:r>
              <w:t>Structured authenticity check against real 0500 passages by independent colleagues; passage comparison within the study</w:t>
            </w:r>
          </w:p>
        </w:tc>
      </w:tr>
      <w:tr>
        <w:tc>
          <w:tcPr>
            <w:tcW w:type="dxa" w:w="4320"/>
          </w:tcPr>
          <w:p>
            <w:pPr/>
            <w:r>
              <w:t>130–160 scripts (65–80 students x 2 passages)</w:t>
            </w:r>
          </w:p>
        </w:tc>
        <w:tc>
          <w:tcPr>
            <w:tcW w:type="dxa" w:w="4320"/>
          </w:tcPr>
          <w:p>
            <w:pPr/>
            <w:r>
              <w:t>Sensitivity analysis reported; bootstrapped 95% CIs reported</w:t>
            </w:r>
          </w:p>
        </w:tc>
      </w:tr>
      <w:tr>
        <w:tc>
          <w:tcPr>
            <w:tcW w:type="dxa" w:w="4320"/>
          </w:tcPr>
          <w:p>
            <w:pPr/>
            <w:r>
              <w:t>Two passes limit repeatability precision</w:t>
            </w:r>
          </w:p>
        </w:tc>
        <w:tc>
          <w:tcPr>
            <w:tcW w:type="dxa" w:w="4320"/>
          </w:tcPr>
          <w:p>
            <w:pPr/>
            <w:r>
              <w:t>With two passes, per-script SD rests on a single difference; tool-level aggregates across scripts are meaningful but individual-script precision is limited</w:t>
            </w:r>
          </w:p>
        </w:tc>
      </w:tr>
      <w:tr>
        <w:tc>
          <w:tcPr>
            <w:tcW w:type="dxa" w:w="4320"/>
          </w:tcPr>
          <w:p>
            <w:pPr/>
            <w:r>
              <w:t>Counterbalanced but not fully crossed passage order</w:t>
            </w:r>
          </w:p>
        </w:tc>
        <w:tc>
          <w:tcPr>
            <w:tcW w:type="dxa" w:w="4320"/>
          </w:tcPr>
          <w:p>
            <w:pPr/>
            <w:r>
              <w:t>Random assignment of A-B / B-A within each class controls for order at the group level; individual order effects cannot be estimated with only two passages</w:t>
            </w:r>
          </w:p>
        </w:tc>
      </w:tr>
      <w:tr>
        <w:tc>
          <w:tcPr>
            <w:tcW w:type="dxa" w:w="4320"/>
          </w:tcPr>
          <w:p>
            <w:pPr/>
            <w:r>
              <w:t>Two tools, not the full market</w:t>
            </w:r>
          </w:p>
        </w:tc>
        <w:tc>
          <w:tcPr>
            <w:tcW w:type="dxa" w:w="4320"/>
          </w:tcPr>
          <w:p>
            <w:pPr/>
            <w:r>
              <w:t>ChatGPT and Claude are two widely used consumer AI chat applications; other tools are excluded; claims are limited to the tools studied</w:t>
            </w:r>
          </w:p>
        </w:tc>
      </w:tr>
      <w:tr>
        <w:tc>
          <w:tcPr>
            <w:tcW w:type="dxa" w:w="4320"/>
          </w:tcPr>
          <w:p>
            <w:pPr/>
            <w:r>
              <w:t>Single scoring wave</w:t>
            </w:r>
          </w:p>
        </w:tc>
        <w:tc>
          <w:tcPr>
            <w:tcW w:type="dxa" w:w="4320"/>
          </w:tcPr>
          <w:p>
            <w:pPr/>
            <w:r>
              <w:t>Temporal drift is not addressed; this is left for future research, which could rescore the same frozen corpus</w:t>
            </w:r>
          </w:p>
        </w:tc>
      </w:tr>
      <w:tr>
        <w:tc>
          <w:tcPr>
            <w:tcW w:type="dxa" w:w="4320"/>
          </w:tcPr>
          <w:p>
            <w:pPr/>
            <w:r>
              <w:t>Content analysis by one coder</w:t>
            </w:r>
          </w:p>
        </w:tc>
        <w:tc>
          <w:tcPr>
            <w:tcW w:type="dxa" w:w="4320"/>
          </w:tcPr>
          <w:p>
            <w:pPr/>
            <w:r>
              <w:t>Supervisor reviews a sample; credibility check, not independent validation; claims bounded accordingly</w:t>
            </w:r>
          </w:p>
        </w:tc>
      </w:tr>
      <w:tr>
        <w:tc>
          <w:tcPr>
            <w:tcW w:type="dxa" w:w="4320"/>
          </w:tcPr>
          <w:p>
            <w:pPr/>
            <w:r>
              <w:t>No comparison group for classroom use</w:t>
            </w:r>
          </w:p>
        </w:tc>
        <w:tc>
          <w:tcPr>
            <w:tcW w:type="dxa" w:w="4320"/>
          </w:tcPr>
          <w:p>
            <w:pPr/>
            <w:r>
              <w:t>The study does not include a classroom teaching strand; it provides scoring evidence only</w:t>
            </w:r>
          </w:p>
        </w:tc>
      </w:tr>
      <w:tr>
        <w:tc>
          <w:tcPr>
            <w:tcW w:type="dxa" w:w="4320"/>
          </w:tcPr>
          <w:p>
            <w:r>
              <w:t>Pilot-informed thresholds</w:t>
            </w:r>
          </w:p>
        </w:tc>
        <w:tc>
          <w:tcPr>
            <w:tcW w:type="dxa" w:w="4320"/>
          </w:tcPr>
          <w:p>
            <w:r>
              <w:t>Tolerance values are selected using a small pilot sample, not validated against a population cutoff; they are pilot-informed thresholds fixed and preregistered before main-study data collection, not independently validated benchmarks</w:t>
            </w:r>
          </w:p>
        </w:tc>
      </w:tr>
    </w:tbl>
    <w:p>
      <w:pPr>
        <w:pStyle w:val="Heading2"/>
      </w:pPr>
      <w:r>
        <w:t>4.4 Expected contribution</w:t>
      </w:r>
    </w:p>
    <w:p>
      <w:pPr/>
      <w:r>
        <w:t>The study is expected to contribute in three ways.</w:t>
      </w:r>
    </w:p>
    <w:p>
      <w:pPr/>
      <w:r/>
      <w:r>
        <w:rPr>
          <w:b/>
        </w:rPr>
        <w:t>Empirically</w:t>
      </w:r>
      <w:r>
        <w:t>,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contribution can be stated precisely: whether consumer AI scoring of an IGCSE selective summary is sufficiently consistent and sufficiently aligned with human judgement to support a discrepancy-review workflow, and where it is not, what the pattern of failure reveals.</w:t>
      </w:r>
    </w:p>
    <w:p>
      <w:pPr/>
      <w:r/>
      <w:r>
        <w:rPr>
          <w:b/>
        </w:rPr>
        <w:t>Conceptually</w:t>
      </w:r>
      <w:r>
        <w:t xml:space="preserve">, it will propose the </w:t>
      </w:r>
      <w:r>
        <w:rPr>
          <w:i/>
        </w:rPr>
        <w:t>scoring correction gap</w:t>
      </w:r>
      <w:r>
        <w:t xml:space="preserve"> as an analytical label for describing, at the criterion level, what a teacher must understand about an AI mark before acting on it, supported by a structured evidence-checking procedure that verifies AI justifications against the student text, source passage and rubric descriptors. The accessibility–fidelity analysis will contribute to the broader question of whether AI scoring confuses reading and writing constructs or introduces construct-irrelevant variance for multilingual populations on source-based tasks.</w:t>
      </w:r>
    </w:p>
    <w:p>
      <w:pPr/>
      <w:r/>
      <w:r>
        <w:rPr>
          <w:b/>
        </w:rPr>
        <w:t>Practically</w:t>
      </w:r>
      <w:r>
        <w:t>, it will provide the descriptive evidence base—consistency statistics, agreement benchmarks, correction-gap profiles and qualitative explanations—that a teacher or school would need to make an informed decision about using a consumer AI tool as a second marker for this task. The evidence base is intended as a foundation for further validation rather than immediate operational adoption.</w:t>
      </w:r>
    </w:p>
    <w:p>
      <w:pPr/>
      <w:r>
        <w:t>—</w:t>
      </w:r>
    </w:p>
    <w:p>
      <w:pPr>
        <w:pStyle w:val="Heading1"/>
      </w:pPr>
      <w:r>
        <w:t>Appendix A. Draft Prompt Framing</w:t>
      </w:r>
    </w:p>
    <w:p>
      <w:pPr/>
      <w:r/>
      <w:r>
        <w:rPr>
          <w:b/>
        </w:rPr>
        <w:t>Status: DRAFT.</w:t>
      </w:r>
      <w:r>
        <w:t xml:space="preserve"> This wording is illustrative only. The final wording will be fixed before data collection and then never changed. Square-bracketed items are placeholders.</w:t>
      </w:r>
    </w:p>
    <w:p>
      <w:pPr>
        <w:pStyle w:val="Heading2"/>
      </w:pPr>
      <w:r>
        <w:t>Rubric-embedded framing</w:t>
      </w:r>
    </w:p>
    <w:p>
      <w:pPr>
        <w:ind w:left="720" w:right="720"/>
      </w:pPr>
      <w:r>
        <w:t>Below are a reading passage, a summary task, and a student's summary written in response to the task.</w:t>
      </w:r>
    </w:p>
    <w:p>
      <w:pPr>
        <w:ind w:left="720" w:right="720"/>
      </w:pPr>
      <w:r>
        <w:t>PASSAGE: [PASSAGE]</w:t>
      </w:r>
    </w:p>
    <w:p>
      <w:pPr>
        <w:ind w:left="720" w:right="720"/>
      </w:pPr>
      <w:r>
        <w:t>TASK: [TASK]</w:t>
      </w:r>
    </w:p>
    <w:p>
      <w:pPr>
        <w:ind w:left="720" w:right="720"/>
      </w:pPr>
      <w:r>
        <w:t>STUDENT'S SUMMARY: [SUMMARY]</w:t>
      </w:r>
    </w:p>
    <w:p>
      <w:pPr>
        <w:ind w:left="720" w:right="720"/>
      </w:pPr>
      <w:r>
        <w:t>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ind w:left="720" w:right="720"/>
      </w:pPr>
      <w:r>
        <w:t>Mark this summary. It is marked out of 10 for reading and 5 for writing.</w:t>
      </w:r>
    </w:p>
    <w:p>
      <w:pPr>
        <w:ind w:left="720" w:right="720"/>
      </w:pPr>
      <w:r>
        <w:t>Use the following marking rubric: [RUBRIC]</w:t>
      </w:r>
    </w:p>
    <w:p>
      <w:pPr>
        <w:ind w:left="720" w:right="720"/>
      </w:pPr>
      <w:r>
        <w:t>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ind w:left="720" w:right="720"/>
      </w:pPr>
      <w:r>
        <w:t>Give your marks on the first line in exactly this form: Reading _/10; Writing _/5</w:t>
      </w:r>
    </w:p>
    <w:p>
      <w:pPr>
        <w:ind w:left="720" w:right="720"/>
      </w:pPr>
      <w:r>
        <w:t>Then give a short reason for your marks, with reference to the level descriptors.</w:t>
      </w:r>
    </w:p>
    <w:p>
      <w:pPr/>
      <w:r>
        <w:t>Fixed in advance: the handling of refusals and of out-of-range or unparseable answers, and the parsing rule for the output line.</w:t>
      </w:r>
    </w:p>
    <w:p>
      <w:pPr/>
      <w:r>
        <w:t>—</w:t>
      </w:r>
    </w:p>
    <w:p>
      <w:pPr>
        <w:pStyle w:val="Heading1"/>
      </w:pPr>
      <w:r>
        <w:t>Appendix B. Fields of the Session Log</w:t>
      </w:r>
    </w:p>
    <w:tbl>
      <w:tblPr>
        <w:tblStyle w:val="TableGrid"/>
        <w:tblW w:type="auto" w:w="0"/>
        <w:tblLook w:firstColumn="1" w:firstRow="1" w:lastColumn="0" w:lastRow="0" w:noHBand="0" w:noVBand="1" w:val="04A0"/>
      </w:tblPr>
      <w:tblGrid>
        <w:gridCol w:w="4320"/>
        <w:gridCol w:w="4320"/>
      </w:tblGrid>
      <w:tr>
        <w:tc>
          <w:tcPr>
            <w:tcW w:type="dxa" w:w="4320"/>
          </w:tcPr>
          <w:p>
            <w:pPr/>
            <w:r>
              <w:t>Field</w:t>
            </w:r>
          </w:p>
        </w:tc>
        <w:tc>
          <w:tcPr>
            <w:tcW w:type="dxa" w:w="4320"/>
          </w:tcPr>
          <w:p>
            <w:pPr/>
            <w:r>
              <w:t>Description</w:t>
            </w:r>
          </w:p>
        </w:tc>
      </w:tr>
      <w:tr>
        <w:tc>
          <w:tcPr>
            <w:tcW w:type="dxa" w:w="4320"/>
          </w:tcPr>
          <w:p>
            <w:pPr/>
            <w:r>
              <w:t>Submission ID</w:t>
            </w:r>
          </w:p>
        </w:tc>
        <w:tc>
          <w:tcPr>
            <w:tcW w:type="dxa" w:w="4320"/>
          </w:tcPr>
          <w:p>
            <w:pPr/>
            <w:r>
              <w:t>Unique identifier for each submission</w:t>
            </w:r>
          </w:p>
        </w:tc>
      </w:tr>
      <w:tr>
        <w:tc>
          <w:tcPr>
            <w:tcW w:type="dxa" w:w="4320"/>
          </w:tcPr>
          <w:p>
            <w:pPr/>
            <w:r>
              <w:t>Date and time</w:t>
            </w:r>
          </w:p>
        </w:tc>
        <w:tc>
          <w:tcPr>
            <w:tcW w:type="dxa" w:w="4320"/>
          </w:tcPr>
          <w:p>
            <w:pPr/>
            <w:r>
              <w:t>Date and time of submission (with time zone)</w:t>
            </w:r>
          </w:p>
        </w:tc>
      </w:tr>
      <w:tr>
        <w:tc>
          <w:tcPr>
            <w:tcW w:type="dxa" w:w="4320"/>
          </w:tcPr>
          <w:p>
            <w:pPr/>
            <w:r>
              <w:t>App and plan</w:t>
            </w:r>
          </w:p>
        </w:tc>
        <w:tc>
          <w:tcPr>
            <w:tcW w:type="dxa" w:w="4320"/>
          </w:tcPr>
          <w:p>
            <w:pPr/>
            <w:r>
              <w:t>ChatGPT or Claude; interface (web or mobile); subscription plan</w:t>
            </w:r>
          </w:p>
        </w:tc>
      </w:tr>
      <w:tr>
        <w:tc>
          <w:tcPr>
            <w:tcW w:type="dxa" w:w="4320"/>
          </w:tcPr>
          <w:p>
            <w:pPr/>
            <w:r>
              <w:t>Model name</w:t>
            </w:r>
          </w:p>
        </w:tc>
        <w:tc>
          <w:tcPr>
            <w:tcW w:type="dxa" w:w="4320"/>
          </w:tcPr>
          <w:p>
            <w:pPr/>
            <w:r>
              <w:t>Flagship model chosen in the picker, as displayed</w:t>
            </w:r>
          </w:p>
        </w:tc>
      </w:tr>
      <w:tr>
        <w:tc>
          <w:tcPr>
            <w:tcW w:type="dxa" w:w="4320"/>
          </w:tcPr>
          <w:p>
            <w:pPr/>
            <w:r>
              <w:t>Reasoning mode</w:t>
            </w:r>
          </w:p>
        </w:tc>
        <w:tc>
          <w:tcPr>
            <w:tcW w:type="dxa" w:w="4320"/>
          </w:tcPr>
          <w:p>
            <w:pPr/>
            <w:r>
              <w:t>Reasoning or thinking setting as displayed</w:t>
            </w:r>
          </w:p>
        </w:tc>
      </w:tr>
      <w:tr>
        <w:tc>
          <w:tcPr>
            <w:tcW w:type="dxa" w:w="4320"/>
          </w:tcPr>
          <w:p>
            <w:pPr/>
            <w:r>
              <w:t>Model change</w:t>
            </w:r>
          </w:p>
        </w:tc>
        <w:tc>
          <w:tcPr>
            <w:tcW w:type="dxa" w:w="4320"/>
          </w:tcPr>
          <w:p>
            <w:pPr/>
            <w:r>
              <w:t>Whether the picker's flagship model differs from that at the start of the scoring window (covariate)</w:t>
            </w:r>
          </w:p>
        </w:tc>
      </w:tr>
      <w:tr>
        <w:tc>
          <w:tcPr>
            <w:tcW w:type="dxa" w:w="4320"/>
          </w:tcPr>
          <w:p>
            <w:pPr/>
            <w:r>
              <w:t>Framing</w:t>
            </w:r>
          </w:p>
        </w:tc>
        <w:tc>
          <w:tcPr>
            <w:tcW w:type="dxa" w:w="4320"/>
          </w:tcPr>
          <w:p>
            <w:pPr/>
            <w:r>
              <w:t>Rubric-embedded</w:t>
            </w:r>
          </w:p>
        </w:tc>
      </w:tr>
      <w:tr>
        <w:tc>
          <w:tcPr>
            <w:tcW w:type="dxa" w:w="4320"/>
          </w:tcPr>
          <w:p>
            <w:pPr/>
            <w:r>
              <w:t>Passage</w:t>
            </w:r>
          </w:p>
        </w:tc>
        <w:tc>
          <w:tcPr>
            <w:tcW w:type="dxa" w:w="4320"/>
          </w:tcPr>
          <w:p>
            <w:pPr/>
            <w:r>
              <w:t>A or B</w:t>
            </w:r>
          </w:p>
        </w:tc>
      </w:tr>
      <w:tr>
        <w:tc>
          <w:tcPr>
            <w:tcW w:type="dxa" w:w="4320"/>
          </w:tcPr>
          <w:p>
            <w:pPr/>
            <w:r>
              <w:t>Pass</w:t>
            </w:r>
          </w:p>
        </w:tc>
        <w:tc>
          <w:tcPr>
            <w:tcW w:type="dxa" w:w="4320"/>
          </w:tcPr>
          <w:p>
            <w:pPr/>
            <w:r>
              <w:t>1 or 2</w:t>
            </w:r>
          </w:p>
        </w:tc>
      </w:tr>
      <w:tr>
        <w:tc>
          <w:tcPr>
            <w:tcW w:type="dxa" w:w="4320"/>
          </w:tcPr>
          <w:p>
            <w:pPr/>
            <w:r>
              <w:t>Randomised position</w:t>
            </w:r>
          </w:p>
        </w:tc>
        <w:tc>
          <w:tcPr>
            <w:tcW w:type="dxa" w:w="4320"/>
          </w:tcPr>
          <w:p>
            <w:pPr/>
            <w:r>
              <w:t>Position of the submission in the pass's randomised order</w:t>
            </w:r>
          </w:p>
        </w:tc>
      </w:tr>
      <w:tr>
        <w:tc>
          <w:tcPr>
            <w:tcW w:type="dxa" w:w="4320"/>
          </w:tcPr>
          <w:p>
            <w:pPr/>
            <w:r>
              <w:t>Script code</w:t>
            </w:r>
          </w:p>
        </w:tc>
        <w:tc>
          <w:tcPr>
            <w:tcW w:type="dxa" w:w="4320"/>
          </w:tcPr>
          <w:p>
            <w:pPr/>
            <w:r>
              <w:t>Anonymised script code, or anchor code</w:t>
            </w:r>
          </w:p>
        </w:tc>
      </w:tr>
      <w:tr>
        <w:tc>
          <w:tcPr>
            <w:tcW w:type="dxa" w:w="4320"/>
          </w:tcPr>
          <w:p>
            <w:pPr/>
            <w:r>
              <w:t>Anchor flag</w:t>
            </w:r>
          </w:p>
        </w:tc>
        <w:tc>
          <w:tcPr>
            <w:tcW w:type="dxa" w:w="4320"/>
          </w:tcPr>
          <w:p>
            <w:pPr/>
            <w:r>
              <w:t>Whether the submission is an anchor check, and whether that day was flagged</w:t>
            </w:r>
          </w:p>
        </w:tc>
      </w:tr>
      <w:tr>
        <w:tc>
          <w:tcPr>
            <w:tcW w:type="dxa" w:w="4320"/>
          </w:tcPr>
          <w:p>
            <w:pPr/>
            <w:r>
              <w:t>Settings check</w:t>
            </w:r>
          </w:p>
        </w:tc>
        <w:tc>
          <w:tcPr>
            <w:tcW w:type="dxa" w:w="4320"/>
          </w:tcPr>
          <w:p>
            <w:pPr/>
            <w:r>
              <w:t>Memory, personalisation, custom instructions and training off; temporary or incognito chat used (yes/no)</w:t>
            </w:r>
          </w:p>
        </w:tc>
      </w:tr>
      <w:tr>
        <w:tc>
          <w:tcPr>
            <w:tcW w:type="dxa" w:w="4320"/>
          </w:tcPr>
          <w:p>
            <w:pPr/>
            <w:r>
              <w:t>Full response</w:t>
            </w:r>
          </w:p>
        </w:tc>
        <w:tc>
          <w:tcPr>
            <w:tcW w:type="dxa" w:w="4320"/>
          </w:tcPr>
          <w:p>
            <w:pPr/>
            <w:r>
              <w:t>Complete text of the AI response</w:t>
            </w:r>
          </w:p>
        </w:tc>
      </w:tr>
      <w:tr>
        <w:tc>
          <w:tcPr>
            <w:tcW w:type="dxa" w:w="4320"/>
          </w:tcPr>
          <w:p>
            <w:pPr/>
            <w:r>
              <w:t>Extracted scores</w:t>
            </w:r>
          </w:p>
        </w:tc>
        <w:tc>
          <w:tcPr>
            <w:tcW w:type="dxa" w:w="4320"/>
          </w:tcPr>
          <w:p>
            <w:pPr/>
            <w:r>
              <w:t>Reading and writing marks parsed from the output line</w:t>
            </w:r>
          </w:p>
        </w:tc>
      </w:tr>
      <w:tr>
        <w:tc>
          <w:tcPr>
            <w:tcW w:type="dxa" w:w="4320"/>
          </w:tcPr>
          <w:p>
            <w:pPr/>
            <w:r>
              <w:t>Response status</w:t>
            </w:r>
          </w:p>
        </w:tc>
        <w:tc>
          <w:tcPr>
            <w:tcW w:type="dxa" w:w="4320"/>
          </w:tcPr>
          <w:p>
            <w:pPr/>
            <w:r>
              <w:t>Valid, refusal, out-of-range or unparseable, handled by the pre-set rules</w:t>
            </w:r>
          </w:p>
        </w:tc>
      </w:tr>
      <w:tr>
        <w:tc>
          <w:tcPr>
            <w:tcW w:type="dxa" w:w="4320"/>
          </w:tcPr>
          <w:p>
            <w:pPr/>
            <w:r>
              <w:t>Screenshot</w:t>
            </w:r>
          </w:p>
        </w:tc>
        <w:tc>
          <w:tcPr>
            <w:tcW w:type="dxa" w:w="4320"/>
          </w:tcPr>
          <w:p>
            <w:pPr/>
            <w:r>
              <w:t>File reference</w:t>
            </w:r>
          </w:p>
        </w:tc>
      </w:tr>
      <w:tr>
        <w:tc>
          <w:tcPr>
            <w:tcW w:type="dxa" w:w="4320"/>
          </w:tcPr>
          <w:p>
            <w:pPr/>
            <w:r>
              <w:t>Anomalies</w:t>
            </w:r>
          </w:p>
        </w:tc>
        <w:tc>
          <w:tcPr>
            <w:tcW w:type="dxa" w:w="4320"/>
          </w:tcPr>
          <w:p>
            <w:pPr/>
            <w:r>
              <w:t>Message-cap interruptions, regenerated responses or other irregularities</w:t>
            </w:r>
          </w:p>
        </w:tc>
      </w:tr>
    </w:tbl>
    <w:p>
      <w:pPr/>
      <w:r>
        <w:t>—</w:t>
      </w:r>
    </w:p>
    <w:p>
      <w:pPr>
        <w:pStyle w:val="Heading1"/>
      </w:pPr>
      <w:r>
        <w:t>References</w:t>
      </w:r>
    </w:p>
    <w:p>
      <w:pPr/>
      <w:r>
        <w:t xml:space="preserve">American Educational Research Association, American Psychological Association, &amp; National Council on Measurement in Education. (2014). </w:t>
      </w:r>
      <w:r>
        <w:rPr>
          <w:i/>
        </w:rPr>
        <w:t>Standards for educational and psychological testing</w:t>
      </w:r>
      <w:r>
        <w:t>. American Educational Research Association.</w:t>
      </w:r>
    </w:p>
    <w:p>
      <w:pPr/>
      <w:r>
        <w:t>Anthropic. (n.d.-a). Use incognito chats. Claude Help Center. Retrieved October 9, 2026, from https://support.claude.com/en/articles/12260368</w:t>
      </w:r>
    </w:p>
    <w:p>
      <w:pPr/>
      <w:r>
        <w:t>Anthropic. (n.d.-b). I would like to input sensitive data into my chats with Claude. Who can view my conversations? Claude Help Center. Retrieved October 9, 2026, from https://support.claude.com/en/articles/8325621</w:t>
      </w:r>
    </w:p>
    <w:p>
      <w:pPr/>
      <w:r>
        <w:t xml:space="preserve">Anthropic. (2025a, August 27). </w:t>
      </w:r>
      <w:r>
        <w:rPr>
          <w:i/>
        </w:rPr>
        <w:t>Anthropic Education Report: How educators use Claude</w:t>
      </w:r>
      <w:r>
        <w:t>. https://www.anthropic.com/news/anthropic-education-report-how-educators-use-claude</w:t>
      </w:r>
    </w:p>
    <w:p>
      <w:pPr/>
      <w:r>
        <w:t>Atil, B., Aykent, S., Chittams, A., Fu, L., Passonneau, R. J., Radcliffe, E., Rajagopal, G. R., Sloan, A., Tudrej, T., Ture, F., Wu, Z., Xu, L., &amp; Baldwin, B. (2025). Non-determinism of "deterministic" LLM settings (arXiv:2408.04667v5) [Preprint]. arXiv. https://doi.org/10.48550/arXiv.2408.04667</w:t>
      </w:r>
    </w:p>
    <w:p>
      <w:pPr/>
      <w:r>
        <w:t xml:space="preserve">Baldwin, P., Yaneva, V., North, K., Ha, L. A., Zhou, Y., Mechaber, A. J., &amp; Clauser, B. E. (2025). The vulnerability of AI-based scoring systems to gaming strategies: A case study. </w:t>
      </w:r>
      <w:r>
        <w:rPr>
          <w:i/>
        </w:rPr>
        <w:t>Journal of Educational Measurement</w:t>
      </w:r>
      <w:r>
        <w:t xml:space="preserve">, </w:t>
      </w:r>
      <w:r>
        <w:rPr>
          <w:i/>
        </w:rPr>
        <w:t>62</w:t>
      </w:r>
      <w:r>
        <w:t>(1), 172–194. https://doi.org/10.1111/jedm.12427</w:t>
      </w:r>
    </w:p>
    <w:p>
      <w:pPr/>
      <w:r>
        <w:t xml:space="preserve">Bates, D., Mächler, M., Bolker, B. M., &amp; Walker, S. C. (2015). Fitting linear mixed-effects models using lme4. </w:t>
      </w:r>
      <w:r>
        <w:rPr>
          <w:i/>
        </w:rPr>
        <w:t>Journal of Statistical Software</w:t>
      </w:r>
      <w:r>
        <w:t xml:space="preserve">, </w:t>
      </w:r>
      <w:r>
        <w:rPr>
          <w:i/>
        </w:rPr>
        <w:t>67</w:t>
      </w:r>
      <w:r>
        <w:t>(1), 1–48. https://doi.org/10.18637/jss.v067.i01</w:t>
      </w:r>
    </w:p>
    <w:p>
      <w:pPr/>
      <w:r>
        <w:t xml:space="preserve">Baxter, G., &amp; Neumann, H. (2023). Source-based writing of the high- and low-proficiency adolescent writer in the high-school L2 classroom. </w:t>
      </w:r>
      <w:r>
        <w:rPr>
          <w:i/>
        </w:rPr>
        <w:t>Journal of Second Language Writing</w:t>
      </w:r>
      <w:r>
        <w:t xml:space="preserve">, </w:t>
      </w:r>
      <w:r>
        <w:rPr>
          <w:i/>
        </w:rPr>
        <w:t>62</w:t>
      </w:r>
      <w:r>
        <w:t>, Article 101064. https://doi.org/10.1016/j.jslw.2023.101064</w:t>
      </w:r>
    </w:p>
    <w:p>
      <w:pPr/>
      <w:r>
        <w:t xml:space="preserve">Bland, J. M., &amp; Altman, D. G. (1986). Statistical methods for assessing agreement between two methods of clinical measurement. </w:t>
      </w:r>
      <w:r>
        <w:rPr>
          <w:i/>
        </w:rPr>
        <w:t>The Lancet</w:t>
      </w:r>
      <w:r>
        <w:t xml:space="preserve">, </w:t>
      </w:r>
      <w:r>
        <w:rPr>
          <w:i/>
        </w:rPr>
        <w:t>327</w:t>
      </w:r>
      <w:r>
        <w:t>(8476), 307–310. https://doi.org/10.1016/S0140-6736(86)90837-8</w:t>
      </w:r>
    </w:p>
    <w:p>
      <w:pPr/>
      <w:r>
        <w:t xml:space="preserve">Brown, A. L., &amp; Day, J. D. (1983). Macrorules for summarizing texts: The development of expertise. </w:t>
      </w:r>
      <w:r>
        <w:rPr>
          <w:i/>
        </w:rPr>
        <w:t>Journal of Verbal Learning and Verbal Behavior</w:t>
      </w:r>
      <w:r>
        <w:t xml:space="preserve">, </w:t>
      </w:r>
      <w:r>
        <w:rPr>
          <w:i/>
        </w:rPr>
        <w:t>22</w:t>
      </w:r>
      <w:r>
        <w:t>(1), 1–14. https://doi.org/10.1016/S0022-5371(83)80002-4</w:t>
      </w:r>
    </w:p>
    <w:p>
      <w:pPr/>
      <w:r>
        <w:t xml:space="preserve">Bui, N. M., &amp; Barrot, J. S. (2025). ChatGPT as an automated essay scoring tool in the writing classrooms: How it compares with human scoring. </w:t>
      </w:r>
      <w:r>
        <w:rPr>
          <w:i/>
        </w:rPr>
        <w:t>Education and Information Technologies</w:t>
      </w:r>
      <w:r>
        <w:t xml:space="preserve">, </w:t>
      </w:r>
      <w:r>
        <w:rPr>
          <w:i/>
        </w:rPr>
        <w:t>30</w:t>
      </w:r>
      <w:r>
        <w:t>(2), 2041–2058. https://doi.org/10.1007/s10639-024-12891-w</w:t>
      </w:r>
    </w:p>
    <w:p>
      <w:pPr/>
      <w:r>
        <w:t xml:space="preserve">Cambridge International Education. (2024a). </w:t>
      </w:r>
      <w:r>
        <w:rPr>
          <w:i/>
        </w:rPr>
        <w:t>Cambridge IGCSE First Language English 0500: Syllabus for examination in 2027, 2028 and 2029</w:t>
      </w:r>
      <w:r>
        <w:t xml:space="preserve"> (Version 1). Cambridge University Press &amp; Assessment. https://www.cambridgeinternational.org/Images/718783-2027-2029-syllabus.pdf</w:t>
      </w:r>
    </w:p>
    <w:p>
      <w:pPr/>
      <w:r>
        <w:t xml:space="preserve">Cambridge International Education. (2024c). </w:t>
      </w:r>
      <w:r>
        <w:rPr>
          <w:i/>
        </w:rPr>
        <w:t>0990 First Language English (9–1) June 2024: Principal examiner report for teachers</w:t>
      </w:r>
      <w:r>
        <w:t>. Cambridge University Press &amp; Assessment. https://www.cambridgeinternational.org/Images/602996-june-2024-examiner-report.pdf</w:t>
      </w:r>
    </w:p>
    <w:p>
      <w:pPr/>
      <w:r>
        <w:t xml:space="preserve">Carder, M. (2007). </w:t>
      </w:r>
      <w:r>
        <w:rPr>
          <w:i/>
        </w:rPr>
        <w:t>Bilingualism in international schools: A model for enriching language education</w:t>
      </w:r>
      <w:r>
        <w:t>. Multilingual Matters. https://doi.org/10.21832/9781853599422</w:t>
      </w:r>
    </w:p>
    <w:p>
      <w:pPr/>
      <w:r>
        <w:t xml:space="preserve">Chen, L., Zaharia, M., &amp; Zou, J. (2024). How is ChatGPT's behavior changing over time? </w:t>
      </w:r>
      <w:r>
        <w:rPr>
          <w:i/>
        </w:rPr>
        <w:t>Harvard Data Science Review</w:t>
      </w:r>
      <w:r>
        <w:t xml:space="preserve">, </w:t>
      </w:r>
      <w:r>
        <w:rPr>
          <w:i/>
        </w:rPr>
        <w:t>6</w:t>
      </w:r>
      <w:r>
        <w:t>(2). https://doi.org/10.1162/99608f92.5317da47</w:t>
      </w:r>
    </w:p>
    <w:p>
      <w:pPr/>
      <w:r>
        <w:t xml:space="preserve">Clauser, B. E., Kane, M. T., &amp; Swanson, D. B. (2002). Validity issues for performance-based tests scored with computer-automated scoring systems. </w:t>
      </w:r>
      <w:r>
        <w:rPr>
          <w:i/>
        </w:rPr>
        <w:t>Applied Measurement in Education</w:t>
      </w:r>
      <w:r>
        <w:t xml:space="preserve">, </w:t>
      </w:r>
      <w:r>
        <w:rPr>
          <w:i/>
        </w:rPr>
        <w:t>15</w:t>
      </w:r>
      <w:r>
        <w:t>(4), 413–432. https://doi.org/10.1207/S15324818AME1504_05</w:t>
      </w:r>
    </w:p>
    <w:p>
      <w:pPr/>
      <w:r>
        <w:t xml:space="preserve">Cohen, J. (1968). Weighted kappa: Nominal scale agreement provision for scaled disagreement or partial credit. </w:t>
      </w:r>
      <w:r>
        <w:rPr>
          <w:i/>
        </w:rPr>
        <w:t>Psychological Bulletin</w:t>
      </w:r>
      <w:r>
        <w:t xml:space="preserve">, </w:t>
      </w:r>
      <w:r>
        <w:rPr>
          <w:i/>
        </w:rPr>
        <w:t>70</w:t>
      </w:r>
      <w:r>
        <w:t>(4), 213–220. https://doi.org/10.1037/h0026256</w:t>
      </w:r>
    </w:p>
    <w:p>
      <w:pPr/>
      <w:r>
        <w:t xml:space="preserve">Crossley, S. A., Yang, H. S., &amp; McNamara, D. S. (2014). What's so simple about simplified texts? A computational and psycholinguistic investigation of text comprehension and text processing. </w:t>
      </w:r>
      <w:r>
        <w:rPr>
          <w:i/>
        </w:rPr>
        <w:t>Reading in a Foreign Language</w:t>
      </w:r>
      <w:r>
        <w:t xml:space="preserve">, </w:t>
      </w:r>
      <w:r>
        <w:rPr>
          <w:i/>
        </w:rPr>
        <w:t>26</w:t>
      </w:r>
      <w:r>
        <w:t>(1), 92–113.</w:t>
      </w:r>
    </w:p>
    <w:p>
      <w:pPr/>
      <w:r>
        <w:t xml:space="preserve">Cumming, A. (2013). Assessing integrated writing tasks for academic purposes: Promises and perils. </w:t>
      </w:r>
      <w:r>
        <w:rPr>
          <w:i/>
        </w:rPr>
        <w:t>Language Assessment Quarterly</w:t>
      </w:r>
      <w:r>
        <w:t xml:space="preserve">, </w:t>
      </w:r>
      <w:r>
        <w:rPr>
          <w:i/>
        </w:rPr>
        <w:t>10</w:t>
      </w:r>
      <w:r>
        <w:t>(1), 1–8. https://doi.org/10.1080/15434303.2011.622016</w:t>
      </w:r>
    </w:p>
    <w:p>
      <w:pPr/>
      <w:r>
        <w:t xml:space="preserve">Doewes, A., Kurdhi, N. A., &amp; Saxena, A. (2023). Evaluating quadratic weighted kappa as the standard performance metric for automated essay scoring. In M. Feng, T. Käser, &amp; P. Talukdar (Eds.), </w:t>
      </w:r>
      <w:r>
        <w:rPr>
          <w:i/>
        </w:rPr>
        <w:t>Proceedings of the 16th International Conference on Educational Data Mining</w:t>
      </w:r>
      <w:r>
        <w:t xml:space="preserve"> (pp. 103–113). International Educational Data Mining Society. https://doi.org/10.5281/zenodo.8115784</w:t>
      </w:r>
    </w:p>
    <w:p>
      <w:pPr/>
      <w:r>
        <w:t xml:space="preserve">Eckes, T. (2015). </w:t>
      </w:r>
      <w:r>
        <w:rPr>
          <w:i/>
        </w:rPr>
        <w:t>Introduction to many-facet Rasch measurement: Analyzing and evaluating rater-mediated assessments</w:t>
      </w:r>
      <w:r>
        <w:t xml:space="preserve"> (2nd rev. and updated ed.). Peter Lang. https://doi.org/10.3726/978-3-653-04844-5</w:t>
      </w:r>
    </w:p>
    <w:p>
      <w:pPr/>
      <w:r>
        <w:t xml:space="preserve">Gallup &amp; Walton Family Foundation. (2025). </w:t>
      </w:r>
      <w:r>
        <w:rPr>
          <w:i/>
        </w:rPr>
        <w:t>Teaching for tomorrow: Unlocking six weeks a year with AI</w:t>
      </w:r>
      <w:r>
        <w:t>. Gallup. https://nextgeninsights.waltonfamilyfoundation.org/wp-content/uploads/2025/06/Teachers_AI_Report.pdf</w:t>
      </w:r>
    </w:p>
    <w:p>
      <w:pPr/>
      <w:r>
        <w:t xml:space="preserve">Hassun, H. (2022). </w:t>
      </w:r>
      <w:r>
        <w:rPr>
          <w:i/>
        </w:rPr>
        <w:t>Private schools in the Kurdistan Region of Iraq: An evidence based approach on their functions</w:t>
      </w:r>
      <w:r>
        <w:t>. University of Bamberg Press. https://doi.org/10.20378/irb-58324</w:t>
      </w:r>
    </w:p>
    <w:p>
      <w:pPr/>
      <w:r>
        <w:t xml:space="preserve">Hidi, S., &amp; Anderson, V. (1986). Producing written summaries: Task demands, cognitive operations, and implications for instruction. </w:t>
      </w:r>
      <w:r>
        <w:rPr>
          <w:i/>
        </w:rPr>
        <w:t>Review of Educational Research</w:t>
      </w:r>
      <w:r>
        <w:t xml:space="preserve">, </w:t>
      </w:r>
      <w:r>
        <w:rPr>
          <w:i/>
        </w:rPr>
        <w:t>56</w:t>
      </w:r>
      <w:r>
        <w:t>(4), 473–493. https://doi.org/10.3102/00346543056004473</w:t>
      </w:r>
    </w:p>
    <w:p>
      <w:pPr/>
      <w:r>
        <w:t xml:space="preserve">Hirvela, A., &amp; Du, Q. (2013). "Why am I paraphrasing?": Undergraduate ESL writers' engagement with source-based academic writing and reading. </w:t>
      </w:r>
      <w:r>
        <w:rPr>
          <w:i/>
        </w:rPr>
        <w:t>Journal of English for Academic Purposes</w:t>
      </w:r>
      <w:r>
        <w:t xml:space="preserve">, </w:t>
      </w:r>
      <w:r>
        <w:rPr>
          <w:i/>
        </w:rPr>
        <w:t>12</w:t>
      </w:r>
      <w:r>
        <w:t>(2), 87–98. https://doi.org/10.1016/j.jeap.2012.11.005</w:t>
      </w:r>
    </w:p>
    <w:p>
      <w:pPr/>
      <w:r>
        <w:t xml:space="preserve">Holm, S. (1979). A simple sequentially rejective multiple test procedure. </w:t>
      </w:r>
      <w:r>
        <w:rPr>
          <w:i/>
        </w:rPr>
        <w:t>Scandinavian Journal of Statistics</w:t>
      </w:r>
      <w:r>
        <w:t xml:space="preserve">, </w:t>
      </w:r>
      <w:r>
        <w:rPr>
          <w:i/>
        </w:rPr>
        <w:t>6</w:t>
      </w:r>
      <w:r>
        <w:t>(2), 65–70.</w:t>
      </w:r>
    </w:p>
    <w:p>
      <w:pPr/>
      <w:r>
        <w:t>Jiao, H., Song, D., &amp; Lee, W.-C. (2025). Comparing human and AI rater effects using the many-facet Rasch model (arXiv:2505.18486) [Preprint]. arXiv. https://doi.org/10.48550/arXiv.2505.18486</w:t>
      </w:r>
    </w:p>
    <w:p>
      <w:pPr/>
      <w:r>
        <w:t xml:space="preserve">Jin, R., Zhao, M., Niu, C., Xia, Y., Zhou, H., &amp; Liu, N. (2025). Evaluating the performance of ChatGPT and Claude in automated writing scoring: Insights from the many-facet Rasch model. </w:t>
      </w:r>
      <w:r>
        <w:rPr>
          <w:i/>
        </w:rPr>
        <w:t>Education and Information Technologies</w:t>
      </w:r>
      <w:r>
        <w:t xml:space="preserve">, </w:t>
      </w:r>
      <w:r>
        <w:rPr>
          <w:i/>
        </w:rPr>
        <w:t>30</w:t>
      </w:r>
      <w:r>
        <w:t>(18), 25881–25908. https://doi.org/10.1007/s10639-025-13774-4</w:t>
      </w:r>
    </w:p>
    <w:p>
      <w:pPr/>
      <w:r>
        <w:t xml:space="preserve">Johns, A. M., &amp; Mayes, P. (1990). An analysis of summary protocols of university ESL students. </w:t>
      </w:r>
      <w:r>
        <w:rPr>
          <w:i/>
        </w:rPr>
        <w:t>Applied Linguistics</w:t>
      </w:r>
      <w:r>
        <w:t xml:space="preserve">, </w:t>
      </w:r>
      <w:r>
        <w:rPr>
          <w:i/>
        </w:rPr>
        <w:t>11</w:t>
      </w:r>
      <w:r>
        <w:t>(3), 253–271. https://doi.org/10.1093/applin/11.3.253</w:t>
      </w:r>
    </w:p>
    <w:p>
      <w:pPr/>
      <w:r>
        <w:t xml:space="preserve">Kane, M. T. (2013). Validating the interpretations and uses of test scores. </w:t>
      </w:r>
      <w:r>
        <w:rPr>
          <w:i/>
        </w:rPr>
        <w:t>Journal of Educational Measurement</w:t>
      </w:r>
      <w:r>
        <w:t xml:space="preserve">, </w:t>
      </w:r>
      <w:r>
        <w:rPr>
          <w:i/>
        </w:rPr>
        <w:t>50</w:t>
      </w:r>
      <w:r>
        <w:t>(1), 1–73. https://doi.org/10.1111/jedm.12000</w:t>
      </w:r>
    </w:p>
    <w:p>
      <w:pPr/>
      <w:r>
        <w:t xml:space="preserve">Keck, C. (2006). The use of paraphrase in summary writing: A comparison of L1 and L2 writers. </w:t>
      </w:r>
      <w:r>
        <w:rPr>
          <w:i/>
        </w:rPr>
        <w:t>Journal of Second Language Writing</w:t>
      </w:r>
      <w:r>
        <w:t xml:space="preserve">, </w:t>
      </w:r>
      <w:r>
        <w:rPr>
          <w:i/>
        </w:rPr>
        <w:t>15</w:t>
      </w:r>
      <w:r>
        <w:t>(4), 261–278. https://doi.org/10.1016/j.jslw.2006.09.006</w:t>
      </w:r>
    </w:p>
    <w:p>
      <w:pPr/>
      <w:r>
        <w:t xml:space="preserve">Keck, C. (2014). Copying, paraphrasing, and academic writing development: A re-examination of L1 and L2 summarization practices. </w:t>
      </w:r>
      <w:r>
        <w:rPr>
          <w:i/>
        </w:rPr>
        <w:t>Journal of Second Language Writing</w:t>
      </w:r>
      <w:r>
        <w:t xml:space="preserve">, </w:t>
      </w:r>
      <w:r>
        <w:rPr>
          <w:i/>
        </w:rPr>
        <w:t>25</w:t>
      </w:r>
      <w:r>
        <w:t>, 4–22. https://doi.org/10.1016/j.jslw.2014.05.005</w:t>
      </w:r>
    </w:p>
    <w:p>
      <w:pPr/>
      <w:r>
        <w:t xml:space="preserve">Kintsch, W., &amp; van Dijk, T. A. (1978). Toward a model of text comprehension and production. </w:t>
      </w:r>
      <w:r>
        <w:rPr>
          <w:i/>
        </w:rPr>
        <w:t>Psychological Review</w:t>
      </w:r>
      <w:r>
        <w:t xml:space="preserve">, </w:t>
      </w:r>
      <w:r>
        <w:rPr>
          <w:i/>
        </w:rPr>
        <w:t>85</w:t>
      </w:r>
      <w:r>
        <w:t>(5), 363–394. https://doi.org/10.1037/0033-295X.85.5.363</w:t>
      </w:r>
    </w:p>
    <w:p>
      <w:pPr/>
      <w:r>
        <w:t xml:space="preserve">Koo, T. K., &amp; Li, M. Y. (2016). A guideline of selecting and reporting intraclass correlation coefficients for reliability research. </w:t>
      </w:r>
      <w:r>
        <w:rPr>
          <w:i/>
        </w:rPr>
        <w:t>Journal of Chiropractic Medicine</w:t>
      </w:r>
      <w:r>
        <w:t xml:space="preserve">, </w:t>
      </w:r>
      <w:r>
        <w:rPr>
          <w:i/>
        </w:rPr>
        <w:t>15</w:t>
      </w:r>
      <w:r>
        <w:t>(2), 155–163. https://doi.org/10.1016/j.jcm.2016.02.012</w:t>
      </w:r>
    </w:p>
    <w:p>
      <w:pPr/>
      <w:r>
        <w:t xml:space="preserve">Lumley, T., &amp; McNamara, T. F. (1995). Rater characteristics and rater bias: Implications for training. </w:t>
      </w:r>
      <w:r>
        <w:rPr>
          <w:i/>
        </w:rPr>
        <w:t>Language Testing</w:t>
      </w:r>
      <w:r>
        <w:t xml:space="preserve">, </w:t>
      </w:r>
      <w:r>
        <w:rPr>
          <w:i/>
        </w:rPr>
        <w:t>12</w:t>
      </w:r>
      <w:r>
        <w:t>(1), 54–71. https://doi.org/10.1177/026553229501200104</w:t>
      </w:r>
    </w:p>
    <w:p>
      <w:pPr/>
      <w:r>
        <w:t xml:space="preserve">McNamara, T. F. (1996). </w:t>
      </w:r>
      <w:r>
        <w:rPr>
          <w:i/>
        </w:rPr>
        <w:t>Measuring second language performance</w:t>
      </w:r>
      <w:r>
        <w:t>. Longman.</w:t>
      </w:r>
    </w:p>
    <w:p>
      <w:pPr/>
      <w:r>
        <w:t xml:space="preserve">Menze, D., Radović, S., &amp; Seidel, N. (2026). AI-assisted MCQ creation increases item-writing flaws through automation bias: Evaluation of a workflow of multiple AI agents with teachers. </w:t>
      </w:r>
      <w:r>
        <w:rPr>
          <w:i/>
        </w:rPr>
        <w:t>Frontiers in Computer Science</w:t>
      </w:r>
      <w:r>
        <w:t xml:space="preserve">, </w:t>
      </w:r>
      <w:r>
        <w:rPr>
          <w:i/>
        </w:rPr>
        <w:t>8</w:t>
      </w:r>
      <w:r>
        <w:t>, Article 1831250. https://doi.org/10.3389/fcomp.2026.1831250</w:t>
      </w:r>
    </w:p>
    <w:p>
      <w:pPr/>
      <w:r>
        <w:t xml:space="preserve">Messick, S. (1989). Validity. In R. L. Linn (Ed.), </w:t>
      </w:r>
      <w:r>
        <w:rPr>
          <w:i/>
        </w:rPr>
        <w:t>Educational measurement</w:t>
      </w:r>
      <w:r>
        <w:t xml:space="preserve"> (3rd ed., pp. 13–103). American Council on Education &amp; Macmillan.</w:t>
      </w:r>
    </w:p>
    <w:p>
      <w:pPr/>
      <w:r>
        <w:t xml:space="preserve">Mizumoto, A., &amp; Eguchi, M. (2023). Exploring the potential of using an AI language model for automated essay scoring. </w:t>
      </w:r>
      <w:r>
        <w:rPr>
          <w:i/>
        </w:rPr>
        <w:t>Research Methods in Applied Linguistics</w:t>
      </w:r>
      <w:r>
        <w:t xml:space="preserve">, </w:t>
      </w:r>
      <w:r>
        <w:rPr>
          <w:i/>
        </w:rPr>
        <w:t>2</w:t>
      </w:r>
      <w:r>
        <w:t>(2), Article 100050. https://doi.org/10.1016/j.rmal.2023.100050</w:t>
      </w:r>
    </w:p>
    <w:p>
      <w:pPr/>
      <w:r>
        <w:t xml:space="preserve">Nosek, B. A., Ebersole, C. R., DeHaven, A. C., &amp; Mellor, D. T. (2018). The preregistration revolution. </w:t>
      </w:r>
      <w:r>
        <w:rPr>
          <w:i/>
        </w:rPr>
        <w:t>Proceedings of the National Academy of Sciences</w:t>
      </w:r>
      <w:r>
        <w:t xml:space="preserve">, </w:t>
      </w:r>
      <w:r>
        <w:rPr>
          <w:i/>
        </w:rPr>
        <w:t>115</w:t>
      </w:r>
      <w:r>
        <w:t>(11), 2600–2606. https://doi.org/10.1073/pnas.1708274114</w:t>
      </w:r>
    </w:p>
    <w:p>
      <w:pPr/>
      <w:r>
        <w:t xml:space="preserve">Oh, S.-Y. (2001). Two types of input modification and EFL reading comprehension: Simplification versus elaboration. </w:t>
      </w:r>
      <w:r>
        <w:rPr>
          <w:i/>
        </w:rPr>
        <w:t>TESOL Quarterly</w:t>
      </w:r>
      <w:r>
        <w:t xml:space="preserve">, </w:t>
      </w:r>
      <w:r>
        <w:rPr>
          <w:i/>
        </w:rPr>
        <w:t>35</w:t>
      </w:r>
      <w:r>
        <w:t>(1), 69–96. https://doi.org/10.2307/3587860</w:t>
      </w:r>
    </w:p>
    <w:p>
      <w:pPr/>
      <w:r>
        <w:t>OpenAI. (n.d.-a). Model release notes. OpenAI Help Center. Retrieved October 9, 2026, from https://help.openai.com/en/articles/9624314-model-release-notes</w:t>
      </w:r>
    </w:p>
    <w:p>
      <w:pPr/>
      <w:r>
        <w:t>OpenAI. (n.d.-b). Temporary chat in ChatGPT. OpenAI Help Center. Retrieved October 9, 2026, from https://help.openai.com/en/articles/8914046-temporary-chat-in-chatgpt</w:t>
      </w:r>
    </w:p>
    <w:p>
      <w:pPr/>
      <w:r>
        <w:t xml:space="preserve">Ouyang, S., Zhang, J. M., Harman, M., &amp; Wang, M. (2025). An empirical study of the non-determinism of ChatGPT in code generation. </w:t>
      </w:r>
      <w:r>
        <w:rPr>
          <w:i/>
        </w:rPr>
        <w:t>ACM Transactions on Software Engineering and Methodology</w:t>
      </w:r>
      <w:r>
        <w:t xml:space="preserve">, </w:t>
      </w:r>
      <w:r>
        <w:rPr>
          <w:i/>
        </w:rPr>
        <w:t>34</w:t>
      </w:r>
      <w:r>
        <w:t>(2), 1–28. https://doi.org/10.1145/3697010</w:t>
      </w:r>
    </w:p>
    <w:p>
      <w:pPr/>
      <w:r>
        <w:t xml:space="preserve">Pack, A., Barrett, A., &amp; Escalante, J. (2024). Large language models and automated essay scoring of English language learner writing: Insights into validity and reliability. </w:t>
      </w:r>
      <w:r>
        <w:rPr>
          <w:i/>
        </w:rPr>
        <w:t>Computers and Education: Artificial Intelligence</w:t>
      </w:r>
      <w:r>
        <w:t xml:space="preserve">, </w:t>
      </w:r>
      <w:r>
        <w:rPr>
          <w:i/>
        </w:rPr>
        <w:t>6</w:t>
      </w:r>
      <w:r>
        <w:t>, Article 100234. https://doi.org/10.1016/j.caeai.2024.100234</w:t>
      </w:r>
    </w:p>
    <w:p>
      <w:pPr/>
      <w:r>
        <w:t xml:space="preserve">Parasuraman, R., &amp; Manzey, D. H. (2010). Complacency and bias in human use of automation: An attentional integration. </w:t>
      </w:r>
      <w:r>
        <w:rPr>
          <w:i/>
        </w:rPr>
        <w:t>Human Factors</w:t>
      </w:r>
      <w:r>
        <w:t xml:space="preserve">, </w:t>
      </w:r>
      <w:r>
        <w:rPr>
          <w:i/>
        </w:rPr>
        <w:t>52</w:t>
      </w:r>
      <w:r>
        <w:t>(3), 381–410. https://doi.org/10.1177/0018720810376055</w:t>
      </w:r>
    </w:p>
    <w:p>
      <w:pPr/>
      <w:r>
        <w:t xml:space="preserve">Pecorari, D. (2003). Good and original: Plagiarism and patchwriting in academic second-language writing. </w:t>
      </w:r>
      <w:r>
        <w:rPr>
          <w:i/>
        </w:rPr>
        <w:t>Journal of Second Language Writing</w:t>
      </w:r>
      <w:r>
        <w:t xml:space="preserve">, </w:t>
      </w:r>
      <w:r>
        <w:rPr>
          <w:i/>
        </w:rPr>
        <w:t>12</w:t>
      </w:r>
      <w:r>
        <w:t>(4), 317–345. https://doi.org/10.1016/j.jslw.2003.08.004</w:t>
      </w:r>
    </w:p>
    <w:p>
      <w:pPr/>
      <w:r>
        <w:t xml:space="preserve">Powers, D. E., Burstein, J. C., Chodorow, M., Fowles, M. E., &amp; Kukich, K. (2002). Stumping e-rater: Challenging the validity of automated essay scoring. </w:t>
      </w:r>
      <w:r>
        <w:rPr>
          <w:i/>
        </w:rPr>
        <w:t>Computers in Human Behavior</w:t>
      </w:r>
      <w:r>
        <w:t xml:space="preserve">, </w:t>
      </w:r>
      <w:r>
        <w:rPr>
          <w:i/>
        </w:rPr>
        <w:t>18</w:t>
      </w:r>
      <w:r>
        <w:t>(2), 103–134. https://doi.org/10.1016/S0747-5632(01)00052-8</w:t>
      </w:r>
    </w:p>
    <w:p>
      <w:pPr/>
      <w:r>
        <w:t xml:space="preserve">Sawaki, Y., Ishii, Y., Yamada, H., &amp; Tokunaga, T. (2025). Examining the consistency of instructor versus large language model ratings on summary content: Toward checklist-based feedback provision with second language writers. </w:t>
      </w:r>
      <w:r>
        <w:rPr>
          <w:i/>
        </w:rPr>
        <w:t>Language Testing</w:t>
      </w:r>
      <w:r>
        <w:t xml:space="preserve">, </w:t>
      </w:r>
      <w:r>
        <w:rPr>
          <w:i/>
        </w:rPr>
        <w:t>42</w:t>
      </w:r>
      <w:r>
        <w:t>(4), 447–475. https://doi.org/10.1177/02655322251349217</w:t>
      </w:r>
    </w:p>
    <w:p>
      <w:pPr/>
      <w:r>
        <w:t xml:space="preserve">Sclar, M., Choi, Y., Tsvetkov, Y., &amp; Suhr, A. (2024). Quantifying language models' sensitivity to spurious features in prompt design or: How I learned to start worrying about prompt formatting. In </w:t>
      </w:r>
      <w:r>
        <w:rPr>
          <w:i/>
        </w:rPr>
        <w:t>The Twelfth International Conference on Learning Representations (ICLR 2024)</w:t>
      </w:r>
      <w:r>
        <w:t>. https://openreview.net/forum?id=RIu5lyNXjT</w:t>
      </w:r>
    </w:p>
    <w:p>
      <w:pPr/>
      <w:r>
        <w:t xml:space="preserve">Shi, L. (2004). Textual borrowing in second-language writing. </w:t>
      </w:r>
      <w:r>
        <w:rPr>
          <w:i/>
        </w:rPr>
        <w:t>Written Communication</w:t>
      </w:r>
      <w:r>
        <w:t xml:space="preserve">, </w:t>
      </w:r>
      <w:r>
        <w:rPr>
          <w:i/>
        </w:rPr>
        <w:t>21</w:t>
      </w:r>
      <w:r>
        <w:t>(2), 171–200. https://doi.org/10.1177/0741088303262846</w:t>
      </w:r>
    </w:p>
    <w:p>
      <w:pPr/>
      <w:r>
        <w:t xml:space="preserve">Tate, T. P., Steiss, J., Bailey, D., Graham, S., Moon, Y., Ritchie, D., Tseng, W., &amp; Warschauer, M. (2024). Can AI provide useful holistic essay scoring? </w:t>
      </w:r>
      <w:r>
        <w:rPr>
          <w:i/>
        </w:rPr>
        <w:t>Computers and Education: Artificial Intelligence</w:t>
      </w:r>
      <w:r>
        <w:t xml:space="preserve">, </w:t>
      </w:r>
      <w:r>
        <w:rPr>
          <w:i/>
        </w:rPr>
        <w:t>7</w:t>
      </w:r>
      <w:r>
        <w:t>, Article 100255. https://doi.org/10.1016/j.caeai.2024.100255</w:t>
      </w:r>
    </w:p>
    <w:p>
      <w:pPr/>
      <w:r>
        <w:t xml:space="preserve">Williamson, D. M., Xi, X., &amp; Breyer, F. J. (2012). A framework for evaluation and use of automated scoring. </w:t>
      </w:r>
      <w:r>
        <w:rPr>
          <w:i/>
        </w:rPr>
        <w:t>Educational Measurement: Issues and Practice</w:t>
      </w:r>
      <w:r>
        <w:t xml:space="preserve">, </w:t>
      </w:r>
      <w:r>
        <w:rPr>
          <w:i/>
        </w:rPr>
        <w:t>31</w:t>
      </w:r>
      <w:r>
        <w:t>(1), 2–13. https://doi.org/10.1111/j.1745-3992.2011.00223.x</w:t>
      </w:r>
    </w:p>
    <w:p>
      <w:pPr/>
      <w:r>
        <w:t xml:space="preserve">Wind, S. A., &amp; Peterson, M. E. (2018). A systematic review of methods for evaluating rating quality in language assessment. </w:t>
      </w:r>
      <w:r>
        <w:rPr>
          <w:i/>
        </w:rPr>
        <w:t>Language Testing</w:t>
      </w:r>
      <w:r>
        <w:t xml:space="preserve">, </w:t>
      </w:r>
      <w:r>
        <w:rPr>
          <w:i/>
        </w:rPr>
        <w:t>35</w:t>
      </w:r>
      <w:r>
        <w:t>(2), 161–192. https://doi.org/10.1177/0265532216686999</w:t>
      </w:r>
    </w:p>
    <w:p>
      <w:pPr/>
      <w:r>
        <w:t xml:space="preserve">Xi, X. (2010). Automated scoring and feedback systems: Where are we and where are we heading? </w:t>
      </w:r>
      <w:r>
        <w:rPr>
          <w:i/>
        </w:rPr>
        <w:t>Language Testing</w:t>
      </w:r>
      <w:r>
        <w:t xml:space="preserve">, </w:t>
      </w:r>
      <w:r>
        <w:rPr>
          <w:i/>
        </w:rPr>
        <w:t>27</w:t>
      </w:r>
      <w:r>
        <w:t>(3), 291–300. https://doi.org/10.1177/0265532210364643</w:t>
      </w:r>
    </w:p>
    <w:p>
      <w:pPr/>
      <w:r>
        <w:t xml:space="preserve">Yancey, K. P., Laflair, G., Verardi, A., &amp; Burstein, J. (2023). Rating short L2 essays on the CEFR scale with GPT-4. In </w:t>
      </w:r>
      <w:r>
        <w:rPr>
          <w:i/>
        </w:rPr>
        <w:t>Proceedings of the 18th Workshop on Innovative Use of NLP for Building Educational Applications (BEA 2023)</w:t>
      </w:r>
      <w:r>
        <w:t xml:space="preserve"> (pp. 576–584). Association for Computational Linguistics. https://doi.org/10.18653/v1/2023.bea-1.49</w:t>
      </w:r>
    </w:p>
    <w:p>
      <w:pPr/>
      <w:r>
        <w:t xml:space="preserve">Young, D. N. (1999). Linguistic simplification of SL reading material: Effective instructional practice? </w:t>
      </w:r>
      <w:r>
        <w:rPr>
          <w:i/>
        </w:rPr>
        <w:t>The Modern Language Journal</w:t>
      </w:r>
      <w:r>
        <w:t xml:space="preserve">, </w:t>
      </w:r>
      <w:r>
        <w:rPr>
          <w:i/>
        </w:rPr>
        <w:t>83</w:t>
      </w:r>
      <w:r>
        <w:t>(3), 350–366. https://doi.org/10.1111/0026-7902.00027</w:t>
      </w:r>
    </w:p>
    <w:p>
      <w:pPr/>
      <w:r>
        <w:t xml:space="preserve">Zheng, L., Chiang, W.-L., Sheng, Y., Zhuang, S., Wu, Z., Zhuang, Y., Lin, Z., Li, Z., Li, D., Xing, E. P., Zhang, H., Gonzalez, J. E., &amp; Stoica, I. (2023). Judging LLM-as-a-judge with MT-Bench and Chatbot Arena. In </w:t>
      </w:r>
      <w:r>
        <w:rPr>
          <w:i/>
        </w:rPr>
        <w:t>Advances in Neural Information Processing Systems 36</w:t>
      </w:r>
      <w:r>
        <w:t xml:space="preserve"> (Datasets and Benchmarks Track, pp. 46595–46623). https://proceedings.neurips.cc/paper_files/paper/2023/hash/91f18a1287b398d378ef22505bf41832-Abstract-Datasets_and_Benchmarks.html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