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chat applications and ask for a mark, yet under subscription access they cannot control sampling or see when the underlying model changes. For an adolescent, source-based task marked separately for reading and writing, it is not known how consistently these tools mark the same script, where their marks diverge from human judgement, or whether the reasons they give are supported by the text and the rubric.</w:t>
      </w:r>
    </w:p>
    <w:p>
      <w:pPr>
        <w:spacing w:after="120" w:line="360"/>
        <w:jc w:val="both"/>
      </w:pPr>
      <w:r>
        <w:rPr>
          <w:rFonts w:ascii="Times New Roman" w:cs="Times New Roman" w:eastAsia="Times New Roman" w:hAnsi="Times New Roman"/>
          <w:sz w:val="24"/>
          <w:szCs w:val="24"/>
        </w:rPr>
        <w:t xml:space="preserve">This study addresses these questions for the selective summary task of Cambridge IGCSE First Language English (0500, Paper 1, Question 2(a); reading /10, writing /5). Students in four IGCSE classes at a school in Erbil, Kurdistan Region of Iraq (expected n = 65–80), who use Kurdish and/or Arabic at home, will each summarise two original passages (130–160 scripts). Two experienced raters will mark the anonymised, typed scripts independently and blind; each script will then be scored three times by ChatGPT and three times by Claude through paid subscriptions within a ten-working-day window. RQ1 estimates pass-to-pass consistency; RQ2 estimates human–AI agreement (quadratic weighted kappa, intraclass correlations) and the criterion-level correction gap; RQ3 checks each claim in the AI rationales for eight scripts, selected by a prespecified rule, against the source passage, the student’s summary and the rubric, with two independent coders whose agreement is reported.</w:t>
      </w:r>
    </w:p>
    <w:p>
      <w:pPr>
        <w:spacing w:after="120" w:line="360"/>
        <w:jc w:val="both"/>
      </w:pPr>
      <w:r>
        <w:rPr>
          <w:rFonts w:ascii="Times New Roman" w:cs="Times New Roman" w:eastAsia="Times New Roman" w:hAnsi="Times New Roman"/>
          <w:sz w:val="24"/>
          <w:szCs w:val="24"/>
        </w:rPr>
        <w:t xml:space="preserve">The study will contribute evidence on consumer AI scoring under the consumer-subscription conditions available to teachers, for a multilingual population absent from the literature reviewed, together with a documented audit protocol, demonstrated on these summaries and designed for adaptation to other rubric-based tasks, for checking whether AI scoring justifications are supported by the evidence and appropriate to the criterion they justify.</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An AI scorer that credits reading on the strength of fluent prose, or penalises meaningful phrasing on grounds the rubric does not support, would misrepresent the construct each mark is meant to measure (Messick, 1989; see Section 2.2).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the properties of the resulting scores. For this task, this population and this mode of use, it is not known how consistently the same script is marked when submitted repeatedly in independent sessions (pass-to-pass consistency); how closely the marks agree with trained human raters on each criterion (agreement); whether these properties hold across different passages within the same task type (passage dependence); or what the AI tool’s scoring rationale reveals in divergent and close-agreement cases,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and recent work has begun to examine LLM scoring of adolescents’ source-based writing (Choi et al., 2026) and to model the path from source comprehension to written response (Yun et al., 2026). What has not been examined, to the author’s knowledge, is whether consumer AI scoring preserves a rubric’s separate reading and writing criteria, and whether the justifications the tools give for each mark are supported by the source passage, the student text and the rubric.</w:t>
      </w:r>
    </w:p>
    <w:p>
      <w:pPr>
        <w:spacing w:after="120" w:line="360"/>
        <w:jc w:val="both"/>
      </w:pPr>
      <w:r>
        <w:rPr>
          <w:rFonts w:ascii="Times New Roman" w:cs="Times New Roman" w:eastAsia="Times New Roman" w:hAnsi="Times New Roman"/>
          <w:sz w:val="24"/>
          <w:szCs w:val="24"/>
        </w:rPr>
        <w:t xml:space="preserve">The gap has practical consequences. A teacher who accepts or overrides an AI mark currently does so without knowing whether the same script would receive the same mark in a new session, whether the tool is lenient or severe on a given criterion, or whether a plausible mark rests on reasons the rubric does not support. Because these marks feed classroom decisions (Section 1.1), unexamined AI scoring errors would affect real decisions about students; for multilingual learners, such errors would compound an existing validity concern.</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evaluate the consistency and human–AI agreement of consumer AI scoring of IGCSE summary writing in a multilingual sample; to examine how well the tools’ justifications for their reading and writing marks are supported by the textual evidence and the rubric; and to document and demonstrate a reproducible procedure for auditing those justifications.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justifications in selected divergent and close-agreement cases, using a documented evidence-checking procedure, to examine whether each claim is supported by the textual evidence and appropriate to the criterion it justifies, with attention to source fidelity, construct-irrelevant features and the treatment of non-standard but meaningful phrasing in this multilingual sample, and to report how consistently two coders apply the procedure.</w:t>
      </w:r>
    </w:p>
    <w:p>
      <w:pPr>
        <w:spacing w:after="120" w:line="360"/>
        <w:jc w:val="both"/>
      </w:pPr>
      <w:r>
        <w:rPr>
          <w:rFonts w:ascii="Times New Roman" w:cs="Times New Roman" w:eastAsia="Times New Roman" w:hAnsi="Times New Roman"/>
          <w:sz w:val="24"/>
          <w:szCs w:val="24"/>
        </w:rPr>
        <w:t xml:space="preserve">The synthesis draws on objectives 1–3 to assemble descriptive evidence on consumer AI scoring of this task. One future application of that evidence is a discrepancy-review workflow in which a teacher uses a consumer AI tool as a second marker; the study does not test that workflow. The study is descriptive: it does not set operational thresholds or decision rules for teacher use of AI marks.</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keepNext w:val="false"/>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with the criterion each is offered for, and what do they reveal about how the tools handle source fidelity, construct-irrelevant features and non-standard but meaningful phrasing in this multilingual sample?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Justifications examined</w:t>
            </w:r>
          </w:p>
        </w:tc>
      </w:tr>
    </w:tbl>
    <w:p>
      <w:pPr>
        <w:spacing w:after="200" w:line="360"/>
        <w:jc w:val="both"/>
      </w:pPr>
      <w:r>
        <w:rPr>
          <w:rFonts w:ascii="Times New Roman" w:cs="Times New Roman" w:eastAsia="Times New Roman" w:hAnsi="Times New Roman"/>
          <w:sz w:val="24"/>
          <w:szCs w:val="24"/>
        </w:rPr>
        <w:t xml:space="preserve">The synthesis draws on RQ1–RQ3 and is not a separate research question (Section 3.7). Inter-coder agreement on the evidence-checking procedure is reported as part of RQ3.</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 under the consumer-subscription conditions available to them (Section 1.1). The content analysis of selected cases will show the kinds of scoring justifications AI tools produce and how well those justifications hold up against the textual evidence.</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occasions and passages. Repeated scoring across two passages allows pass-to-pass variation and passage effects to be estimated separately from human–AI disagreement. The study also proposes the scoring correction gap as an analytical label for the criterion-level difference between AI and human marks, described both by its size and by the evidence-checked reasons the tool gives for it (Section 1.6).</w:t>
      </w:r>
    </w:p>
    <w:p>
      <w:pPr>
        <w:spacing w:after="120" w:line="360"/>
        <w:jc w:val="both"/>
      </w:pPr>
      <w:r>
        <w:rPr>
          <w:rFonts w:ascii="Times New Roman" w:cs="Times New Roman" w:eastAsia="Times New Roman" w:hAnsi="Times New Roman"/>
          <w:b/>
          <w:bCs/>
          <w:sz w:val="24"/>
          <w:szCs w:val="24"/>
        </w:rPr>
        <w:t xml:space="preserve">A reusable evidence-checking protocol. </w:t>
      </w:r>
      <w:r>
        <w:rPr>
          <w:rFonts w:ascii="Times New Roman" w:cs="Times New Roman" w:eastAsia="Times New Roman" w:hAnsi="Times New Roman"/>
          <w:sz w:val="24"/>
          <w:szCs w:val="24"/>
        </w:rPr>
        <w:t xml:space="preserve">The study’s main methodological contribution is a structured protocol for auditing AI scoring rationales. Each justification is segmented into claims, and each claim is checked against the source passage, the student’s text and the applicable level descriptor. Every claim receives two separate judgements—whether it is supported by the evidence (supported, contradicted, insufficient explanation or ambiguous) and whether the quality it cites belongs to the criterion it is used to justify—before thematic coding by two independent coders working from the same claim list, with inter-coder agreement reported for each judgement (Section 3.7). The protocol is demonstrated on IGCSE-aligned summaries and designed for adaptation to other rubric-based tasks in which an AI mark is accompanied by a justification, including rationales from future model versions; how well it works after adaptation is a question for future research. To support reuse, the protocol materials will be deposited on the Open Science Framework (Section 4.2).</w:t>
      </w:r>
    </w:p>
    <w:p>
      <w:pPr>
        <w:spacing w:after="120" w:line="360"/>
        <w:jc w:val="both"/>
      </w:pPr>
      <w:r>
        <w:rPr>
          <w:rFonts w:ascii="Times New Roman" w:cs="Times New Roman" w:eastAsia="Times New Roman" w:hAnsi="Times New Roman"/>
          <w:b/>
          <w:bCs/>
          <w:sz w:val="24"/>
          <w:szCs w:val="24"/>
        </w:rPr>
        <w:t xml:space="preserve">For multilingual learners in first-language assessment. </w:t>
      </w:r>
      <w:r>
        <w:rPr>
          <w:rFonts w:ascii="Times New Roman" w:cs="Times New Roman" w:eastAsia="Times New Roman" w:hAnsi="Times New Roman"/>
          <w:sz w:val="24"/>
          <w:szCs w:val="24"/>
        </w:rPr>
        <w:t xml:space="preserve">Multilingual learners in English-medium schools are often assessed against first-language expectations (Carder, 2007), and Gallagher (2008) argued that such students are entitled to full access to the mainstream curriculum. If AI scoring tools credit fluent prose under the reading mark, or penalise meaningful but non-standard phrasing, and teachers adopt those marks without review, the errors would fall on these students’ marks. The study cannot show that any scoring pattern occurs because students are multilingual, since it has no comparison group (Section 1.6). Its contribution is narrower: to examine, in selected cases, whether these students’ summaries receive judgements justified by the applicable criteria.</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evidence, within this multilingual sample, on whether AI scoring introduces construct-irrelevant variance.</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Because the user cannot set sampling parameters or pin the version behind a model name (Section 1.1), the model name and reasoning mode are logged for every submission.</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The scoring correction gap is the study’s analytical label for this difference when it is described, criterion by criterion, not only by its magnitude but by the reasons the AI gives for its mark, checked against the textual evidence. The subtraction itself is a standard comparison; the label’s value lies in joining it to evidence-checked rationale analysis, so that a teacher can see both the size of the gap and the justification the tool states for its mark. A stated justification is not an account of how the score was computed (Section 3.7). The prompt framing requests a brief justification for each mark; these reasons are retained in the response log and are analysed for 8 scripts selected by a prespecified rule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Each mark must be justified by the qualities its own criterion assesses.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is treated as a future application of the study’s evidence; the workflow itself is not tested with teachers in this study.</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an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writing for international school educators, argued that students learning through English as an additional language are entitled to full access to the mainstream curriculum rather than being marginalised by practices designed around native speakers. Whether a scorer applies first-language criteria to these students’ work in a construct-relevant way is therefore a practical question for the schools they attend. An AI scoring tool that rewards or penalises features the rubric does not assess could introduce construct-irrelevant variance into their marks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analysis of selected divergent and close-agreement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 Stability (RQ1) is therefore examined before agreement (RQ2), because agreement estimated from a single run is interpretable only if that run is representative of what the tool would return on resubmission.</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spacing w:after="120" w:line="360"/>
        <w:jc w:val="both"/>
      </w:pPr>
      <w:r>
        <w:rPr>
          <w:rFonts w:ascii="Times New Roman" w:cs="Times New Roman" w:eastAsia="Times New Roman" w:hAnsi="Times New Roman"/>
          <w:sz w:val="24"/>
          <w:szCs w:val="24"/>
        </w:rPr>
        <w:t xml:space="preserve">Two recent studies extend this literature to source-based writing. Choi et al. (2026) examined LLM holistic scoring of secondary school students’ argumentative essays, comparing prompts that incorporated grading rubrics, source materials and anchor papers, and found that providing anchor papers significantly improved LLM–human agreement, bringing it closer to human–human reliability. Yun et al. (2026) proposed a knowledge-graph and LLM-based assessment framework that models the reading-to-writing pipeline in source-based writing. LLM scoring of secondary students’ source-based writing, and LLM-based modelling of reading-to-writing, are therefore active areas of research. Neither study, to the author’s knowledge, audits a consumer scorer’s stated justifications for separate reading and writing marks against the source, the student text and the rubric.</w:t>
      </w:r>
    </w:p>
    <w:p>
      <w:pPr>
        <w:spacing w:after="120" w:line="360"/>
        <w:jc w:val="both"/>
      </w:pPr>
      <w:r>
        <w:rPr>
          <w:rFonts w:ascii="Times New Roman" w:cs="Times New Roman" w:eastAsia="Times New Roman" w:hAnsi="Times New Roman"/>
          <w:sz w:val="24"/>
          <w:szCs w:val="24"/>
        </w:rPr>
        <w:t xml:space="preserve">Most of the earlier studies examine independent essays rather than source-based tasks, and report holistic or analytic scores without a separate mark for source comprehension. None of the studies reviewed here, to the author’s knowledge, estimates repeatability and agreement under consumer-subscription access for adolescents’ source-based summaries marked separately for reading and writing; RQ1 and RQ2 address this combination.</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b/>
          <w:bCs/>
          <w:sz w:val="24"/>
          <w:szCs w:val="24"/>
        </w:rPr>
        <w:t xml:space="preserve">Choi et al. (2026) and Yun et al. (2026). </w:t>
      </w:r>
      <w:r>
        <w:rPr>
          <w:rFonts w:ascii="Times New Roman" w:cs="Times New Roman" w:eastAsia="Times New Roman" w:hAnsi="Times New Roman"/>
          <w:sz w:val="24"/>
          <w:szCs w:val="24"/>
        </w:rPr>
        <w:t xml:space="preserve">As discussed in Section 2.4, these studies show that LLM scoring of secondary students’ source-based writing, and LLM-based modelling of reading-to-writing, are already under investigation. The present study’s gap is therefore narrower: whether consumer AI scoring preserves a rubric’s separate reading and writing criteria, and how a reproducible audit can identify unsupported or misapplied justifications in selected cases.</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keepNext w:val="false"/>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keepNext w:val="false"/>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Jiao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Jin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Sawaki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Liu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Choi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Secondary school students’ argumentative essays, with source materials; several LLMs including GPT-4o and GPT-4o mini</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Prompts with rubrics, source materials and anchor papers compared; anchor papers significantly improve LLM–human agreement on holistic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holistic score; separate reading and writing judgements and scorer justifications are not its focus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Wu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Yun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Source-based writing</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 knowledge-graph and LLM-based assessment framework modelling the reading-to-writing pipeline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 students’ understanding of sources rather than auditing the marks and justifications of consumer AI scorers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Present study</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To be established</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recording separately whether each claim is supported and whether it is appropriate to the criterion it justifies. This extends Sawaki et al.’s (2025) analytical approach; the procedure is documented for reuse and its consistency is evaluated through inter-coder agreement.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method need not. The study’s lasting value lies in examining whether apparently agreeing scores are accompanied by defensible justifications, and in documenting and demonstrating a procedure by which criterion-level problems can be identified. Because the protocol is specified in enough detail to be replicated and its materials will be openly deposited (Section 4.2), it can be reapplied to future model versions and adapted for other rubric-based tasks; its performance after adaptation would need its own evaluation.</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synthesis draws the evidence together.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keepNext w:val="false"/>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stability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Passage effects (RQ1,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rationales in the selected cases show misapplication of the rubric, confusion of reading and writing constructs, or penalisation of communicatively effective language features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Decision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Synthesis (RQ1–RQ3)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either the reading or the writing mark, a second calibration round will be conducted using additional practice scripts and focused rubric discussion before main-study marking. Because the pilot contains only 10–15 scripts, this estimate is imprecise; it is used as a signal for further calibration, not as a reliability estimate. The total mark is not a separate trigger because it is the sum of the two.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separate brief justification for each mark, with reference to the relevant level descriptors; the study rubric; and the appropriate reading key for the passage. Rules for refusals and out-of-range or unparseable answers will be fixed in advance. The wording will be checked in the pilot, then fixed before data collection and never changed; a draft is in Appendix A. Requesting separate justifications makes each statement attributable to the mark it supports. The framing does not instruct the tools to keep the criteria separate, because that would coach the behaviour under study; the findings therefore describe scoring under this fixed prompting procedure.</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Scoring is scheduled for the school winter break (December 2028 to January 2029), when about two weeks are free of teaching; human marks are locked well before this. The pilot (Section 3.6) will be used to judge whether completing all three passes within the winter break is realistic. All three main passes must be completed within a single bounded window, so that short-term repeatability is not mixed with changes in the AI service over several months.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Total</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Protocol pilot. </w:t>
      </w:r>
      <w:r>
        <w:rPr>
          <w:rFonts w:ascii="Times New Roman" w:cs="Times New Roman" w:eastAsia="Times New Roman" w:hAnsi="Times New Roman"/>
          <w:sz w:val="24"/>
          <w:szCs w:val="24"/>
        </w:rPr>
        <w:t xml:space="preserve">The pilot AI responses are also used to test the evidence-checking procedure before the main study. Both coders will independently segment and code the Pass 1 justifications for four pilot scripts (segmentation is tested deliberately in the pilot; in the main study, both coders work from one pre-segmented claim list) (eight rationale texts, two tools per script), using the draft coding manual and evidence-record template (Appendix D). Differences in segmentation and disagreements on the evidential, criterion-appropriateness and thematic judgements are used to revise the segmentation guidelines, category definitions and worked examples, and to check that the separate-justification wording yields statements attributable to each mark. The revised manual is then fixed for the main study. Pilot coding does not enter the main analysis; the revisions and their reasons are recorded in the pilot log.</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RQ3—evidence-checked analysis of the justifications for selected divergent and close-agreement scripts, with inter-coder agreement on the procedure’s judgements. The synthesis draws on all three RQs. Holm (1979) correction is applied within each family of primary mixed-model contrasts. With three passes, the ICC(1,1) per condition rests on three scores per script.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A sensitivity model adds writing order (first or second session), using the counterbalanced A–B/B–A assignment, as a fixed effect.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both a reading justification and a writing justification, each with at least one statement about the summary. Eligibility screening checks only that these sections are present and refer to the summary; it involves no judgement of whether any statement is accurate or appropriate, and no evidence checking or coding takes place until selection is complete.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are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beyond the presence check above, no justification is read before selection is complete. For each selected script, one rationale per tool is analysed—the Pass 1 rubric-embedded response—yielding 16 rationale texts (8 scripts × 2 tools), each containing a reading and a writing justification,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This code is applied as defined in the evidence-checking procedure below;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and the mark it is offered for (reading or writing); (b) the relevant student wording and corresponding source-passage evidence; (c) the applicable reading or writing level descriptor; (d) an evidential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“shows good understanding” with no reference to content); and ambiguous (the evidence allows more than one defensible reading); and (e) a criterion-appropriateness judgement: appropriate (the quality the claim cites is one the descriptor for that mark assesses), misattributed (the quality belongs to the other criterion’s descriptor) or unclear. The two judgements are kept separate because a claim can be true but inappropriate: “the summary is fluent” may be supported by the text, yet it is not a basis for reading credit.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coded when a claim is judged misattributed—for example, citing fluency as the reason for reading credit. A draft evidence-record template, with an invented illustrative example, is given in Appendix D.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following written segmentation guidelines in the coding manual, and prepare a numbered claim list; the second coder will receive this same pre-segmented list, so that all coding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for three sets of per-claim decisions: the four-way evidential judgement, the three-way criterion-appropriateness judgement and each binary thematic-code decision. These figures are the study’s evidence on how consistently the procedure can be applied. The coding manual is fixed after the protocol pilot (Section 3.6). If a category definition must be revised during main coding, the revision and its reason are logged, both coders recode all previously coded claims under the revised definition, and agreement is reported both for the coding completed before the revision and for the final coding. Disagreements will then be discussed and resolved where possible. The discussion is not recorded; instead, a written evidence-review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Consistent with the scope set in Section 1.3, the synthesis provides descriptive evidence to inform further evaluation of consumer AI tools as second markers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shows no instances, in the selected cases,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selected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keepNext w:val="false"/>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(evidential and criterion-appropriateness judgements) and dual-coded thematic coding, with inter-coder agreement reported for each judgement, and with attention to source fidelity, construct-irrelevant features, construct confusion (reading vs. writing) and non-standard but meaningful phrasing</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Synthesis</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and for the pilot responses used to test it (Sections 3.6–3.7).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Sep–Dec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Submit ethics application in the first weeks of candidature (approval required before the January pilot); finalise both study passages, rubrics and reading keys; colleague review; structured passage-authenticity check and criterion-mapping review; obtain KRG permission if needed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Run live pilot on third passage with colleague’s class (~10–15 students, three passes per tool, ~60–90 AI submissions plus third passage preparation, recruitment, transcription and human marking). Compute preliminary repeatability assessment. Check H1–H2 agreement on pilot data; if reading- or writing-mark ICC(A,1) &lt; .60, conduct second calibration round before main-study marking. Both coders pilot the evidence-checking procedure on pilot AI responses. Finalise and fix the prompt wording and coding manual after the pilot. Discuss expected CI width with statistical adviser. Use results to finalise anchors and timings. Fix and preregister the analysis plan before main-study data collection.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Feb–May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 (Apr–May)</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Jun–Nov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Summer supervision visit (Penang); refine literature review; prepare and test analysis scripts on pilot data</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Dec 2028 – Jan 2029 (winter break)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AI scoring (both tools interleaved on the same days; three passes per tool within ten working days); anchor checks; apply model-change decision rule if applicable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Jan–Aug 2029</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Analysis; dual-coded content analysis of selected rationales; Papers 1–2 drafted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 2029 – Aug 2031</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Thesis writing; optional third paper if data warrant</w:t>
            </w:r>
          </w:p>
        </w:tc>
      </w:tr>
    </w:tbl>
    <w:p>
      <w:pPr>
        <w:pStyle w:val="Heading2"/>
        <w:keepNext/>
        <w:spacing w:after="120" w:before="240" w:line="360"/>
      </w:pPr>
      <w:r>
        <w:rPr>
          <w:rFonts w:ascii="Times New Roman" w:cs="Times New Roman" w:eastAsia="Times New Roman" w:hAnsi="Times New Roman"/>
          <w:b/>
          <w:bCs/>
          <w:sz w:val="28"/>
          <w:szCs w:val="28"/>
        </w:rPr>
        <w:t xml:space="preserve">4.2 Planned outputs</w:t>
      </w:r>
    </w:p>
    <w:p>
      <w:pPr>
        <w:keepNext/>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keepNext/>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keepNext/>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1</w:t>
            </w:r>
          </w:p>
        </w:tc>
        <w:tc>
          <w:tcPr>
            <w:tcW w:type="dxa" w:w="3600"/>
            <w:vAlign w:val="center"/>
          </w:tcPr>
          <w:p>
            <w:pPr>
              <w:keepNext/>
              <w:keepLines/>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keepNext/>
              <w:keepLines/>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2</w:t>
            </w:r>
          </w:p>
        </w:tc>
        <w:tc>
          <w:tcPr>
            <w:tcW w:type="dxa" w:w="3600"/>
            <w:vAlign w:val="center"/>
          </w:tcPr>
          <w:p>
            <w:pPr>
              <w:keepNext/>
              <w:keepLines/>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keepNext/>
              <w:keepLines/>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val="false"/>
              <w:keepLines/>
              <w:spacing w:after="60"/>
            </w:pPr>
            <w:r>
              <w:rPr>
                <w:rFonts w:ascii="Times New Roman" w:cs="Times New Roman" w:eastAsia="Times New Roman" w:hAnsi="Times New Roman"/>
                <w:sz w:val="22"/>
                <w:szCs w:val="22"/>
              </w:rPr>
              <w:t xml:space="preserve">3</w:t>
            </w:r>
          </w:p>
        </w:tc>
        <w:tc>
          <w:tcPr>
            <w:tcW w:type="dxa" w:w="3600"/>
            <w:vAlign w:val="center"/>
          </w:tcPr>
          <w:p>
            <w:pPr>
              <w:keepNext w:val="false"/>
              <w:keepLines/>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spacing w:after="120" w:line="360"/>
        <w:jc w:val="both"/>
      </w:pPr>
      <w:r>
        <w:rPr>
          <w:rFonts w:ascii="Times New Roman" w:cs="Times New Roman" w:eastAsia="Times New Roman" w:hAnsi="Times New Roman"/>
          <w:sz w:val="24"/>
          <w:szCs w:val="24"/>
        </w:rPr>
        <w:t xml:space="preserve">Separately from the data, the protocol materials—the evidence-record template (draft in Appendix D), the coding manual with its claim-segmentation guidelines, and the prompt template—will be deposited on the Open Science Framework with the preregistration, and any revisions made during coding will be documented there. The prompt template is deposited with placeholders; the passages, study rubric and reading keys are embargoed until AI scoring is complete, so that they cannot enter public text before they are submitted to the tools. The protocol materials can be reused independently of the corpus.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keepNext w:val="false"/>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One school,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Individual-script precision with three passes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Random assignment of A–B / B–A within each class balances order across passages; an overall order (first versus second session) effect is examined in a sensitivity model, but order effects cannot be separated for individual students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Single scoring wave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Prompt sensitivity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uses a single fixed framing that requests separate reading and writing justifications; findings apply to this prompting procedure, and prompt-sensitivity effects are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for the evidential, criterion-appropriateness and thematic judgements; the supervisor reviews a sample. Findings are reported as illustrative evidence about the selected cases, not as prevalence estimates.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Audit protocol demonstrated on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protocol is documented, piloted and its inter-coder agreement reported for IGCSE-aligned summaries only; its performance after adaptation to other tasks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extend argument-based validation of AI scoring by treating construct representation as a separate inference, evidenced through criterion-level checks of the tools’ stated justifications. The scoring correction gap serves as an organising label for this analysis rather than as a new construct. The reading–writing criterion-separation analysis will contribute evidence, within this multilingual sample, on whether AI scoring confuses reading and writing constructs or introduces construct-irrelevant variance on a source-based task.</w:t>
      </w:r>
    </w:p>
    <w:p>
      <w:pPr>
        <w:spacing w:after="120" w:line="360"/>
        <w:jc w:val="both"/>
      </w:pPr>
      <w:r>
        <w:rPr>
          <w:rFonts w:ascii="Times New Roman" w:cs="Times New Roman" w:eastAsia="Times New Roman" w:hAnsi="Times New Roman"/>
          <w:sz w:val="24"/>
          <w:szCs w:val="24"/>
        </w:rPr>
        <w:t xml:space="preserve">Methodologically, it will document and demonstrate a protocol for auditing AI scoring justifications—claim segmentation, separate evidential and criterion-appropriateness judgements, and independent dual coding with reported agreement—on IGCSE-aligned summaries, designed for adaptation to other tools, other rubric-based tasks and future model versions.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brief justification for each mark, with reference to the relevant level descriptors, under these two headings:</w:t>
      </w:r>
    </w:p>
    <w:p>
      <w:pPr>
        <w:spacing w:after="120" w:line="360"/>
        <w:ind w:left="720"/>
        <w:jc w:val="both"/>
      </w:pPr>
      <w:r>
        <w:rPr>
          <w:rFonts w:ascii="Times New Roman" w:cs="Times New Roman" w:eastAsia="Times New Roman" w:hAnsi="Times New Roman"/>
          <w:sz w:val="24"/>
          <w:szCs w:val="24"/>
        </w:rPr>
        <w:t xml:space="preserve">Reading justification:</w:t>
      </w:r>
    </w:p>
    <w:p>
      <w:pPr>
        <w:spacing w:after="120" w:line="360"/>
        <w:ind w:left="720"/>
        <w:jc w:val="both"/>
      </w:pPr>
      <w:r>
        <w:rPr>
          <w:rFonts w:ascii="Times New Roman" w:cs="Times New Roman" w:eastAsia="Times New Roman" w:hAnsi="Times New Roman"/>
          <w:sz w:val="24"/>
          <w:szCs w:val="24"/>
        </w:rPr>
        <w:t xml:space="preserve">Writing justification:</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Submission ID</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Date and time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App and plan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name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Reasoning mode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change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Framing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Passage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Randomised position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Script code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Anchor flag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Settings check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Full response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Extracted scores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Response status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Screenshot</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Anomalies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keepNext w:val="false"/>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keepNext w:val="false"/>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keepNext w:val="false"/>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Appendix D. Draft Evidence-Record Template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One record is completed for each claim in a selected rationale text, independently by each coder, before any comparison. The template will be tested in the protocol pilot (Section 3.6) and fixed before main coding.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rPr>
          <w:tblHeader/>
        </w:trPr>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600"/>
            <w:shd w:fill="E8E8E8" w:val="clear"/>
            <w:vAlign w:val="center"/>
          </w:tcPr>
          <w:p>
            <w:pPr>
              <w:keepNext w:val="false"/>
              <w:spacing w:after="60"/>
            </w:pPr>
            <w:r>
              <w:rPr>
                <w:rFonts w:ascii="Times New Roman" w:cs="Times New Roman" w:eastAsia="Times New Roman" w:hAnsi="Times New Roman"/>
                <w:b/>
                <w:bCs/>
                <w:sz w:val="22"/>
                <w:szCs w:val="22"/>
              </w:rPr>
              <w:t xml:space="preserve">Content</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Claim ID</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Script code, tool, claim number from the pre-segmented claim list</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Mark justified</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Reading or writing (the justification section in which the claim appears)</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claim</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claim as worded in the AI response</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Student evidence</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relevant wording from the student’s summary, or “none found”</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evidence</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relevant content point or wording from the passage, or “not applicable”</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Applicable descriptor</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The study-rubric descriptor for the mark being justified</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Evidential judgement</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Supported / contradicted / insufficient explanation / ambiguous</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 appropriateness</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Appropriate / misattributed / unclear</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Thematic codes</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Present/absent for each code in the coding manual (a claim may receive more than one)</w:t>
            </w:r>
          </w:p>
        </w:tc>
      </w:tr>
      <w:tr>
        <w:trPr>
          <w:cantSplit/>
        </w:trPr>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Coder note</w:t>
            </w:r>
          </w:p>
        </w:tc>
        <w:tc>
          <w:tcPr>
            <w:tcW w:type="dxa" w:w="6600"/>
            <w:vAlign w:val="center"/>
          </w:tcPr>
          <w:p>
            <w:pPr>
              <w:keepNext w:val="false"/>
              <w:keepLines w:val="false"/>
              <w:spacing w:after="60"/>
            </w:pPr>
            <w:r>
              <w:rPr>
                <w:rFonts w:ascii="Times New Roman" w:cs="Times New Roman" w:eastAsia="Times New Roman" w:hAnsi="Times New Roman"/>
                <w:sz w:val="22"/>
                <w:szCs w:val="22"/>
              </w:rPr>
              <w:t xml:space="preserve">One line explaining any judgement other than supported and appropriate</w:t>
            </w:r>
          </w:p>
        </w:tc>
      </w:tr>
    </w:tbl>
    <w:p>
      <w:pPr>
        <w:keepNext/>
        <w:spacing w:after="120" w:line="360"/>
        <w:jc w:val="both"/>
      </w:pPr>
      <w:r>
        <w:rPr>
          <w:rFonts w:ascii="Times New Roman" w:cs="Times New Roman" w:eastAsia="Times New Roman" w:hAnsi="Times New Roman"/>
          <w:b/>
          <w:bCs/>
          <w:sz w:val="24"/>
          <w:szCs w:val="24"/>
        </w:rPr>
        <w:t xml:space="preserve">Illustrative example (invented; not study data). </w:t>
      </w:r>
      <w:r>
        <w:rPr>
          <w:rFonts w:ascii="Times New Roman" w:cs="Times New Roman" w:eastAsia="Times New Roman" w:hAnsi="Times New Roman"/>
          <w:sz w:val="24"/>
          <w:szCs w:val="24"/>
        </w:rPr>
        <w:t xml:space="preserve">The passage, summary and AI statements below are invented to show how the fields are completed. The passage is assumed to state that community gardens lower household food costs.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400"/>
      </w:tblGrid>
      <w:tr>
        <w:trPr>
          <w:tblHeader/>
        </w:trPr>
        <w:tc>
          <w:tcPr>
            <w:tcW w:type="dxa" w:w="2000"/>
            <w:shd w:fill="E8E8E8" w:val="clear"/>
            <w:vAlign w:val="center"/>
          </w:tcPr>
          <w:p>
            <w:pPr>
              <w:keepNext/>
              <w:spacing w:after="60"/>
            </w:pPr>
            <w:r>
              <w:rPr>
                <w:rFonts w:ascii="Times New Roman" w:cs="Times New Roman" w:eastAsia="Times New Roman" w:hAnsi="Times New Roman"/>
                <w:b/>
                <w:bCs/>
                <w:sz w:val="22"/>
                <w:szCs w:val="22"/>
              </w:rPr>
              <w:t xml:space="preserve">Field</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Claim R1</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Claim R2</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Claim W1</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Mark justified</w:t>
            </w:r>
          </w:p>
        </w:tc>
        <w:tc>
          <w:tcPr>
            <w:tcW w:type="dxa" w:w="2400"/>
            <w:vAlign w:val="center"/>
          </w:tcPr>
          <w:p>
            <w:pPr>
              <w:keepNext/>
              <w:keepLines/>
              <w:spacing w:after="60"/>
            </w:pPr>
            <w:r>
              <w:rPr>
                <w:rFonts w:ascii="Times New Roman" w:cs="Times New Roman" w:eastAsia="Times New Roman" w:hAnsi="Times New Roman"/>
                <w:sz w:val="22"/>
                <w:szCs w:val="22"/>
              </w:rPr>
              <w:t xml:space="preserve">Reading</w:t>
            </w:r>
          </w:p>
        </w:tc>
        <w:tc>
          <w:tcPr>
            <w:tcW w:type="dxa" w:w="2400"/>
            <w:vAlign w:val="center"/>
          </w:tcPr>
          <w:p>
            <w:pPr>
              <w:keepNext/>
              <w:keepLines/>
              <w:spacing w:after="60"/>
            </w:pPr>
            <w:r>
              <w:rPr>
                <w:rFonts w:ascii="Times New Roman" w:cs="Times New Roman" w:eastAsia="Times New Roman" w:hAnsi="Times New Roman"/>
                <w:sz w:val="22"/>
                <w:szCs w:val="22"/>
              </w:rPr>
              <w:t xml:space="preserve">Reading</w:t>
            </w:r>
          </w:p>
        </w:tc>
        <w:tc>
          <w:tcPr>
            <w:tcW w:type="dxa" w:w="2400"/>
            <w:vAlign w:val="center"/>
          </w:tcPr>
          <w:p>
            <w:pPr>
              <w:keepNext/>
              <w:keepLines/>
              <w:spacing w:after="60"/>
            </w:pPr>
            <w:r>
              <w:rPr>
                <w:rFonts w:ascii="Times New Roman" w:cs="Times New Roman" w:eastAsia="Times New Roman" w:hAnsi="Times New Roman"/>
                <w:sz w:val="22"/>
                <w:szCs w:val="22"/>
              </w:rPr>
              <w:t xml:space="preserve">Writing</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AI claim</w:t>
            </w:r>
          </w:p>
        </w:tc>
        <w:tc>
          <w:tcPr>
            <w:tcW w:type="dxa" w:w="2400"/>
            <w:vAlign w:val="center"/>
          </w:tcPr>
          <w:p>
            <w:pPr>
              <w:keepNext/>
              <w:keepLines/>
              <w:spacing w:after="60"/>
            </w:pPr>
            <w:r>
              <w:rPr>
                <w:rFonts w:ascii="Times New Roman" w:cs="Times New Roman" w:eastAsia="Times New Roman" w:hAnsi="Times New Roman"/>
                <w:sz w:val="22"/>
                <w:szCs w:val="22"/>
              </w:rPr>
              <w:t xml:space="preserve">“The summary identifies the saving on household food costs.”</w:t>
            </w:r>
          </w:p>
        </w:tc>
        <w:tc>
          <w:tcPr>
            <w:tcW w:type="dxa" w:w="2400"/>
            <w:vAlign w:val="center"/>
          </w:tcPr>
          <w:p>
            <w:pPr>
              <w:keepNext/>
              <w:keepLines/>
              <w:spacing w:after="60"/>
            </w:pPr>
            <w:r>
              <w:rPr>
                <w:rFonts w:ascii="Times New Roman" w:cs="Times New Roman" w:eastAsia="Times New Roman" w:hAnsi="Times New Roman"/>
                <w:sz w:val="22"/>
                <w:szCs w:val="22"/>
              </w:rPr>
              <w:t xml:space="preserve">“The summary is clear and fluent, showing strong understanding.”</w:t>
            </w:r>
          </w:p>
        </w:tc>
        <w:tc>
          <w:tcPr>
            <w:tcW w:type="dxa" w:w="2400"/>
            <w:vAlign w:val="center"/>
          </w:tcPr>
          <w:p>
            <w:pPr>
              <w:keepNext/>
              <w:keepLines/>
              <w:spacing w:after="60"/>
            </w:pPr>
            <w:r>
              <w:rPr>
                <w:rFonts w:ascii="Times New Roman" w:cs="Times New Roman" w:eastAsia="Times New Roman" w:hAnsi="Times New Roman"/>
                <w:sz w:val="22"/>
                <w:szCs w:val="22"/>
              </w:rPr>
              <w:t xml:space="preserve">“The student copies long phrases from the passage.”</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Student evidence</w:t>
            </w:r>
          </w:p>
        </w:tc>
        <w:tc>
          <w:tcPr>
            <w:tcW w:type="dxa" w:w="2400"/>
            <w:vAlign w:val="center"/>
          </w:tcPr>
          <w:p>
            <w:pPr>
              <w:keepNext/>
              <w:keepLines/>
              <w:spacing w:after="60"/>
            </w:pPr>
            <w:r>
              <w:rPr>
                <w:rFonts w:ascii="Times New Roman" w:cs="Times New Roman" w:eastAsia="Times New Roman" w:hAnsi="Times New Roman"/>
                <w:sz w:val="22"/>
                <w:szCs w:val="22"/>
              </w:rPr>
              <w:t xml:space="preserve">“families can grow cheaper food together”</w:t>
            </w:r>
          </w:p>
        </w:tc>
        <w:tc>
          <w:tcPr>
            <w:tcW w:type="dxa" w:w="2400"/>
            <w:vAlign w:val="center"/>
          </w:tcPr>
          <w:p>
            <w:pPr>
              <w:keepNext/>
              <w:keepLines/>
              <w:spacing w:after="60"/>
            </w:pPr>
            <w:r>
              <w:rPr>
                <w:rFonts w:ascii="Times New Roman" w:cs="Times New Roman" w:eastAsia="Times New Roman" w:hAnsi="Times New Roman"/>
                <w:sz w:val="22"/>
                <w:szCs w:val="22"/>
              </w:rPr>
              <w:t xml:space="preserve">Summary reads fluently throughout</w:t>
            </w:r>
          </w:p>
        </w:tc>
        <w:tc>
          <w:tcPr>
            <w:tcW w:type="dxa" w:w="2400"/>
            <w:vAlign w:val="center"/>
          </w:tcPr>
          <w:p>
            <w:pPr>
              <w:keepNext/>
              <w:keepLines/>
              <w:spacing w:after="60"/>
            </w:pPr>
            <w:r>
              <w:rPr>
                <w:rFonts w:ascii="Times New Roman" w:cs="Times New Roman" w:eastAsia="Times New Roman" w:hAnsi="Times New Roman"/>
                <w:sz w:val="22"/>
                <w:szCs w:val="22"/>
              </w:rPr>
              <w:t xml:space="preserve">Only short shared terms (e.g., “community gardens”)</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Source evidence</w:t>
            </w:r>
          </w:p>
        </w:tc>
        <w:tc>
          <w:tcPr>
            <w:tcW w:type="dxa" w:w="2400"/>
            <w:vAlign w:val="center"/>
          </w:tcPr>
          <w:p>
            <w:pPr>
              <w:keepNext/>
              <w:keepLines/>
              <w:spacing w:after="60"/>
            </w:pPr>
            <w:r>
              <w:rPr>
                <w:rFonts w:ascii="Times New Roman" w:cs="Times New Roman" w:eastAsia="Times New Roman" w:hAnsi="Times New Roman"/>
                <w:sz w:val="22"/>
                <w:szCs w:val="22"/>
              </w:rPr>
              <w:t xml:space="preserve">Passage point on lower household food costs</w:t>
            </w:r>
          </w:p>
        </w:tc>
        <w:tc>
          <w:tcPr>
            <w:tcW w:type="dxa" w:w="2400"/>
            <w:vAlign w:val="center"/>
          </w:tcPr>
          <w:p>
            <w:pPr>
              <w:keepNext/>
              <w:keepLines/>
              <w:spacing w:after="60"/>
            </w:pPr>
            <w:r>
              <w:rPr>
                <w:rFonts w:ascii="Times New Roman" w:cs="Times New Roman" w:eastAsia="Times New Roman" w:hAnsi="Times New Roman"/>
                <w:sz w:val="22"/>
                <w:szCs w:val="22"/>
              </w:rPr>
              <w:t xml:space="preserve">Not applicable</w:t>
            </w:r>
          </w:p>
        </w:tc>
        <w:tc>
          <w:tcPr>
            <w:tcW w:type="dxa" w:w="2400"/>
            <w:vAlign w:val="center"/>
          </w:tcPr>
          <w:p>
            <w:pPr>
              <w:keepNext/>
              <w:keepLines/>
              <w:spacing w:after="60"/>
            </w:pPr>
            <w:r>
              <w:rPr>
                <w:rFonts w:ascii="Times New Roman" w:cs="Times New Roman" w:eastAsia="Times New Roman" w:hAnsi="Times New Roman"/>
                <w:sz w:val="22"/>
                <w:szCs w:val="22"/>
              </w:rPr>
              <w:t xml:space="preserve">No extended phrase is reproduced</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Evidential judgement</w:t>
            </w:r>
          </w:p>
        </w:tc>
        <w:tc>
          <w:tcPr>
            <w:tcW w:type="dxa" w:w="2400"/>
            <w:vAlign w:val="center"/>
          </w:tcPr>
          <w:p>
            <w:pPr>
              <w:keepNext/>
              <w:keepLines/>
              <w:spacing w:after="60"/>
            </w:pPr>
            <w:r>
              <w:rPr>
                <w:rFonts w:ascii="Times New Roman" w:cs="Times New Roman" w:eastAsia="Times New Roman" w:hAnsi="Times New Roman"/>
                <w:sz w:val="22"/>
                <w:szCs w:val="22"/>
              </w:rPr>
              <w:t xml:space="preserve">Supported</w:t>
            </w:r>
          </w:p>
        </w:tc>
        <w:tc>
          <w:tcPr>
            <w:tcW w:type="dxa" w:w="2400"/>
            <w:vAlign w:val="center"/>
          </w:tcPr>
          <w:p>
            <w:pPr>
              <w:keepNext/>
              <w:keepLines/>
              <w:spacing w:after="60"/>
            </w:pPr>
            <w:r>
              <w:rPr>
                <w:rFonts w:ascii="Times New Roman" w:cs="Times New Roman" w:eastAsia="Times New Roman" w:hAnsi="Times New Roman"/>
                <w:sz w:val="22"/>
                <w:szCs w:val="22"/>
              </w:rPr>
              <w:t xml:space="preserve">Supported (the summary is fluent)</w:t>
            </w:r>
          </w:p>
        </w:tc>
        <w:tc>
          <w:tcPr>
            <w:tcW w:type="dxa" w:w="2400"/>
            <w:vAlign w:val="center"/>
          </w:tcPr>
          <w:p>
            <w:pPr>
              <w:keepNext/>
              <w:keepLines/>
              <w:spacing w:after="60"/>
            </w:pPr>
            <w:r>
              <w:rPr>
                <w:rFonts w:ascii="Times New Roman" w:cs="Times New Roman" w:eastAsia="Times New Roman" w:hAnsi="Times New Roman"/>
                <w:sz w:val="22"/>
                <w:szCs w:val="22"/>
              </w:rPr>
              <w:t xml:space="preserve">Contradicted</w:t>
            </w:r>
          </w:p>
        </w:tc>
      </w:tr>
      <w:tr>
        <w:trPr>
          <w:cantSplit/>
        </w:trPr>
        <w:tc>
          <w:tcPr>
            <w:tcW w:type="dxa" w:w="2000"/>
            <w:vAlign w:val="center"/>
          </w:tcPr>
          <w:p>
            <w:pPr>
              <w:keepNext/>
              <w:keepLines/>
              <w:spacing w:after="60"/>
            </w:pPr>
            <w:r>
              <w:rPr>
                <w:rFonts w:ascii="Times New Roman" w:cs="Times New Roman" w:eastAsia="Times New Roman" w:hAnsi="Times New Roman"/>
                <w:sz w:val="22"/>
                <w:szCs w:val="22"/>
              </w:rPr>
              <w:t xml:space="preserve">Criterion appropriateness</w:t>
            </w:r>
          </w:p>
        </w:tc>
        <w:tc>
          <w:tcPr>
            <w:tcW w:type="dxa" w:w="2400"/>
            <w:vAlign w:val="center"/>
          </w:tcPr>
          <w:p>
            <w:pPr>
              <w:keepNext/>
              <w:keepLines/>
              <w:spacing w:after="60"/>
            </w:pPr>
            <w:r>
              <w:rPr>
                <w:rFonts w:ascii="Times New Roman" w:cs="Times New Roman" w:eastAsia="Times New Roman" w:hAnsi="Times New Roman"/>
                <w:sz w:val="22"/>
                <w:szCs w:val="22"/>
              </w:rPr>
              <w:t xml:space="preserve">Appropriate</w:t>
            </w:r>
          </w:p>
        </w:tc>
        <w:tc>
          <w:tcPr>
            <w:tcW w:type="dxa" w:w="2400"/>
            <w:vAlign w:val="center"/>
          </w:tcPr>
          <w:p>
            <w:pPr>
              <w:keepNext/>
              <w:keepLines/>
              <w:spacing w:after="60"/>
            </w:pPr>
            <w:r>
              <w:rPr>
                <w:rFonts w:ascii="Times New Roman" w:cs="Times New Roman" w:eastAsia="Times New Roman" w:hAnsi="Times New Roman"/>
                <w:sz w:val="22"/>
                <w:szCs w:val="22"/>
              </w:rPr>
              <w:t xml:space="preserve">Misattributed (fluency is a writing quality)</w:t>
            </w:r>
          </w:p>
        </w:tc>
        <w:tc>
          <w:tcPr>
            <w:tcW w:type="dxa" w:w="2400"/>
            <w:vAlign w:val="center"/>
          </w:tcPr>
          <w:p>
            <w:pPr>
              <w:keepNext/>
              <w:keepLines/>
              <w:spacing w:after="60"/>
            </w:pPr>
            <w:r>
              <w:rPr>
                <w:rFonts w:ascii="Times New Roman" w:cs="Times New Roman" w:eastAsia="Times New Roman" w:hAnsi="Times New Roman"/>
                <w:sz w:val="22"/>
                <w:szCs w:val="22"/>
              </w:rPr>
              <w:t xml:space="preserve">Appropriate (reliance on source wording is a writing descriptor)</w:t>
            </w:r>
          </w:p>
        </w:tc>
      </w:tr>
      <w:tr>
        <w:trPr>
          <w:cantSplit/>
        </w:trPr>
        <w:tc>
          <w:tcPr>
            <w:tcW w:type="dxa" w:w="2000"/>
            <w:vAlign w:val="center"/>
          </w:tcPr>
          <w:p>
            <w:pPr>
              <w:keepNext w:val="false"/>
              <w:keepLines/>
              <w:spacing w:after="60"/>
            </w:pPr>
            <w:r>
              <w:rPr>
                <w:rFonts w:ascii="Times New Roman" w:cs="Times New Roman" w:eastAsia="Times New Roman" w:hAnsi="Times New Roman"/>
                <w:sz w:val="22"/>
                <w:szCs w:val="22"/>
              </w:rPr>
              <w:t xml:space="preserve">Thematic codes</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None</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Rubric misapplication and construct confusion</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Own-words transformation</w:t>
            </w:r>
          </w:p>
        </w:tc>
      </w:tr>
    </w:tbl>
    <w:p>
      <w:pPr>
        <w:spacing w:after="120" w:line="360"/>
        <w:jc w:val="both"/>
      </w:pPr>
      <w:r>
        <w:rPr>
          <w:rFonts w:ascii="Times New Roman" w:cs="Times New Roman" w:eastAsia="Times New Roman" w:hAnsi="Times New Roman"/>
          <w:sz w:val="24"/>
          <w:szCs w:val="24"/>
        </w:rPr>
        <w:t xml:space="preserve">Claim R2 shows why the two judgements are recorded separately: the statement is true, but it does not justify a reading mark.</w:t>
      </w:r>
    </w:p>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Choi, J., Tate, T. P., &amp; Warschauer, M. (2026). Anchor is the key: Toward accessible automated essay scoring with large language model through prompting. Assessing Writing, 69, Article 101053. https://doi.org/10.1016/j.asw.2026.101053</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https://doi.org/10.21832/9781847690692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Yun, B., Moe, M., Flynn, L. E., Öncel, P., &amp; Allen, L. K. (2026). Modeling the reading-to-writing pipeline: Knowledge graph and LLM-based assessment framework for source-based writing. Assessing Writing, 70, Article 101098. https://doi.org/10.1016/j.asw.2026.101098</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2026-10-11T16:25:11.287Z</dcterms:created>
  <dcterms:modified xsi:type="dcterms:W3CDTF">2026-10-11T16:25:11.295Z</dcterms:modified>
</cp:coreProperties>
</file>

<file path=docProps/custom.xml><?xml version="1.0" encoding="utf-8"?>
<Properties xmlns="http://schemas.openxmlformats.org/officeDocument/2006/custom-properties" xmlns:vt="http://schemas.openxmlformats.org/officeDocument/2006/docPropsVTypes"/>
</file>