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Pg.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7f1e581ed660ec855a2c1481a393140b4ca12c"/>
    <w:p>
      <w:pPr>
        <w:pStyle w:val="Heading1"/>
      </w:pPr>
      <w:r>
        <w:t xml:space="preserve">Consumer AI Scoring of IGCSE Summary Writing: Consistency, Agreement and Construct Validity for Multilingual Learners</w:t>
      </w:r>
    </w:p>
    <w:p>
      <w:pPr>
        <w:pStyle w:val="FirstParagraph"/>
      </w:pPr>
      <w:r>
        <w:rPr>
          <w:bCs/>
          <w:b/>
        </w:rPr>
        <w:t xml:space="preserve">Universiti Sains Malaysia</w:t>
      </w:r>
      <w:r>
        <w:br/>
      </w:r>
      <w:r>
        <w:t xml:space="preserve">School of Languages, Literacies and Translation (PPBLT)</w:t>
      </w:r>
    </w:p>
    <w:p>
      <w:pPr>
        <w:pStyle w:val="BodyText"/>
      </w:pPr>
      <w:r>
        <w:t xml:space="preserve">PhD Research Proposal — Portal Summary</w:t>
      </w:r>
    </w:p>
    <w:p>
      <w:pPr>
        <w:pStyle w:val="BodyText"/>
      </w:pPr>
      <w:r>
        <w:rPr>
          <w:bCs/>
          <w:b/>
        </w:rPr>
        <w:t xml:space="preserve">Ehab Hourani</w:t>
      </w:r>
      <w:r>
        <w:br/>
      </w:r>
      <w:r>
        <w:t xml:space="preserve">Doctor of Philosophy (Language Studies), by research</w:t>
      </w:r>
      <w:r>
        <w:br/>
      </w:r>
      <w:r>
        <w:t xml:space="preserve">Proposed candidature: September 2027 to August 2031</w:t>
      </w:r>
    </w:p>
    <w:p>
      <w:pPr>
        <w:pStyle w:val="BodyText"/>
      </w:pPr>
      <w:r>
        <w:t xml:space="preserve">October 2026</w:t>
      </w:r>
    </w:p>
    <w:p>
      <w:r>
        <w:pict>
          <v:rect style="width:0;height:1.5pt" o:hralign="center" o:hrstd="t" o:hr="t"/>
        </w:pict>
      </w:r>
    </w:p>
    <w:bookmarkStart w:id="20" w:name="abstract"/>
    <w:p>
      <w:pPr>
        <w:pStyle w:val="Heading2"/>
      </w:pPr>
      <w:r>
        <w:t xml:space="preserve">Abstract</w:t>
      </w:r>
    </w:p>
    <w:p>
      <w:pPr>
        <w:pStyle w:val="FirstParagraph"/>
      </w:pPr>
      <w:r>
        <w:t xml:space="preserve">Teachers increasingly use consumer AI chat applications to mark student writing, yet under subscription access they cannot control sampling or see when the underlying model changes. For an adolescent, source-based task marked separately for reading and writing, it is not known how consistently these tools mark the same script, where their marks diverge from human judgement, or whether the reasons they give are supported by the text and the rubric.</w:t>
      </w:r>
    </w:p>
    <w:p>
      <w:pPr>
        <w:pStyle w:val="BodyText"/>
      </w:pPr>
      <w:r>
        <w:t xml:space="preserve">This study addresses these questions for the selective summary task of Cambridge IGCSE First Language English (0500, Paper 1, Question 2(a); reading /10, writing /5). Students in four IGCSE classes at a school in Erbil, Kurdistan Region of Iraq (expected</w:t>
      </w:r>
      <w:r>
        <w:t xml:space="preserve"> </w:t>
      </w:r>
      <w:r>
        <w:rPr>
          <w:iCs/>
          <w:i/>
        </w:rPr>
        <w:t xml:space="preserve">n</w:t>
      </w:r>
      <w:r>
        <w:t xml:space="preserve"> </w:t>
      </w:r>
      <w:r>
        <w:t xml:space="preserve">= 65–80), who use Kurdish and/or Arabic at home, will each summarise two original passages (130–160 scripts). Two experienced raters will mark the anonymised, typed scripts independently and blind; each script will then be scored three times by ChatGPT and three times by Claude through paid subscriptions within a ten-working-day window. RQ1 estimates pass-to-pass consistency; RQ2 estimates human–AI agreement and the criterion-level correction gap; RQ3 checks each claim in the AI rationales for eight scripts against the source passage, the student’s summary and the rubric, with two independent coders whose agreement is reported.</w:t>
      </w:r>
    </w:p>
    <w:p>
      <w:r>
        <w:pict>
          <v:rect style="width:0;height:1.5pt" o:hralign="center" o:hrstd="t" o:hr="t"/>
        </w:pict>
      </w:r>
    </w:p>
    <w:bookmarkEnd w:id="20"/>
    <w:bookmarkStart w:id="21" w:name="background-and-problem-statement"/>
    <w:p>
      <w:pPr>
        <w:pStyle w:val="Heading2"/>
      </w:pPr>
      <w:r>
        <w:t xml:space="preserve">1. Background and Problem Statement</w:t>
      </w:r>
    </w:p>
    <w:p>
      <w:pPr>
        <w:pStyle w:val="FirstParagraph"/>
      </w:pPr>
      <w:r>
        <w:t xml:space="preserve">Consumer generative AI has entered teachers’ marking. In a 2025 survey of 2,232 US public school teachers, 60% reported using an AI tool, and 16% reported using AI to grade or provide feedback (Gallup &amp; Walton Family Foundation, 2025). An Anthropic (2025) analysis found that assessing student performance accounted for about 7% of educators’ conversations with Claude. Consumer access differs from the API or research conditions studied in most scoring research: teachers cannot set sampling parameters, pin model versions or know when the service has been updated (Chen et al., 2024).</w:t>
      </w:r>
    </w:p>
    <w:p>
      <w:pPr>
        <w:pStyle w:val="BodyText"/>
      </w:pPr>
      <w:r>
        <w:t xml:space="preserve">The IGCSE selective summary (Paper 1, Q2(a)) is a suitable test case: it is a highly constrained, rubric-bound task carrying 10 reading marks and 5 writing marks. It rewards both content-point selection and writing quality, so it cannot be marked without the source passage. The participants—Kurdish–Arabic–English multilingual adolescents in an English-medium school in Erbil—are absent from the AI scoring literature, which has focused on East Asian or European populations.</w:t>
      </w:r>
    </w:p>
    <w:p>
      <w:pPr>
        <w:pStyle w:val="BodyText"/>
      </w:pPr>
      <w:r>
        <w:t xml:space="preserve">For this task, population and mode of use, it is not known: (a) how consistently the same script is marked across independent sessions; (b) how closely the marks agree with trained human raters on each criterion; (c) whether these properties hold across different passages; or (d) what the AI’s scoring rationale reveals in divergent and close-agreement cases. Existing studies have mostly examined API access and essay tasks by university writers. Recent work has begun to examine LLM scoring of adolescents’ source-based writing (Choi et al., 2026) and to model the reading-to-writing pipeline (Yun et al., 2026), but no published study, to the author’s knowledge, examines whether consumer AI scoring preserves a rubric’s separate reading and writing criteria, or whether the justifications the tools give are supported by the textual evidence and the rubric.</w:t>
      </w:r>
    </w:p>
    <w:p>
      <w:r>
        <w:pict>
          <v:rect style="width:0;height:1.5pt" o:hralign="center" o:hrstd="t" o:hr="t"/>
        </w:pict>
      </w:r>
    </w:p>
    <w:bookmarkEnd w:id="21"/>
    <w:bookmarkStart w:id="22" w:name="research-questions"/>
    <w:p>
      <w:pPr>
        <w:pStyle w:val="Heading2"/>
      </w:pPr>
      <w:r>
        <w:t xml:space="preserve">2. Research Questions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1508"/>
        <w:gridCol w:w="3771"/>
        <w:gridCol w:w="2640"/>
      </w:tblGrid>
      <w:tr>
        <w:trPr>
          <w:tblHeader w:val="true"/>
        </w:trPr>
        <w:tc>
          <w:tcPr/>
          <w:p>
            <w:pPr>
              <w:pStyle w:val="Compact"/>
              <w:jc w:val="left"/>
            </w:pPr>
            <w:r>
              <w:t xml:space="preserve">RQ</w:t>
            </w:r>
          </w:p>
        </w:tc>
        <w:tc>
          <w:tcPr/>
          <w:p>
            <w:pPr>
              <w:pStyle w:val="Compact"/>
              <w:jc w:val="left"/>
            </w:pPr>
            <w:r>
              <w:t xml:space="preserve">Question</w:t>
            </w:r>
          </w:p>
        </w:tc>
        <w:tc>
          <w:tcPr/>
          <w:p>
            <w:pPr>
              <w:pStyle w:val="Compact"/>
              <w:jc w:val="left"/>
            </w:pPr>
            <w:r>
              <w:t xml:space="preserve">Layer</w:t>
            </w:r>
          </w:p>
        </w:tc>
      </w:tr>
      <w:tr>
        <w:tc>
          <w:tcPr/>
          <w:p>
            <w:pPr>
              <w:pStyle w:val="Compact"/>
              <w:jc w:val="left"/>
            </w:pPr>
            <w:r>
              <w:t xml:space="preserve">RQ1</w:t>
            </w:r>
          </w:p>
        </w:tc>
        <w:tc>
          <w:tcPr/>
          <w:p>
            <w:pPr>
              <w:pStyle w:val="Compact"/>
              <w:jc w:val="left"/>
            </w:pPr>
            <w:r>
              <w:t xml:space="preserve">To what extent do ChatGPT and Claude, used through consumer subscriptions, give consistent scores to the same summary when scored three times in independent sessions, and does consistency differ across passages?</w:t>
            </w:r>
          </w:p>
        </w:tc>
        <w:tc>
          <w:tcPr/>
          <w:p>
            <w:pPr>
              <w:pStyle w:val="Compact"/>
              <w:jc w:val="left"/>
            </w:pPr>
            <w:r>
              <w:t xml:space="preserve">Pass-to-pass consistency</w:t>
            </w:r>
          </w:p>
        </w:tc>
      </w:tr>
      <w:tr>
        <w:tc>
          <w:tcPr/>
          <w:p>
            <w:pPr>
              <w:pStyle w:val="Compact"/>
              <w:jc w:val="left"/>
            </w:pPr>
            <w:r>
              <w:t xml:space="preserve">RQ2</w:t>
            </w:r>
          </w:p>
        </w:tc>
        <w:tc>
          <w:tcPr/>
          <w:p>
            <w:pPr>
              <w:pStyle w:val="Compact"/>
              <w:jc w:val="left"/>
            </w:pPr>
            <w:r>
              <w:t xml:space="preserve">How closely do AI scores agree with those of two experienced human raters, and where (by criterion, score level and passage) do they diverge?</w:t>
            </w:r>
          </w:p>
        </w:tc>
        <w:tc>
          <w:tcPr/>
          <w:p>
            <w:pPr>
              <w:pStyle w:val="Compact"/>
              <w:jc w:val="left"/>
            </w:pPr>
            <w:r>
              <w:t xml:space="preserve">Agreement and correction gap</w:t>
            </w:r>
          </w:p>
        </w:tc>
      </w:tr>
      <w:tr>
        <w:tc>
          <w:tcPr/>
          <w:p>
            <w:pPr>
              <w:pStyle w:val="Compact"/>
              <w:jc w:val="left"/>
            </w:pPr>
            <w:r>
              <w:t xml:space="preserve">RQ3</w:t>
            </w:r>
          </w:p>
        </w:tc>
        <w:tc>
          <w:tcPr/>
          <w:p>
            <w:pPr>
              <w:pStyle w:val="Compact"/>
              <w:jc w:val="left"/>
            </w:pPr>
            <w:r>
              <w:t xml:space="preserve">What justifications do the AI tools provide for their marks in selected cases, how well do those justifications accord with the textual evidence and with the criterion each is offered for, and what do they reveal about source fidelity, construct-irrelevant features and non-standard but meaningful phrasing in this multilingual sample?</w:t>
            </w:r>
          </w:p>
        </w:tc>
        <w:tc>
          <w:tcPr/>
          <w:p>
            <w:pPr>
              <w:pStyle w:val="Compact"/>
              <w:jc w:val="left"/>
            </w:pPr>
            <w:r>
              <w:t xml:space="preserve">Justifications examined</w:t>
            </w:r>
          </w:p>
        </w:tc>
      </w:tr>
    </w:tbl>
    <w:p>
      <w:pPr>
        <w:pStyle w:val="BodyText"/>
      </w:pPr>
      <w:r>
        <w:t xml:space="preserve">The synthesis draws on RQ1–RQ3 and is not a separate research question.</w:t>
      </w:r>
    </w:p>
    <w:p>
      <w:r>
        <w:pict>
          <v:rect style="width:0;height:1.5pt" o:hralign="center" o:hrstd="t" o:hr="t"/>
        </w:pict>
      </w:r>
    </w:p>
    <w:bookmarkEnd w:id="22"/>
    <w:bookmarkStart w:id="23" w:name="literature-review-summary"/>
    <w:p>
      <w:pPr>
        <w:pStyle w:val="Heading2"/>
      </w:pPr>
      <w:r>
        <w:t xml:space="preserve">3. Literature Review (Summary)</w:t>
      </w:r>
    </w:p>
    <w:p>
      <w:pPr>
        <w:pStyle w:val="FirstParagraph"/>
      </w:pPr>
      <w:r>
        <w:rPr>
          <w:bCs/>
          <w:b/>
        </w:rPr>
        <w:t xml:space="preserve">Summary writing as reading-into-writing.</w:t>
      </w:r>
      <w:r>
        <w:t xml:space="preserve"> </w:t>
      </w:r>
      <w:r>
        <w:t xml:space="preserve">Kintsch and van Dijk (1978) modelled comprehension as macrostructure construction; Brown and Day (1983) operationalised reduction rules. In L2 summarising, reliance on source wording varies with proficiency (Johns &amp; Mayes, 1990; Keck, 2006, 2014). Cumming (2013) identified that integrated tasks confound writing ability with source comprehension.</w:t>
      </w:r>
    </w:p>
    <w:p>
      <w:pPr>
        <w:pStyle w:val="BodyText"/>
      </w:pPr>
      <w:r>
        <w:rPr>
          <w:bCs/>
          <w:b/>
        </w:rPr>
        <w:t xml:space="preserve">Frameworks for automated scoring.</w:t>
      </w:r>
      <w:r>
        <w:t xml:space="preserve"> </w:t>
      </w:r>
      <w:r>
        <w:t xml:space="preserve">Williamson et al. (2012) proposed agreement criteria including QWK ≥ .70. Xi (2010) and Clauser et al. (2002) set out argument-based validity questions. The Standards require empirical support before operational use (AERA et al., 2014).</w:t>
      </w:r>
    </w:p>
    <w:p>
      <w:pPr>
        <w:pStyle w:val="BodyText"/>
      </w:pPr>
      <w:r>
        <w:rPr>
          <w:bCs/>
          <w:b/>
        </w:rPr>
        <w:t xml:space="preserve">Empirical evidence.</w:t>
      </w:r>
      <w:r>
        <w:t xml:space="preserve"> </w:t>
      </w:r>
      <w:r>
        <w:t xml:space="preserve">Agreement is promising but variable (Mizumoto &amp; Eguchi, 2023; Tate et al., 2024; Bui &amp; Barrot, 2025). Repeated scoring shows performance fluctuations (Pack et al., 2024; Liu et al., 2026). Scores are sensitive to prompt and model change (Sclar et al., 2024; Chen et al., 2024). Choi et al. (2026) and Yun et al. (2026) extend the literature to source-based writing but do not audit consumer scorers’ justifications for separate reading and writing marks.</w:t>
      </w:r>
    </w:p>
    <w:p>
      <w:pPr>
        <w:pStyle w:val="BodyText"/>
      </w:pPr>
      <w:r>
        <w:rPr>
          <w:bCs/>
          <w:b/>
        </w:rPr>
        <w:t xml:space="preserve">Close precursors</w:t>
      </w:r>
      <w:r>
        <w:t xml:space="preserve"> </w:t>
      </w:r>
      <w:r>
        <w:t xml:space="preserve">(Jiao et al., 2025; Jin et al., 2025; Sawaki et al., 2025; Liu et al., 2026; Wu et al., 2026) each establish important evidence but leave open: separate reading and writing marks on an adolescent source-based task; consumer-subscription access with repeated scoring; a structured evidence-checking procedure with dual coding.</w:t>
      </w:r>
    </w:p>
    <w:p>
      <w:pPr>
        <w:pStyle w:val="BodyText"/>
      </w:pPr>
      <w:r>
        <w:rPr>
          <w:bCs/>
          <w:b/>
        </w:rPr>
        <w:t xml:space="preserve">Conceptual framework.</w:t>
      </w:r>
      <w:r>
        <w:t xml:space="preserve"> </w:t>
      </w:r>
      <w:r>
        <w:t xml:space="preserve">Argument-based validity (Kane, 2013; Messick, 1989): each RQ supplies evidence for inferences from scoring stability through agreement and construct representation to decision.</w:t>
      </w:r>
    </w:p>
    <w:p>
      <w:r>
        <w:pict>
          <v:rect style="width:0;height:1.5pt" o:hralign="center" o:hrstd="t" o:hr="t"/>
        </w:pict>
      </w:r>
    </w:p>
    <w:bookmarkEnd w:id="23"/>
    <w:bookmarkStart w:id="32" w:name="methodology"/>
    <w:p>
      <w:pPr>
        <w:pStyle w:val="Heading2"/>
      </w:pPr>
      <w:r>
        <w:t xml:space="preserve">4. Methodology</w:t>
      </w:r>
    </w:p>
    <w:bookmarkStart w:id="24" w:name="design"/>
    <w:p>
      <w:pPr>
        <w:pStyle w:val="Heading3"/>
      </w:pPr>
      <w:r>
        <w:t xml:space="preserve">4.1 Design</w:t>
      </w:r>
    </w:p>
    <w:p>
      <w:pPr>
        <w:pStyle w:val="FirstParagraph"/>
      </w:pPr>
      <w:r>
        <w:t xml:space="preserve">Quantitative with a focused qualitative component. Each student writes one script per passage (A, B); every script is scored by both tools in three passes. The analysis plan will be preregistered on OSF.</w:t>
      </w:r>
    </w:p>
    <w:bookmarkEnd w:id="24"/>
    <w:bookmarkStart w:id="25" w:name="setting-and-participants"/>
    <w:p>
      <w:pPr>
        <w:pStyle w:val="Heading3"/>
      </w:pPr>
      <w:r>
        <w:t xml:space="preserve">4.2 Setting and Participants</w:t>
      </w:r>
    </w:p>
    <w:p>
      <w:pPr>
        <w:pStyle w:val="FirstParagraph"/>
      </w:pPr>
      <w:r>
        <w:t xml:space="preserve">The candidate’s school in Erbil, Kurdistan Region of Iraq. Four IGCSE classes (expected</w:t>
      </w:r>
      <w:r>
        <w:t xml:space="preserve"> </w:t>
      </w:r>
      <w:r>
        <w:rPr>
          <w:iCs/>
          <w:i/>
        </w:rPr>
        <w:t xml:space="preserve">n</w:t>
      </w:r>
      <w:r>
        <w:t xml:space="preserve"> </w:t>
      </w:r>
      <w:r>
        <w:t xml:space="preserve">= 65–80). Each student writes two handwritten summaries (one per passage) in counterbalanced order. An external anonymiser codes, types and de-identifies all scripts. The typed scripts form a frozen corpus of 130–160 scripts.</w:t>
      </w:r>
    </w:p>
    <w:bookmarkEnd w:id="25"/>
    <w:bookmarkStart w:id="26" w:name="instruments"/>
    <w:p>
      <w:pPr>
        <w:pStyle w:val="Heading3"/>
      </w:pPr>
      <w:r>
        <w:t xml:space="preserve">4.3 Instruments</w:t>
      </w:r>
    </w:p>
    <w:p>
      <w:pPr>
        <w:numPr>
          <w:ilvl w:val="0"/>
          <w:numId w:val="1001"/>
        </w:numPr>
        <w:pStyle w:val="Compact"/>
      </w:pPr>
      <w:r>
        <w:rPr>
          <w:bCs/>
          <w:b/>
        </w:rPr>
        <w:t xml:space="preserve">Two original passages</w:t>
      </w:r>
      <w:r>
        <w:t xml:space="preserve"> </w:t>
      </w:r>
      <w:r>
        <w:t xml:space="preserve">(~300–400 words each), with a</w:t>
      </w:r>
      <w:r>
        <w:t xml:space="preserve"> </w:t>
      </w:r>
      <w:r>
        <w:rPr>
          <w:bCs/>
          <w:b/>
        </w:rPr>
        <w:t xml:space="preserve">structured authenticity check</w:t>
      </w:r>
      <w:r>
        <w:t xml:space="preserve"> </w:t>
      </w:r>
      <w:r>
        <w:t xml:space="preserve">by 2–3 IGCSE colleagues against real published 0500 passages.</w:t>
      </w:r>
    </w:p>
    <w:p>
      <w:pPr>
        <w:numPr>
          <w:ilvl w:val="0"/>
          <w:numId w:val="1001"/>
        </w:numPr>
        <w:pStyle w:val="Compact"/>
      </w:pPr>
      <w:r>
        <w:rPr>
          <w:bCs/>
          <w:b/>
        </w:rPr>
        <w:t xml:space="preserve">Study rubric</w:t>
      </w:r>
      <w:r>
        <w:t xml:space="preserve"> </w:t>
      </w:r>
      <w:r>
        <w:t xml:space="preserve">mirroring Q2(a): holistic reading mark (/10, five two-mark bands) with a reading key; writing mark (/5, three bands).</w:t>
      </w:r>
    </w:p>
    <w:p>
      <w:pPr>
        <w:numPr>
          <w:ilvl w:val="0"/>
          <w:numId w:val="1001"/>
        </w:numPr>
        <w:pStyle w:val="Compact"/>
      </w:pPr>
      <w:r>
        <w:rPr>
          <w:bCs/>
          <w:b/>
        </w:rPr>
        <w:t xml:space="preserve">Criterion-mapping table</w:t>
      </w:r>
      <w:r>
        <w:t xml:space="preserve"> </w:t>
      </w:r>
      <w:r>
        <w:t xml:space="preserve">independently reviewed by two IGCSE colleagues.</w:t>
      </w:r>
    </w:p>
    <w:bookmarkEnd w:id="26"/>
    <w:bookmarkStart w:id="27" w:name="human-rating"/>
    <w:p>
      <w:pPr>
        <w:pStyle w:val="Heading3"/>
      </w:pPr>
      <w:r>
        <w:t xml:space="preserve">4.4 Human Rating</w:t>
      </w:r>
    </w:p>
    <w:p>
      <w:pPr>
        <w:pStyle w:val="FirstParagraph"/>
      </w:pPr>
      <w:r>
        <w:t xml:space="preserve">Two raters mark all typed, anonymised scripts independently and blind. Calibration on 5–8 practice scripts. Four-week delay between last writing session and formal marking. ICC(A,1) &lt; .60 on pilot triggers a second calibration round. All human marks locked before AI scoring.</w:t>
      </w:r>
    </w:p>
    <w:bookmarkEnd w:id="27"/>
    <w:bookmarkStart w:id="28" w:name="ai-scoring-protocol"/>
    <w:p>
      <w:pPr>
        <w:pStyle w:val="Heading3"/>
      </w:pPr>
      <w:r>
        <w:t xml:space="preserve">4.5 AI Scoring Protocol</w:t>
      </w:r>
    </w:p>
    <w:p>
      <w:pPr>
        <w:pStyle w:val="FirstParagraph"/>
      </w:pPr>
      <w:r>
        <w:t xml:space="preserve">Both tools used through paid consumer subscriptions (no API). Latest flagship model selected and maintained throughout; model name and reasoning mode logged for every submission. Rubric-embedded prompt (fixed after pilot) with passage, task, summary, rubric and reading key. Separate justification requested for each mark. Three passes per tool in separate sessions within a ten-working-day window (winter break, Dec 2028–Jan 2029). Session controls: memory/personalisation off; temporary/incognito chats; fresh chat per script. Preregistered model-change decision rule. Stability anchors (three scripts daily). Workload: ~840–1,020 submissions (~42–51 hours over 10 working days).</w:t>
      </w:r>
    </w:p>
    <w:bookmarkEnd w:id="28"/>
    <w:bookmarkStart w:id="29" w:name="pilot-study"/>
    <w:p>
      <w:pPr>
        <w:pStyle w:val="Heading3"/>
      </w:pPr>
      <w:r>
        <w:t xml:space="preserve">4.6 Pilot Study</w:t>
      </w:r>
    </w:p>
    <w:p>
      <w:pPr>
        <w:pStyle w:val="FirstParagraph"/>
      </w:pPr>
      <w:r>
        <w:t xml:space="preserve">Live pilot using a third passage with 10–15 students from a colleague’s class. Tests full end-to-end workflow. Protocol pilot on 4 scripts tests the evidence-checking procedure. Preliminary repeatability assessment before preregistration.</w:t>
      </w:r>
    </w:p>
    <w:bookmarkEnd w:id="29"/>
    <w:bookmarkStart w:id="30" w:name="analysis"/>
    <w:p>
      <w:pPr>
        <w:pStyle w:val="Heading3"/>
      </w:pPr>
      <w:r>
        <w:t xml:space="preserve">4.7 Analysis</w:t>
      </w:r>
    </w:p>
    <w:p>
      <w:pPr>
        <w:pStyle w:val="FirstParagraph"/>
      </w:pPr>
      <w:r>
        <w:rPr>
          <w:bCs/>
          <w:b/>
        </w:rPr>
        <w:t xml:space="preserve">RQ1:</w:t>
      </w:r>
      <w:r>
        <w:t xml:space="preserve"> </w:t>
      </w:r>
      <w:r>
        <w:t xml:space="preserve">One-way random-effects ICC(1,1) across three passes per tool, passage and criterion. Reading mark primary; writing mark secondary. Per-script SDs supplementary.</w:t>
      </w:r>
    </w:p>
    <w:p>
      <w:pPr>
        <w:pStyle w:val="BodyText"/>
      </w:pPr>
      <w:r>
        <w:rPr>
          <w:bCs/>
          <w:b/>
        </w:rPr>
        <w:t xml:space="preserve">RQ2:</w:t>
      </w:r>
      <w:r>
        <w:t xml:space="preserve"> </w:t>
      </w:r>
      <w:r>
        <w:t xml:space="preserve">Single-run QWK and ICC(A,1), AI vs. each human rater (mean and range across passes). Correction gap = AI score minus human mean, by criterion, level and passage. Mixed model:</w:t>
      </w:r>
      <w:r>
        <w:t xml:space="preserve"> </w:t>
      </w:r>
      <w:r>
        <w:rPr>
          <w:rStyle w:val="VerbatimChar"/>
        </w:rPr>
        <w:t xml:space="preserve">score ~ tool × passage + pass + (1|student) + (1|student:passage)</w:t>
      </w:r>
      <w:r>
        <w:t xml:space="preserve"> </w:t>
      </w:r>
      <w:r>
        <w:t xml:space="preserve">in lme4. Bland–Altman plots. Bootstrapped 95% CIs (2,000 resamples, student-level). Koo and Li (2016) ICC bands; Williamson et al. (2012) QWK thresholds.</w:t>
      </w:r>
    </w:p>
    <w:p>
      <w:pPr>
        <w:pStyle w:val="BodyText"/>
      </w:pPr>
      <w:r>
        <w:rPr>
          <w:bCs/>
          <w:b/>
        </w:rPr>
        <w:t xml:space="preserve">RQ3:</w:t>
      </w:r>
      <w:r>
        <w:t xml:space="preserve"> </w:t>
      </w:r>
      <w:r>
        <w:t xml:space="preserve">Content analysis of AI rationales for 8 selected scripts (4 per passage; selection rule covers reading discrepancy, writing discrepancy, opposite direction and close agreement). For each script, 2 rationale texts analysed (16 total). Evidence-checking procedure: each claim receives (a) evidential judgement (supported/contradicted/insufficient explanation/ambiguous) and (b) criterion-appropriateness judgement (appropriate/misattributed/unclear). Independent dual coding; percentage agreement and Cohen’s kappa reported before discussion. Thematic codes: source fidelity errors, construct-irrelevant rewarding, treatment of non-standard but meaningful phrasing, rubric misapplication and construct confusion, own-words transformation.</w:t>
      </w:r>
    </w:p>
    <w:p>
      <w:pPr>
        <w:pStyle w:val="BodyText"/>
      </w:pPr>
      <w:r>
        <w:rPr>
          <w:bCs/>
          <w:b/>
        </w:rPr>
        <w:t xml:space="preserve">Synthesis:</w:t>
      </w:r>
      <w:r>
        <w:t xml:space="preserve"> </w:t>
      </w:r>
      <w:r>
        <w:t xml:space="preserve">draws on RQ1–RQ3 to assemble descriptive evidence on consumer AI scoring of this task and inform further evaluation.</w:t>
      </w:r>
    </w:p>
    <w:bookmarkEnd w:id="30"/>
    <w:bookmarkStart w:id="31" w:name="ethics"/>
    <w:p>
      <w:pPr>
        <w:pStyle w:val="Heading3"/>
      </w:pPr>
      <w:r>
        <w:t xml:space="preserve">4.8 Ethics</w:t>
      </w:r>
    </w:p>
    <w:p>
      <w:pPr>
        <w:pStyle w:val="FirstParagraph"/>
      </w:pPr>
      <w:r>
        <w:t xml:space="preserve">USM ethics approval required before data collection. Parental consent and student assent independent of teacher–student relationship. External anonymiser holds linkage key (destroyed at corpus-freezing date). Insider-research mitigations: independent second rater, anonymisation, blinding, four-week delay. Scripts de-identified before entering any AI application; model-training settings off.</w:t>
      </w:r>
    </w:p>
    <w:p>
      <w:r>
        <w:pict>
          <v:rect style="width:0;height:1.5pt" o:hralign="center" o:hrstd="t" o:hr="t"/>
        </w:pict>
      </w:r>
    </w:p>
    <w:bookmarkEnd w:id="31"/>
    <w:bookmarkEnd w:id="32"/>
    <w:bookmarkStart w:id="33" w:name="timeline"/>
    <w:p>
      <w:pPr>
        <w:pStyle w:val="Heading2"/>
      </w:pPr>
      <w:r>
        <w:t xml:space="preserve">5. Timeline</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4525"/>
        <w:gridCol w:w="3394"/>
      </w:tblGrid>
      <w:tr>
        <w:trPr>
          <w:tblHeader w:val="true"/>
        </w:trPr>
        <w:tc>
          <w:tcPr/>
          <w:p>
            <w:pPr>
              <w:pStyle w:val="Compact"/>
              <w:jc w:val="left"/>
            </w:pPr>
            <w:r>
              <w:t xml:space="preserve">Period</w:t>
            </w:r>
          </w:p>
        </w:tc>
        <w:tc>
          <w:tcPr/>
          <w:p>
            <w:pPr>
              <w:pStyle w:val="Compact"/>
              <w:jc w:val="left"/>
            </w:pPr>
            <w:r>
              <w:t xml:space="preserve">Work</w:t>
            </w:r>
          </w:p>
        </w:tc>
      </w:tr>
      <w:tr>
        <w:tc>
          <w:tcPr/>
          <w:p>
            <w:pPr>
              <w:pStyle w:val="Compact"/>
              <w:jc w:val="left"/>
            </w:pPr>
            <w:r>
              <w:t xml:space="preserve">Before enrolment (by Aug 2027)</w:t>
            </w:r>
          </w:p>
        </w:tc>
        <w:tc>
          <w:tcPr/>
          <w:p>
            <w:pPr>
              <w:pStyle w:val="Compact"/>
              <w:jc w:val="left"/>
            </w:pPr>
            <w:r>
              <w:t xml:space="preserve">Prepare ethics documents</w:t>
            </w:r>
          </w:p>
        </w:tc>
      </w:tr>
      <w:tr>
        <w:tc>
          <w:tcPr/>
          <w:p>
            <w:pPr>
              <w:pStyle w:val="Compact"/>
              <w:jc w:val="left"/>
            </w:pPr>
            <w:r>
              <w:t xml:space="preserve">Sep–Dec 2027</w:t>
            </w:r>
          </w:p>
        </w:tc>
        <w:tc>
          <w:tcPr/>
          <w:p>
            <w:pPr>
              <w:pStyle w:val="Compact"/>
              <w:jc w:val="left"/>
            </w:pPr>
            <w:r>
              <w:t xml:space="preserve">Ethics application; passages, rubrics, reading keys; colleague reviews</w:t>
            </w:r>
          </w:p>
        </w:tc>
      </w:tr>
      <w:tr>
        <w:tc>
          <w:tcPr/>
          <w:p>
            <w:pPr>
              <w:pStyle w:val="Compact"/>
              <w:jc w:val="left"/>
            </w:pPr>
            <w:r>
              <w:t xml:space="preserve">Jan 2028</w:t>
            </w:r>
          </w:p>
        </w:tc>
        <w:tc>
          <w:tcPr/>
          <w:p>
            <w:pPr>
              <w:pStyle w:val="Compact"/>
              <w:jc w:val="left"/>
            </w:pPr>
            <w:r>
              <w:t xml:space="preserve">Live pilot; protocol pilot; preregister analysis plan</w:t>
            </w:r>
          </w:p>
        </w:tc>
      </w:tr>
      <w:tr>
        <w:tc>
          <w:tcPr/>
          <w:p>
            <w:pPr>
              <w:pStyle w:val="Compact"/>
              <w:jc w:val="left"/>
            </w:pPr>
            <w:r>
              <w:t xml:space="preserve">Feb–May 2028</w:t>
            </w:r>
          </w:p>
        </w:tc>
        <w:tc>
          <w:tcPr/>
          <w:p>
            <w:pPr>
              <w:pStyle w:val="Compact"/>
              <w:jc w:val="left"/>
            </w:pPr>
            <w:r>
              <w:t xml:space="preserve">Writing sessions; anonymisation and typing; locked human marking</w:t>
            </w:r>
          </w:p>
        </w:tc>
      </w:tr>
      <w:tr>
        <w:tc>
          <w:tcPr/>
          <w:p>
            <w:pPr>
              <w:pStyle w:val="Compact"/>
              <w:jc w:val="left"/>
            </w:pPr>
            <w:r>
              <w:t xml:space="preserve">Jun–Nov 2028</w:t>
            </w:r>
          </w:p>
        </w:tc>
        <w:tc>
          <w:tcPr/>
          <w:p>
            <w:pPr>
              <w:pStyle w:val="Compact"/>
              <w:jc w:val="left"/>
            </w:pPr>
            <w:r>
              <w:t xml:space="preserve">Supervision visit (Penang); refine literature review</w:t>
            </w:r>
          </w:p>
        </w:tc>
      </w:tr>
      <w:tr>
        <w:tc>
          <w:tcPr/>
          <w:p>
            <w:pPr>
              <w:pStyle w:val="Compact"/>
              <w:jc w:val="left"/>
            </w:pPr>
            <w:r>
              <w:t xml:space="preserve">Dec 2028–Jan 2029</w:t>
            </w:r>
          </w:p>
        </w:tc>
        <w:tc>
          <w:tcPr/>
          <w:p>
            <w:pPr>
              <w:pStyle w:val="Compact"/>
              <w:jc w:val="left"/>
            </w:pPr>
            <w:r>
              <w:t xml:space="preserve">AI scoring (winter break, 10 working days)</w:t>
            </w:r>
          </w:p>
        </w:tc>
      </w:tr>
      <w:tr>
        <w:tc>
          <w:tcPr/>
          <w:p>
            <w:pPr>
              <w:pStyle w:val="Compact"/>
              <w:jc w:val="left"/>
            </w:pPr>
            <w:r>
              <w:t xml:space="preserve">Jan–Aug 2029</w:t>
            </w:r>
          </w:p>
        </w:tc>
        <w:tc>
          <w:tcPr/>
          <w:p>
            <w:pPr>
              <w:pStyle w:val="Compact"/>
              <w:jc w:val="left"/>
            </w:pPr>
            <w:r>
              <w:t xml:space="preserve">Analysis; content analysis; Papers 1–2 drafted</w:t>
            </w:r>
          </w:p>
        </w:tc>
      </w:tr>
      <w:tr>
        <w:tc>
          <w:tcPr/>
          <w:p>
            <w:pPr>
              <w:pStyle w:val="Compact"/>
              <w:jc w:val="left"/>
            </w:pPr>
            <w:r>
              <w:t xml:space="preserve">Sep 2029–Aug 2031</w:t>
            </w:r>
          </w:p>
        </w:tc>
        <w:tc>
          <w:tcPr/>
          <w:p>
            <w:pPr>
              <w:pStyle w:val="Compact"/>
              <w:jc w:val="left"/>
            </w:pPr>
            <w:r>
              <w:t xml:space="preserve">Thesis writing; optional Paper 3</w:t>
            </w:r>
          </w:p>
        </w:tc>
      </w:tr>
    </w:tbl>
    <w:p>
      <w:r>
        <w:pict>
          <v:rect style="width:0;height:1.5pt" o:hralign="center" o:hrstd="t" o:hr="t"/>
        </w:pict>
      </w:r>
    </w:p>
    <w:bookmarkEnd w:id="33"/>
    <w:bookmarkStart w:id="34" w:name="planned-outputs"/>
    <w:p>
      <w:pPr>
        <w:pStyle w:val="Heading2"/>
      </w:pPr>
      <w:r>
        <w:t xml:space="preserve">6. Planned Outputs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1680"/>
        <w:gridCol w:w="2160"/>
        <w:gridCol w:w="4080"/>
      </w:tblGrid>
      <w:tr>
        <w:trPr>
          <w:tblHeader w:val="true"/>
        </w:trPr>
        <w:tc>
          <w:tcPr/>
          <w:p>
            <w:pPr>
              <w:pStyle w:val="Compact"/>
              <w:jc w:val="left"/>
            </w:pPr>
            <w:r>
              <w:t xml:space="preserve">Paper</w:t>
            </w:r>
          </w:p>
        </w:tc>
        <w:tc>
          <w:tcPr/>
          <w:p>
            <w:pPr>
              <w:pStyle w:val="Compact"/>
              <w:jc w:val="left"/>
            </w:pPr>
            <w:r>
              <w:t xml:space="preserve">Content</w:t>
            </w:r>
          </w:p>
        </w:tc>
        <w:tc>
          <w:tcPr/>
          <w:p>
            <w:pPr>
              <w:pStyle w:val="Compact"/>
              <w:jc w:val="left"/>
            </w:pPr>
            <w:r>
              <w:t xml:space="preserve">Target Journals</w:t>
            </w:r>
          </w:p>
        </w:tc>
      </w:tr>
      <w:tr>
        <w:tc>
          <w:tcPr/>
          <w:p>
            <w:pPr>
              <w:pStyle w:val="Compact"/>
              <w:jc w:val="left"/>
            </w:pPr>
            <w:r>
              <w:t xml:space="preserve">1</w:t>
            </w:r>
          </w:p>
        </w:tc>
        <w:tc>
          <w:tcPr/>
          <w:p>
            <w:pPr>
              <w:pStyle w:val="Compact"/>
              <w:jc w:val="left"/>
            </w:pPr>
            <w:r>
              <w:t xml:space="preserve">Pass-to-pass consistency and passage dependence (RQ1)</w:t>
            </w:r>
          </w:p>
        </w:tc>
        <w:tc>
          <w:tcPr/>
          <w:p>
            <w:pPr>
              <w:pStyle w:val="Compact"/>
              <w:jc w:val="left"/>
            </w:pPr>
            <w:r>
              <w:rPr>
                <w:iCs/>
                <w:i/>
              </w:rPr>
              <w:t xml:space="preserve">Language Testing</w:t>
            </w:r>
            <w:r>
              <w:t xml:space="preserve">;</w:t>
            </w:r>
            <w:r>
              <w:t xml:space="preserve"> </w:t>
            </w:r>
            <w:r>
              <w:rPr>
                <w:iCs/>
                <w:i/>
              </w:rPr>
              <w:t xml:space="preserve">Language Assessment Quarterly</w:t>
            </w:r>
          </w:p>
        </w:tc>
      </w:tr>
      <w:tr>
        <w:tc>
          <w:tcPr/>
          <w:p>
            <w:pPr>
              <w:pStyle w:val="Compact"/>
              <w:jc w:val="left"/>
            </w:pPr>
            <w:r>
              <w:t xml:space="preserve">2</w:t>
            </w:r>
          </w:p>
        </w:tc>
        <w:tc>
          <w:tcPr/>
          <w:p>
            <w:pPr>
              <w:pStyle w:val="Compact"/>
              <w:jc w:val="left"/>
            </w:pPr>
            <w:r>
              <w:t xml:space="preserve">Human–AI agreement and scoring correction gap examined (RQ2, RQ3, Synthesis)</w:t>
            </w:r>
          </w:p>
        </w:tc>
        <w:tc>
          <w:tcPr/>
          <w:p>
            <w:pPr>
              <w:pStyle w:val="Compact"/>
              <w:jc w:val="left"/>
            </w:pPr>
            <w:r>
              <w:rPr>
                <w:iCs/>
                <w:i/>
              </w:rPr>
              <w:t xml:space="preserve">Assessing Writing</w:t>
            </w:r>
            <w:r>
              <w:t xml:space="preserve">;</w:t>
            </w:r>
            <w:r>
              <w:t xml:space="preserve"> </w:t>
            </w:r>
            <w:r>
              <w:rPr>
                <w:iCs/>
                <w:i/>
              </w:rPr>
              <w:t xml:space="preserve">Computers and Education: AI</w:t>
            </w:r>
          </w:p>
        </w:tc>
      </w:tr>
      <w:tr>
        <w:tc>
          <w:tcPr/>
          <w:p>
            <w:pPr>
              <w:pStyle w:val="Compact"/>
              <w:jc w:val="left"/>
            </w:pPr>
            <w:r>
              <w:t xml:space="preserve">3 (optional)</w:t>
            </w:r>
          </w:p>
        </w:tc>
        <w:tc>
          <w:tcPr/>
          <w:p>
            <w:pPr>
              <w:pStyle w:val="Compact"/>
              <w:jc w:val="left"/>
            </w:pPr>
            <w:r>
              <w:t xml:space="preserve">Reading–writing construct separation in AI scoring of multilingual learners</w:t>
            </w:r>
          </w:p>
        </w:tc>
        <w:tc>
          <w:tcPr/>
          <w:p>
            <w:pPr>
              <w:pStyle w:val="Compact"/>
              <w:jc w:val="left"/>
            </w:pPr>
            <w:r>
              <w:rPr>
                <w:iCs/>
                <w:i/>
              </w:rPr>
              <w:t xml:space="preserve">Journal of Second Language Writing</w:t>
            </w:r>
            <w:r>
              <w:t xml:space="preserve">;</w:t>
            </w:r>
            <w:r>
              <w:t xml:space="preserve"> </w:t>
            </w:r>
            <w:r>
              <w:rPr>
                <w:iCs/>
                <w:i/>
              </w:rPr>
              <w:t xml:space="preserve">TESOL Quarterly</w:t>
            </w:r>
          </w:p>
        </w:tc>
      </w:tr>
    </w:tbl>
    <w:p>
      <w:pPr>
        <w:pStyle w:val="BodyText"/>
      </w:pPr>
      <w:r>
        <w:t xml:space="preserve">Protocol materials (evidence-record template, coding manual, prompt template) deposited on OSF. Passages, rubric and keys embargoed until AI scoring is complete.</w:t>
      </w:r>
    </w:p>
    <w:p>
      <w:r>
        <w:pict>
          <v:rect style="width:0;height:1.5pt" o:hralign="center" o:hrstd="t" o:hr="t"/>
        </w:pict>
      </w:r>
    </w:p>
    <w:bookmarkEnd w:id="34"/>
    <w:bookmarkStart w:id="35" w:name="significance-and-expected-contribution"/>
    <w:p>
      <w:pPr>
        <w:pStyle w:val="Heading2"/>
      </w:pPr>
      <w:r>
        <w:t xml:space="preserve">7. Significance and Expected Contribution</w:t>
      </w:r>
    </w:p>
    <w:p>
      <w:pPr>
        <w:numPr>
          <w:ilvl w:val="0"/>
          <w:numId w:val="1002"/>
        </w:numPr>
        <w:pStyle w:val="Compact"/>
      </w:pPr>
      <w:r>
        <w:rPr>
          <w:bCs/>
          <w:b/>
        </w:rPr>
        <w:t xml:space="preserve">Empirical evidence</w:t>
      </w:r>
      <w:r>
        <w:t xml:space="preserve"> </w:t>
      </w:r>
      <w:r>
        <w:t xml:space="preserve">on consumer AI scoring consistency and agreement for an IGCSE task under ecological conditions, across two passages, for a multilingual population (Kurdish–Arabic–English adolescents) absent from the literature.</w:t>
      </w:r>
    </w:p>
    <w:p>
      <w:pPr>
        <w:numPr>
          <w:ilvl w:val="0"/>
          <w:numId w:val="1002"/>
        </w:numPr>
        <w:pStyle w:val="Compact"/>
      </w:pPr>
      <w:r>
        <w:rPr>
          <w:bCs/>
          <w:b/>
        </w:rPr>
        <w:t xml:space="preserve">Conceptual extension</w:t>
      </w:r>
      <w:r>
        <w:t xml:space="preserve"> </w:t>
      </w:r>
      <w:r>
        <w:t xml:space="preserve">of argument-based validation (Kane, 2013) to consumer AI scoring, with construct representation as a separate inference evidenced through criterion-level rationale checks. The reading–writing criterion-separation analysis contributes evidence on whether AI scoring confuses reading and writing constructs.</w:t>
      </w:r>
    </w:p>
    <w:p>
      <w:pPr>
        <w:numPr>
          <w:ilvl w:val="0"/>
          <w:numId w:val="1002"/>
        </w:numPr>
        <w:pStyle w:val="Compact"/>
      </w:pPr>
      <w:r>
        <w:rPr>
          <w:bCs/>
          <w:b/>
        </w:rPr>
        <w:t xml:space="preserve">A reusable protocol</w:t>
      </w:r>
      <w:r>
        <w:t xml:space="preserve"> </w:t>
      </w:r>
      <w:r>
        <w:t xml:space="preserve">for auditing AI scoring justifications—claim segmentation, separate evidential and criterion-appropriateness judgements, independent dual coding with reported agreement—documented for adaptation to other rubric-based tasks and future model versions.</w:t>
      </w:r>
    </w:p>
    <w:p>
      <w:pPr>
        <w:numPr>
          <w:ilvl w:val="0"/>
          <w:numId w:val="1002"/>
        </w:numPr>
        <w:pStyle w:val="Compact"/>
      </w:pPr>
      <w:r>
        <w:rPr>
          <w:bCs/>
          <w:b/>
        </w:rPr>
        <w:t xml:space="preserve">Practical evidence</w:t>
      </w:r>
      <w:r>
        <w:t xml:space="preserve"> </w:t>
      </w:r>
      <w:r>
        <w:t xml:space="preserve">to inform further evaluation of consumer AI tools as second markers for this task. The scoring correction gap—the criterion-level AI-minus-human difference described by both its magnitude and the evidence-checked reasons—gives teachers information beyond aggregate agreement statistics.</w:t>
      </w:r>
    </w:p>
    <w:p>
      <w:r>
        <w:pict>
          <v:rect style="width:0;height:1.5pt" o:hralign="center" o:hrstd="t" o:hr="t"/>
        </w:pict>
      </w:r>
    </w:p>
    <w:bookmarkEnd w:id="35"/>
    <w:bookmarkStart w:id="36" w:name="key-limitations"/>
    <w:p>
      <w:pPr>
        <w:pStyle w:val="Heading2"/>
      </w:pPr>
      <w:r>
        <w:t xml:space="preserve">8. Key Limitations</w:t>
      </w:r>
    </w:p>
    <w:tbl>
      <w:tblPr>
        <w:tblStyle w:val="Table"/>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firstRow="1" w:lastRow="0" w:firstColumn="0" w:lastColumn="0" w:noHBand="0" w:noVBand="0" w:val="0020"/>
        <w:jc w:val="start"/>
      </w:tblPr>
      <w:tblGrid>
        <w:gridCol w:w="3960"/>
        <w:gridCol w:w="3960"/>
      </w:tblGrid>
      <w:tr>
        <w:trPr>
          <w:tblHeader w:val="true"/>
        </w:trPr>
        <w:tc>
          <w:tcPr/>
          <w:p>
            <w:pPr>
              <w:pStyle w:val="Compact"/>
              <w:jc w:val="left"/>
            </w:pPr>
            <w:r>
              <w:t xml:space="preserve">Limitation</w:t>
            </w:r>
          </w:p>
        </w:tc>
        <w:tc>
          <w:tcPr/>
          <w:p>
            <w:pPr>
              <w:pStyle w:val="Compact"/>
              <w:jc w:val="left"/>
            </w:pPr>
            <w:r>
              <w:t xml:space="preserve">Mitigation</w:t>
            </w:r>
          </w:p>
        </w:tc>
      </w:tr>
      <w:tr>
        <w:tc>
          <w:tcPr/>
          <w:p>
            <w:pPr>
              <w:pStyle w:val="Compact"/>
              <w:jc w:val="left"/>
            </w:pPr>
            <w:r>
              <w:t xml:space="preserve">Teacher–researcher–rater overlap</w:t>
            </w:r>
          </w:p>
        </w:tc>
        <w:tc>
          <w:tcPr/>
          <w:p>
            <w:pPr>
              <w:pStyle w:val="Compact"/>
              <w:jc w:val="left"/>
            </w:pPr>
            <w:r>
              <w:t xml:space="preserve">Independent second rater; external anonymisation; blind, locked marking; four-week delay</w:t>
            </w:r>
          </w:p>
        </w:tc>
      </w:tr>
      <w:tr>
        <w:tc>
          <w:tcPr/>
          <w:p>
            <w:pPr>
              <w:pStyle w:val="Compact"/>
              <w:jc w:val="left"/>
            </w:pPr>
            <w:r>
              <w:t xml:space="preserve">One school, one task</w:t>
            </w:r>
          </w:p>
        </w:tc>
        <w:tc>
          <w:tcPr/>
          <w:p>
            <w:pPr>
              <w:pStyle w:val="Compact"/>
              <w:jc w:val="left"/>
            </w:pPr>
            <w:r>
              <w:t xml:space="preserve">Controlled design; passage effects estimated; claims bounded to this context</w:t>
            </w:r>
          </w:p>
        </w:tc>
      </w:tr>
      <w:tr>
        <w:tc>
          <w:tcPr/>
          <w:p>
            <w:pPr>
              <w:pStyle w:val="Compact"/>
              <w:jc w:val="left"/>
            </w:pPr>
            <w:r>
              <w:t xml:space="preserve">Two researcher-written passages</w:t>
            </w:r>
          </w:p>
        </w:tc>
        <w:tc>
          <w:tcPr/>
          <w:p>
            <w:pPr>
              <w:pStyle w:val="Compact"/>
              <w:jc w:val="left"/>
            </w:pPr>
            <w:r>
              <w:t xml:space="preserve">Structured authenticity check by independent IGCSE colleagues</w:t>
            </w:r>
          </w:p>
        </w:tc>
      </w:tr>
      <w:tr>
        <w:tc>
          <w:tcPr/>
          <w:p>
            <w:pPr>
              <w:pStyle w:val="Compact"/>
              <w:jc w:val="left"/>
            </w:pPr>
            <w:r>
              <w:t xml:space="preserve">130–160 scripts</w:t>
            </w:r>
          </w:p>
        </w:tc>
        <w:tc>
          <w:tcPr/>
          <w:p>
            <w:pPr>
              <w:pStyle w:val="Compact"/>
              <w:jc w:val="left"/>
            </w:pPr>
            <w:r>
              <w:t xml:space="preserve">Bootstrapped CIs; precision discussed in preregistration</w:t>
            </w:r>
          </w:p>
        </w:tc>
      </w:tr>
      <w:tr>
        <w:tc>
          <w:tcPr/>
          <w:p>
            <w:pPr>
              <w:pStyle w:val="Compact"/>
              <w:jc w:val="left"/>
            </w:pPr>
            <w:r>
              <w:t xml:space="preserve">Three passes only</w:t>
            </w:r>
          </w:p>
        </w:tc>
        <w:tc>
          <w:tcPr/>
          <w:p>
            <w:pPr>
              <w:pStyle w:val="Compact"/>
              <w:jc w:val="left"/>
            </w:pPr>
            <w:r>
              <w:t xml:space="preserve">Acknowledged; exceeding practical constraints not feasible</w:t>
            </w:r>
          </w:p>
        </w:tc>
      </w:tr>
      <w:tr>
        <w:tc>
          <w:tcPr/>
          <w:p>
            <w:pPr>
              <w:pStyle w:val="Compact"/>
              <w:jc w:val="left"/>
            </w:pPr>
            <w:r>
              <w:t xml:space="preserve">No language-background comparison group</w:t>
            </w:r>
          </w:p>
        </w:tc>
        <w:tc>
          <w:tcPr/>
          <w:p>
            <w:pPr>
              <w:pStyle w:val="Compact"/>
              <w:jc w:val="left"/>
            </w:pPr>
            <w:r>
              <w:t xml:space="preserve">Describes treatment within multilingual sample; cannot attribute to language</w:t>
            </w:r>
          </w:p>
        </w:tc>
      </w:tr>
      <w:tr>
        <w:tc>
          <w:tcPr/>
          <w:p>
            <w:pPr>
              <w:pStyle w:val="Compact"/>
              <w:jc w:val="left"/>
            </w:pPr>
            <w:r>
              <w:t xml:space="preserve">Content analysis: 8 scripts</w:t>
            </w:r>
          </w:p>
        </w:tc>
        <w:tc>
          <w:tcPr/>
          <w:p>
            <w:pPr>
              <w:pStyle w:val="Compact"/>
              <w:jc w:val="left"/>
            </w:pPr>
            <w:r>
              <w:t xml:space="preserve">Prespecified selection rule; dual coded; illustrative, not prevalence</w:t>
            </w:r>
          </w:p>
        </w:tc>
      </w:tr>
      <w:tr>
        <w:tc>
          <w:tcPr/>
          <w:p>
            <w:pPr>
              <w:pStyle w:val="Compact"/>
              <w:jc w:val="left"/>
            </w:pPr>
            <w:r>
              <w:t xml:space="preserve">Two tools; single scoring wave</w:t>
            </w:r>
          </w:p>
        </w:tc>
        <w:tc>
          <w:tcPr/>
          <w:p>
            <w:pPr>
              <w:pStyle w:val="Compact"/>
              <w:jc w:val="left"/>
            </w:pPr>
            <w:r>
              <w:t xml:space="preserve">Claims bounded to tools studied; temporal drift left for future research</w:t>
            </w:r>
          </w:p>
        </w:tc>
      </w:tr>
    </w:tbl>
    <w:p>
      <w:r>
        <w:pict>
          <v:rect style="width:0;height:1.5pt" o:hralign="center" o:hrstd="t" o:hr="t"/>
        </w:pict>
      </w:r>
    </w:p>
    <w:bookmarkEnd w:id="36"/>
    <w:bookmarkStart w:id="37" w:name="selected-references"/>
    <w:p>
      <w:pPr>
        <w:pStyle w:val="Heading2"/>
      </w:pPr>
      <w:r>
        <w:t xml:space="preserve">Selected References</w:t>
      </w:r>
    </w:p>
    <w:p>
      <w:pPr>
        <w:pStyle w:val="FirstParagraph"/>
      </w:pPr>
      <w:r>
        <w:t xml:space="preserve">American Educational Research Association et al. (2014).</w:t>
      </w:r>
      <w:r>
        <w:t xml:space="preserve"> </w:t>
      </w:r>
      <w:r>
        <w:rPr>
          <w:iCs/>
          <w:i/>
        </w:rPr>
        <w:t xml:space="preserve">Standards for educational and psychological testing</w:t>
      </w:r>
      <w:r>
        <w:t xml:space="preserve">. AERA.</w:t>
      </w:r>
    </w:p>
    <w:p>
      <w:pPr>
        <w:pStyle w:val="BodyText"/>
      </w:pPr>
      <w:r>
        <w:t xml:space="preserve">Anthropic. (2025). Anthropic Education Report: How educators use Claude.</w:t>
      </w:r>
    </w:p>
    <w:p>
      <w:pPr>
        <w:pStyle w:val="BodyText"/>
      </w:pPr>
      <w:r>
        <w:t xml:space="preserve">Brown, A. L., &amp; Day, J. D. (1983). Macrorules for summarizing texts.</w:t>
      </w:r>
      <w:r>
        <w:t xml:space="preserve"> </w:t>
      </w:r>
      <w:r>
        <w:rPr>
          <w:iCs/>
          <w:i/>
        </w:rPr>
        <w:t xml:space="preserve">Journal of Verbal Learning and Verbal Behavior, 22</w:t>
      </w:r>
      <w:r>
        <w:t xml:space="preserve">(1), 1–14.</w:t>
      </w:r>
    </w:p>
    <w:p>
      <w:pPr>
        <w:pStyle w:val="BodyText"/>
      </w:pPr>
      <w:r>
        <w:t xml:space="preserve">Bui, N. M., &amp; Barrot, J. S. (2025). ChatGPT as an automated essay scoring tool.</w:t>
      </w:r>
      <w:r>
        <w:t xml:space="preserve"> </w:t>
      </w:r>
      <w:r>
        <w:rPr>
          <w:iCs/>
          <w:i/>
        </w:rPr>
        <w:t xml:space="preserve">Education and Information Technologies, 30</w:t>
      </w:r>
      <w:r>
        <w:t xml:space="preserve">(2), 2041–2058.</w:t>
      </w:r>
    </w:p>
    <w:p>
      <w:pPr>
        <w:pStyle w:val="BodyText"/>
      </w:pPr>
      <w:r>
        <w:t xml:space="preserve">Cambridge International Education. (2024c).</w:t>
      </w:r>
      <w:r>
        <w:t xml:space="preserve"> </w:t>
      </w:r>
      <w:r>
        <w:rPr>
          <w:iCs/>
          <w:i/>
        </w:rPr>
        <w:t xml:space="preserve">IGCSE First Language English 0500: Syllabus 2027–2029</w:t>
      </w:r>
      <w:r>
        <w:t xml:space="preserve">. Cambridge.</w:t>
      </w:r>
    </w:p>
    <w:p>
      <w:pPr>
        <w:pStyle w:val="BodyText"/>
      </w:pPr>
      <w:r>
        <w:t xml:space="preserve">Chen, L., Zaharia, M., &amp; Zou, J. (2024). How is ChatGPT’s behavior changing over time?</w:t>
      </w:r>
      <w:r>
        <w:t xml:space="preserve"> </w:t>
      </w:r>
      <w:r>
        <w:rPr>
          <w:iCs/>
          <w:i/>
        </w:rPr>
        <w:t xml:space="preserve">Harvard Data Science Review, 6</w:t>
      </w:r>
      <w:r>
        <w:t xml:space="preserve">(2).</w:t>
      </w:r>
    </w:p>
    <w:p>
      <w:pPr>
        <w:pStyle w:val="BodyText"/>
      </w:pPr>
      <w:r>
        <w:t xml:space="preserve">Choi, J., Tate, T. P., &amp; Warschauer, M. (2026). Anchor is the key.</w:t>
      </w:r>
      <w:r>
        <w:t xml:space="preserve"> </w:t>
      </w:r>
      <w:r>
        <w:rPr>
          <w:iCs/>
          <w:i/>
        </w:rPr>
        <w:t xml:space="preserve">Assessing Writing, 69</w:t>
      </w:r>
      <w:r>
        <w:t xml:space="preserve">, Article 101053.</w:t>
      </w:r>
    </w:p>
    <w:p>
      <w:pPr>
        <w:pStyle w:val="BodyText"/>
      </w:pPr>
      <w:r>
        <w:t xml:space="preserve">Clauser, B. E., Kane, M. T., &amp; Swanson, D. B. (2002). Validity issues for performance-based tests.</w:t>
      </w:r>
      <w:r>
        <w:t xml:space="preserve"> </w:t>
      </w:r>
      <w:r>
        <w:rPr>
          <w:iCs/>
          <w:i/>
        </w:rPr>
        <w:t xml:space="preserve">Applied Measurement in Education, 15</w:t>
      </w:r>
      <w:r>
        <w:t xml:space="preserve">(4), 413–432.</w:t>
      </w:r>
    </w:p>
    <w:p>
      <w:pPr>
        <w:pStyle w:val="BodyText"/>
      </w:pPr>
      <w:r>
        <w:t xml:space="preserve">Cumming, A. (2013). Assessing integrated writing tasks.</w:t>
      </w:r>
      <w:r>
        <w:t xml:space="preserve"> </w:t>
      </w:r>
      <w:r>
        <w:rPr>
          <w:iCs/>
          <w:i/>
        </w:rPr>
        <w:t xml:space="preserve">Language Assessment Quarterly, 10</w:t>
      </w:r>
      <w:r>
        <w:t xml:space="preserve">(1), 1–8.</w:t>
      </w:r>
    </w:p>
    <w:p>
      <w:pPr>
        <w:pStyle w:val="BodyText"/>
      </w:pPr>
      <w:r>
        <w:t xml:space="preserve">Gallup &amp; Walton Family Foundation. (2025). Teaching for tomorrow. Gallup.</w:t>
      </w:r>
    </w:p>
    <w:p>
      <w:pPr>
        <w:pStyle w:val="BodyText"/>
      </w:pPr>
      <w:r>
        <w:t xml:space="preserve">Jiao, H., Song, D., &amp; Lee, W.-C. (2025). Comparing human and AI rater effects using MFRM. arXiv:2505.18486.</w:t>
      </w:r>
    </w:p>
    <w:p>
      <w:pPr>
        <w:pStyle w:val="BodyText"/>
      </w:pPr>
      <w:r>
        <w:t xml:space="preserve">Jin, R., et al. (2025). Evaluating ChatGPT and Claude in automated writing scoring.</w:t>
      </w:r>
      <w:r>
        <w:t xml:space="preserve"> </w:t>
      </w:r>
      <w:r>
        <w:rPr>
          <w:iCs/>
          <w:i/>
        </w:rPr>
        <w:t xml:space="preserve">Education and Information Technologies, 30</w:t>
      </w:r>
      <w:r>
        <w:t xml:space="preserve">(18), 25881–25908.</w:t>
      </w:r>
    </w:p>
    <w:p>
      <w:pPr>
        <w:pStyle w:val="BodyText"/>
      </w:pPr>
      <w:r>
        <w:t xml:space="preserve">Johns, A. M., &amp; Mayes, P. (1990). An analysis of summary protocols.</w:t>
      </w:r>
      <w:r>
        <w:t xml:space="preserve"> </w:t>
      </w:r>
      <w:r>
        <w:rPr>
          <w:iCs/>
          <w:i/>
        </w:rPr>
        <w:t xml:space="preserve">Applied Linguistics, 11</w:t>
      </w:r>
      <w:r>
        <w:t xml:space="preserve">(3), 253–271.</w:t>
      </w:r>
    </w:p>
    <w:p>
      <w:pPr>
        <w:pStyle w:val="BodyText"/>
      </w:pPr>
      <w:r>
        <w:t xml:space="preserve">Kane, M. T. (2013). Validating test score interpretations.</w:t>
      </w:r>
      <w:r>
        <w:t xml:space="preserve"> </w:t>
      </w:r>
      <w:r>
        <w:rPr>
          <w:iCs/>
          <w:i/>
        </w:rPr>
        <w:t xml:space="preserve">Journal of Educational Measurement, 50</w:t>
      </w:r>
      <w:r>
        <w:t xml:space="preserve">(1), 1–73.</w:t>
      </w:r>
    </w:p>
    <w:p>
      <w:pPr>
        <w:pStyle w:val="BodyText"/>
      </w:pPr>
      <w:r>
        <w:t xml:space="preserve">Keck, C. (2006). The use of paraphrase in summary writing.</w:t>
      </w:r>
      <w:r>
        <w:t xml:space="preserve"> </w:t>
      </w:r>
      <w:r>
        <w:rPr>
          <w:iCs/>
          <w:i/>
        </w:rPr>
        <w:t xml:space="preserve">Journal of Second Language Writing, 15</w:t>
      </w:r>
      <w:r>
        <w:t xml:space="preserve">(4), 261–278.</w:t>
      </w:r>
    </w:p>
    <w:p>
      <w:pPr>
        <w:pStyle w:val="BodyText"/>
      </w:pPr>
      <w:r>
        <w:t xml:space="preserve">Keck, C. (2014). Copying, paraphrasing, and academic writing development.</w:t>
      </w:r>
      <w:r>
        <w:t xml:space="preserve"> </w:t>
      </w:r>
      <w:r>
        <w:rPr>
          <w:iCs/>
          <w:i/>
        </w:rPr>
        <w:t xml:space="preserve">Journal of Second Language Writing, 25</w:t>
      </w:r>
      <w:r>
        <w:t xml:space="preserve">, 4–22.</w:t>
      </w:r>
    </w:p>
    <w:p>
      <w:pPr>
        <w:pStyle w:val="BodyText"/>
      </w:pPr>
      <w:r>
        <w:t xml:space="preserve">Kintsch, W., &amp; van Dijk, T. A. (1978). Toward a model of text comprehension.</w:t>
      </w:r>
      <w:r>
        <w:t xml:space="preserve"> </w:t>
      </w:r>
      <w:r>
        <w:rPr>
          <w:iCs/>
          <w:i/>
        </w:rPr>
        <w:t xml:space="preserve">Psychological Review, 85</w:t>
      </w:r>
      <w:r>
        <w:t xml:space="preserve">(5), 363–394.</w:t>
      </w:r>
    </w:p>
    <w:p>
      <w:pPr>
        <w:pStyle w:val="BodyText"/>
      </w:pPr>
      <w:r>
        <w:t xml:space="preserve">Koo, T. K., &amp; Li, M. Y. (2016). A guideline of selecting and reporting ICC.</w:t>
      </w:r>
      <w:r>
        <w:t xml:space="preserve"> </w:t>
      </w:r>
      <w:r>
        <w:rPr>
          <w:iCs/>
          <w:i/>
        </w:rPr>
        <w:t xml:space="preserve">Journal of Chiropractic Medicine, 15</w:t>
      </w:r>
      <w:r>
        <w:t xml:space="preserve">(2), 155–163.</w:t>
      </w:r>
    </w:p>
    <w:p>
      <w:pPr>
        <w:pStyle w:val="BodyText"/>
      </w:pPr>
      <w:r>
        <w:t xml:space="preserve">Liu, T., Ye, L., &amp; Yan, W. (2026). Evaluation of LLMs in essay assessment.</w:t>
      </w:r>
      <w:r>
        <w:t xml:space="preserve"> </w:t>
      </w:r>
      <w:r>
        <w:rPr>
          <w:iCs/>
          <w:i/>
        </w:rPr>
        <w:t xml:space="preserve">Computers and Education: AI, 10</w:t>
      </w:r>
      <w:r>
        <w:t xml:space="preserve">, Article 100565.</w:t>
      </w:r>
    </w:p>
    <w:p>
      <w:pPr>
        <w:pStyle w:val="BodyText"/>
      </w:pPr>
      <w:r>
        <w:t xml:space="preserve">Messick, S. (1989). Validity. In R. L. Linn (Ed.),</w:t>
      </w:r>
      <w:r>
        <w:t xml:space="preserve"> </w:t>
      </w:r>
      <w:r>
        <w:rPr>
          <w:iCs/>
          <w:i/>
        </w:rPr>
        <w:t xml:space="preserve">Educational measurement</w:t>
      </w:r>
      <w:r>
        <w:t xml:space="preserve"> </w:t>
      </w:r>
      <w:r>
        <w:t xml:space="preserve">(3rd ed., pp. 13–103).</w:t>
      </w:r>
    </w:p>
    <w:p>
      <w:pPr>
        <w:pStyle w:val="BodyText"/>
      </w:pPr>
      <w:r>
        <w:t xml:space="preserve">Mizumoto, A., &amp; Eguchi, M. (2023). Exploring the potential of AI for automated essay scoring.</w:t>
      </w:r>
      <w:r>
        <w:t xml:space="preserve"> </w:t>
      </w:r>
      <w:r>
        <w:rPr>
          <w:iCs/>
          <w:i/>
        </w:rPr>
        <w:t xml:space="preserve">Research Methods in Applied Linguistics, 2</w:t>
      </w:r>
      <w:r>
        <w:t xml:space="preserve">(2), Article 100050.</w:t>
      </w:r>
    </w:p>
    <w:p>
      <w:pPr>
        <w:pStyle w:val="BodyText"/>
      </w:pPr>
      <w:r>
        <w:t xml:space="preserve">Pack, A., Barrett, A., &amp; Escalante, J. (2024). Large language models and automated essay scoring.</w:t>
      </w:r>
      <w:r>
        <w:t xml:space="preserve"> </w:t>
      </w:r>
      <w:r>
        <w:rPr>
          <w:iCs/>
          <w:i/>
        </w:rPr>
        <w:t xml:space="preserve">Computers and Education: AI, 6</w:t>
      </w:r>
      <w:r>
        <w:t xml:space="preserve">, Article 100234.</w:t>
      </w:r>
    </w:p>
    <w:p>
      <w:pPr>
        <w:pStyle w:val="BodyText"/>
      </w:pPr>
      <w:r>
        <w:t xml:space="preserve">Sawaki, Y., et al. (2025). Instructor versus LLM ratings on summary content.</w:t>
      </w:r>
      <w:r>
        <w:t xml:space="preserve"> </w:t>
      </w:r>
      <w:r>
        <w:rPr>
          <w:iCs/>
          <w:i/>
        </w:rPr>
        <w:t xml:space="preserve">Language Testing, 42</w:t>
      </w:r>
      <w:r>
        <w:t xml:space="preserve">(4), 447–475.</w:t>
      </w:r>
    </w:p>
    <w:p>
      <w:pPr>
        <w:pStyle w:val="BodyText"/>
      </w:pPr>
      <w:r>
        <w:t xml:space="preserve">Sclar, M., et al. (2024). Quantifying LMs’ sensitivity to spurious features.</w:t>
      </w:r>
      <w:r>
        <w:t xml:space="preserve"> </w:t>
      </w:r>
      <w:r>
        <w:rPr>
          <w:iCs/>
          <w:i/>
        </w:rPr>
        <w:t xml:space="preserve">ICLR 2024</w:t>
      </w:r>
      <w:r>
        <w:t xml:space="preserve">.</w:t>
      </w:r>
    </w:p>
    <w:p>
      <w:pPr>
        <w:pStyle w:val="BodyText"/>
      </w:pPr>
      <w:r>
        <w:t xml:space="preserve">Tate, T. P., et al. (2024). Can AI provide useful holistic essay scoring?</w:t>
      </w:r>
      <w:r>
        <w:t xml:space="preserve"> </w:t>
      </w:r>
      <w:r>
        <w:rPr>
          <w:iCs/>
          <w:i/>
        </w:rPr>
        <w:t xml:space="preserve">Computers and Education: AI, 7</w:t>
      </w:r>
      <w:r>
        <w:t xml:space="preserve">, Article 100255.</w:t>
      </w:r>
    </w:p>
    <w:p>
      <w:pPr>
        <w:pStyle w:val="BodyText"/>
      </w:pPr>
      <w:r>
        <w:t xml:space="preserve">Williamson, D. M., Xi, X., &amp; Breyer, F. J. (2012). Evaluation and use of automated scoring.</w:t>
      </w:r>
      <w:r>
        <w:t xml:space="preserve"> </w:t>
      </w:r>
      <w:r>
        <w:rPr>
          <w:iCs/>
          <w:i/>
        </w:rPr>
        <w:t xml:space="preserve">Educational Measurement: Issues and Practice, 31</w:t>
      </w:r>
      <w:r>
        <w:t xml:space="preserve">(1), 2–13.</w:t>
      </w:r>
    </w:p>
    <w:p>
      <w:pPr>
        <w:pStyle w:val="BodyText"/>
      </w:pPr>
      <w:r>
        <w:t xml:space="preserve">Wu, H.-N., Chu, M.-N., &amp; Hsu, J.-L. (2026). Comparing GPT and human raters.</w:t>
      </w:r>
      <w:r>
        <w:t xml:space="preserve"> </w:t>
      </w:r>
      <w:r>
        <w:rPr>
          <w:iCs/>
          <w:i/>
        </w:rPr>
        <w:t xml:space="preserve">Computers and Education Open, 10</w:t>
      </w:r>
      <w:r>
        <w:t xml:space="preserve">, Article 100341.</w:t>
      </w:r>
    </w:p>
    <w:p>
      <w:pPr>
        <w:pStyle w:val="BodyText"/>
      </w:pPr>
      <w:r>
        <w:t xml:space="preserve">Xi, X. (2010). Automated scoring and feedback systems.</w:t>
      </w:r>
      <w:r>
        <w:t xml:space="preserve"> </w:t>
      </w:r>
      <w:r>
        <w:rPr>
          <w:iCs/>
          <w:i/>
        </w:rPr>
        <w:t xml:space="preserve">Language Testing, 27</w:t>
      </w:r>
      <w:r>
        <w:t xml:space="preserve">(3), 291–300.</w:t>
      </w:r>
    </w:p>
    <w:p>
      <w:pPr>
        <w:pStyle w:val="BodyText"/>
      </w:pPr>
      <w:r>
        <w:t xml:space="preserve">Yun, B., et al. (2026). Modeling the reading-to-writing pipeline.</w:t>
      </w:r>
      <w:r>
        <w:t xml:space="preserve"> </w:t>
      </w:r>
      <w:r>
        <w:rPr>
          <w:iCs/>
          <w:i/>
        </w:rPr>
        <w:t xml:space="preserve">Assessing Writing, 70</w:t>
      </w:r>
      <w:r>
        <w:t xml:space="preserve">, Article 101098.</w:t>
      </w:r>
    </w:p>
    <w:bookmarkEnd w:id="37"/>
    <w:bookmarkEnd w:id="38"/>
    <w:sectPr>
      <w:footerReference w:type="default" r:id="rIdPgFt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Pg.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en-US" w:val="en-US"/>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000000"/>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PgFtr" Type="http://schemas.openxmlformats.org/officeDocument/2006/relationships/footer" Target="footerPg.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2026-10-11T16:58:14Z</dcterms:created>
  <dcterms:modified xsi:type="dcterms:W3CDTF">2026-10-11T16:58:14Z</dcterms:modified>
</cp:coreProperties>
</file>

<file path=docProps/custom.xml><?xml version="1.0" encoding="utf-8"?>
<Properties xmlns="http://schemas.openxmlformats.org/officeDocument/2006/custom-properties" xmlns:vt="http://schemas.openxmlformats.org/officeDocument/2006/docPropsVTypes"/>
</file>