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applications such as ChatGPT and Claude and ask for a mark. Under these conditions the user cannot control sampling or reliably detect changes to the underlying model, so for a task, population and mode of use like those studied here, it is not known how consistently the same script is marked, where AI marks diverge from human judgement, or whether the justifications the tools give respect what the task is designed to measure.</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marked separately for reading (10 marks) and writing (5 marks). Students in four IGCSE classes at a school in Erbil, Kurdistan Region of Iraq (expected n = 65–80), who use Kurdish and/or Arabic at home, will each summarise two original passages, yielding 130–160 scripts. Two experienced raters will mark the typed, anonymised scripts independently and blind. Each script will then be scored three times through paid consumer subscriptions to ChatGPT and Claude, in separate sessions within a ten-working-day window.</w:t>
      </w:r>
    </w:p>
    <w:p>
      <w:pPr>
        <w:spacing w:after="120" w:line="360"/>
        <w:jc w:val="both"/>
      </w:pPr>
      <w:r>
        <w:rPr>
          <w:rFonts w:ascii="Times New Roman" w:cs="Times New Roman" w:eastAsia="Times New Roman" w:hAnsi="Times New Roman"/>
          <w:sz w:val="24"/>
          <w:szCs w:val="24"/>
        </w:rPr>
        <w:t xml:space="preserve">Analyses combine pass-to-pass consistency, single-run agreement statistics (quadratic weighted kappa, intraclass correlations) and a mixed model of tool, passage and pass effects. The criterion-level difference between AI and human marks—organised under the label scoring correction gap—is examined further through a focused, dual-coded analysis of the AI rationales for 8 scripts selected to cover both passages, both criteria, both directions of disagreement and close-agreement cases. Each rationale claim is checked against the source passage, the student’s summary and the rubric, to examine whether the tools award plausible marks for reasons the rubric does not support—for example, crediting fluent prose with reading marks that the content does not justify. The study provides evidence to inform further evaluation of AI as a second marker for this task; it does not establish operational thresholds for teacher use.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For this task, this population and this mode of use, it is not known how consistently the same script is marked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but not, to the author’s knowledge, together for an adolescent source-based task with separate reading and writing marks, scored under consumer-subscription access, with AI justifications checked claim by claim against the source passage, the student text and the rubric.</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evidence to inform the further evaluation of a discrepancy-review workflow in which a teacher uses a consumer AI tool as a second marker for IGCSE summary writing, and to examine where AI scoring diverges from human judgement and what justifications the tools provide, in a multilingual sample.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selected high-divergence and close-agreement cases to examine what justifications the tools provide and how well those justifications accord with the available textual evidence, with attention to source fidelity, construct-irrelevant features, and the treatment of non-standard but meaningful phrasing in this multilingual sample.</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descriptive evidence that can inform further evaluation of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keepNext w:val="false"/>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descriptive evidence that can inform further evaluation of such a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how the tools treat non-standard but meaningful phrasing will address a concern relevant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The user cannot set sampling parameters, pin the version behind a model name or reliably see model changes; the model name and reasoning mode are therefore logged for every submission. This is a methodological choice motivated by the intended use context: it reproduces the conditions under which teachers typically use these tools.</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does not test the workflow with teachers or specify when a teacher should trust an AI mark; that requires further research.</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keepNext w:val="false"/>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keepNext w:val="false"/>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Jiao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Jin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Sawaki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Liu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Wu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Present study</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To be established</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measure—for instance, crediting fluent but unfaithful summaries with reading marks.</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extending Sawaki et al.’s (2025) analytical approach and documented so that other researchers can reuse it.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lasting value lies in showing when score agreement provides misleading reassurance and how criterion-level problems can be identified. The scoring correction gap is an organising label for this analysis; the numerical AI–human difference is an established comparison, and any originality lies in the criterion-level, evidence-checked analysis attached to it.</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keepNext w:val="false"/>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stability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Passage effects (RQ1,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Decision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Synthesis (RQ1–RQ3)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Scoring is scheduled for the school winter break (December 2028 to January 2029), when about two weeks are free of teaching; human marks are locked well before this. The pilot (Section 3.6) will be used to judge whether completing all three passes within the winter break is realistic. All three main passes must be completed within a single bounded window, so that short-term repeatability is not mixed with changes in the AI service over several months. If winter scoring is substantially interrupted, the winter submissions will be treated as preliminary and excluded from the main analysis, and all three main passes will be conducted afresh within the following Newroz break (March 2029) as an alternative window; the switch will be reported.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Total</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a usable rationale (at least one claim about the summary);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before any rationale is read. For each selected script, one rationale per tool is analysed—the Pass 1 rubric-embedded response—yielding 16 rationale texts (8 scripts × 2 tools),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“clear and fluent” offered alongside a reading mark); and ambiguous (the evidence allows more than one defensible reading). A rationale that omits content evidence is not, on that ground alone, treated as evidence of mis-scoring: a short explanation may accompany a defensible mark. Contradicted claims are coded under the relevant evidence-error category; for example, crediting a content point the student omitted is a source-fidelity error. Construct confusion is reserved for demonstrable misuse of one criterion to justify the other criterion’s mark—for example, citing fluency as the reason for reading credit.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keepNext w:val="false"/>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and dual-coded thematic coding with inter-coder agreement, with attention to source fidelity, construct-irrelevant features, construct confusion (reading vs. writing) and non-standard but meaningful phrasing</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Synthesis</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Sep–Dec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Submit ethics application in the first weeks of candidature (approval required before the January pilot); finalise both study passages, rubrics and reading keys; colleague review; structured passage-authenticity check and criterion-mapping review; obtain KRG permission if needed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Feb–May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 (Apr–May)</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Jun–Nov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Summer supervision visit (Penang); refine literature review; prepare and test analysis scripts on pilot data</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Dec 2028 – Jan 2029 (winter break)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AI scoring (both tools interleaved on the same days; three passes per tool within ten working days); anchor checks; apply model-change decision rule if applicable. Newroz 2029 break (March) reserved as an alternative window for the entire scoring exercise if winter scoring is substantially interrupted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Jan–Aug 2029</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Analysis; dual-coded content analysis of selected rationales; Papers 1–2 drafted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 2029 – Aug 2031</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Thesis writing; optional third paper if data warrant</w:t>
            </w:r>
          </w:p>
        </w:tc>
      </w:tr>
    </w:tbl>
    <w:p>
      <w:pPr>
        <w:pStyle w:val="Heading2"/>
        <w:keepNext/>
        <w:spacing w:after="120" w:before="240" w:line="360"/>
      </w:pPr>
      <w:r>
        <w:rPr>
          <w:rFonts w:ascii="Times New Roman" w:cs="Times New Roman" w:eastAsia="Times New Roman" w:hAnsi="Times New Roman"/>
          <w:b/>
          <w:bCs/>
          <w:sz w:val="28"/>
          <w:szCs w:val="28"/>
        </w:rPr>
        <w:t xml:space="preserve">4.2 Planned outputs</w:t>
      </w:r>
    </w:p>
    <w:p>
      <w:pPr>
        <w:keepNext/>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keepNext/>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keepNext/>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1</w:t>
            </w:r>
          </w:p>
        </w:tc>
        <w:tc>
          <w:tcPr>
            <w:tcW w:type="dxa" w:w="3600"/>
            <w:vAlign w:val="center"/>
          </w:tcPr>
          <w:p>
            <w:pPr>
              <w:keepNext/>
              <w:keepLines/>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keepNext/>
              <w:keepLines/>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2</w:t>
            </w:r>
          </w:p>
        </w:tc>
        <w:tc>
          <w:tcPr>
            <w:tcW w:type="dxa" w:w="3600"/>
            <w:vAlign w:val="center"/>
          </w:tcPr>
          <w:p>
            <w:pPr>
              <w:keepNext/>
              <w:keepLines/>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keepNext/>
              <w:keepLines/>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val="false"/>
              <w:keepLines/>
              <w:spacing w:after="60"/>
            </w:pPr>
            <w:r>
              <w:rPr>
                <w:rFonts w:ascii="Times New Roman" w:cs="Times New Roman" w:eastAsia="Times New Roman" w:hAnsi="Times New Roman"/>
                <w:sz w:val="22"/>
                <w:szCs w:val="22"/>
              </w:rPr>
              <w:t xml:space="preserve">3</w:t>
            </w:r>
          </w:p>
        </w:tc>
        <w:tc>
          <w:tcPr>
            <w:tcW w:type="dxa" w:w="3600"/>
            <w:vAlign w:val="center"/>
          </w:tcPr>
          <w:p>
            <w:pPr>
              <w:keepNext w:val="false"/>
              <w:keepLines/>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keepNext w:val="false"/>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One school,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Single scoring wave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Prompt sensitivity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the supervisor reviews a sample. Findings are reported as illustrative evidence about the selected cases, not as prevalence estimates.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three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Submission ID</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Date and time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App and plan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name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Reasoning mode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change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Framing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Passage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Randomised position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Script code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Anchor flag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Settings check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Full response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Extracted scores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Response status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Screenshot</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Anomalies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keepNext w:val="false"/>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keepNext w:val="false"/>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keepNext w:val="false"/>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2026-10-10T16:18:18.334Z</dcterms:created>
  <dcterms:modified xsi:type="dcterms:W3CDTF">2026-10-10T16:18:18.334Z</dcterms:modified>
</cp:coreProperties>
</file>

<file path=docProps/custom.xml><?xml version="1.0" encoding="utf-8"?>
<Properties xmlns="http://schemas.openxmlformats.org/officeDocument/2006/custom-properties" xmlns:vt="http://schemas.openxmlformats.org/officeDocument/2006/docPropsVTypes"/>
</file>