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DAE2" w14:textId="77777777" w:rsidR="004A6650" w:rsidRDefault="00E84DE9">
      <w:pPr>
        <w:spacing w:before="400"/>
      </w:pPr>
      <w:r>
        <w:rPr>
          <w:b/>
          <w:bCs/>
          <w:color w:val="1C9C8F"/>
          <w:spacing w:val="30"/>
          <w:sz w:val="18"/>
          <w:szCs w:val="18"/>
        </w:rPr>
        <w:t>WEBSITE PAGE COPY</w:t>
      </w:r>
    </w:p>
    <w:p w14:paraId="33F404C4" w14:textId="77777777" w:rsidR="004A6650" w:rsidRDefault="00E84DE9">
      <w:pPr>
        <w:spacing w:before="120"/>
      </w:pPr>
      <w:r>
        <w:rPr>
          <w:b/>
          <w:bCs/>
          <w:color w:val="061E31"/>
          <w:sz w:val="64"/>
          <w:szCs w:val="64"/>
        </w:rPr>
        <w:t>Oracle Technology Solutions</w:t>
      </w:r>
    </w:p>
    <w:p w14:paraId="2A553CF5" w14:textId="77777777" w:rsidR="004A6650" w:rsidRDefault="004A6650">
      <w:pPr>
        <w:pBdr>
          <w:bottom w:val="single" w:sz="4" w:space="1" w:color="D9E2E8"/>
        </w:pBdr>
        <w:spacing w:before="120" w:after="120"/>
      </w:pPr>
    </w:p>
    <w:p w14:paraId="23103DE6" w14:textId="77777777" w:rsidR="004A6650" w:rsidRDefault="00E84DE9">
      <w:pPr>
        <w:spacing w:before="200" w:after="80"/>
      </w:pPr>
      <w:r>
        <w:rPr>
          <w:b/>
          <w:bCs/>
          <w:color w:val="1C9C8F"/>
          <w:spacing w:val="20"/>
          <w:sz w:val="18"/>
          <w:szCs w:val="18"/>
        </w:rPr>
        <w:t>HERO SECTION</w:t>
      </w:r>
    </w:p>
    <w:p w14:paraId="4123718D" w14:textId="77777777" w:rsidR="004A6650" w:rsidRDefault="00E84DE9">
      <w:pPr>
        <w:spacing w:after="160"/>
      </w:pPr>
      <w:r>
        <w:rPr>
          <w:b/>
          <w:bCs/>
          <w:color w:val="061E31"/>
          <w:sz w:val="52"/>
          <w:szCs w:val="52"/>
        </w:rPr>
        <w:t>Full-stack Oracle delivery, built for hybrid reality.</w:t>
      </w:r>
    </w:p>
    <w:p w14:paraId="07C815A1" w14:textId="77777777" w:rsidR="004A6650" w:rsidRDefault="00E84DE9">
      <w:pPr>
        <w:spacing w:after="320" w:line="320" w:lineRule="auto"/>
      </w:pPr>
      <w:r>
        <w:rPr>
          <w:color w:val="5B6B78"/>
          <w:sz w:val="25"/>
          <w:szCs w:val="25"/>
        </w:rPr>
        <w:t xml:space="preserve">From OCI to Exadata, Fusion Cloud to EBS and APEX — WAVZ delivers and manages Oracle environments that work seamlessly across on-premise and cloud, with FinOps discipline and AI-ready database capabilities.</w:t>
      </w:r>
    </w:p>
    <w:p w14:paraId="21F26814" w14:textId="77777777" w:rsidR="004A6650" w:rsidRDefault="00E84DE9">
      <w:pPr>
        <w:shd w:val="clear" w:color="auto" w:fill="061E31"/>
        <w:spacing w:before="200"/>
      </w:pPr>
      <w:r>
        <w:rPr>
          <w:b/>
          <w:bCs/>
          <w:color w:val="FFFFFF"/>
          <w:sz w:val="22"/>
          <w:szCs w:val="22"/>
        </w:rPr>
        <w:t xml:space="preserve">  Talk to an Oracle Specialist  →  </w:t>
      </w:r>
    </w:p>
    <w:p w14:paraId="6B8F8FA5" w14:textId="77777777" w:rsidR="004A6650" w:rsidRDefault="00E84DE9">
      <w:pPr>
        <w:pBdr>
          <w:bottom w:val="single" w:sz="6" w:space="8" w:color="D9E2E8"/>
        </w:pBdr>
        <w:spacing w:before="480" w:after="160"/>
      </w:pPr>
      <w:r>
        <w:rPr>
          <w:b/>
          <w:bCs/>
          <w:color w:val="061E31"/>
          <w:sz w:val="34"/>
          <w:szCs w:val="34"/>
        </w:rPr>
        <w:t>Why Oracle, Why WAVZ</w:t>
      </w:r>
    </w:p>
    <w:p w14:paraId="7D86989C" w14:textId="77777777" w:rsidR="004A6650" w:rsidRDefault="00E84DE9">
      <w:pPr>
        <w:spacing w:after="200" w:line="300" w:lineRule="auto"/>
      </w:pPr>
      <w:r>
        <w:rPr>
          <w:color w:val="1A2733"/>
          <w:sz w:val="22"/>
          <w:szCs w:val="22"/>
        </w:rPr>
        <w:t>Oracle environments rarely live in one place anymore. Legacy E-Business Suite systems run alongside cloud-native OCI workloads, while Fusion Cloud handles core finance, HR, and supply chain processes — often all at once, inside the same organization.</w:t>
      </w:r>
    </w:p>
    <w:p w14:paraId="2F9999A0" w14:textId="77777777" w:rsidR="004A6650" w:rsidRDefault="00E84DE9">
      <w:pPr>
        <w:spacing w:line="300" w:lineRule="auto"/>
      </w:pPr>
      <w:r>
        <w:rPr>
          <w:color w:val="1A2733"/>
          <w:sz w:val="22"/>
          <w:szCs w:val="22"/>
        </w:rPr>
        <w:t xml:space="preserve">WAVZ brings full-stack Oracle expertise across this hybrid reality, backed by 15+ years of delivery experience in the region's most demanding, regulated sectors. We are technology-agnostic by philosophy, but Oracle-certified by practice — every recommendation is based on what's right for your business.</w:t>
      </w:r>
    </w:p>
    <w:p w14:paraId="32A759D4" w14:textId="77777777" w:rsidR="004A6650" w:rsidRDefault="00E84DE9">
      <w:pPr>
        <w:pBdr>
          <w:bottom w:val="single" w:sz="6" w:space="8" w:color="D9E2E8"/>
        </w:pBdr>
        <w:spacing w:before="480" w:after="160"/>
      </w:pPr>
      <w:r>
        <w:rPr>
          <w:b/>
          <w:bCs/>
          <w:color w:val="061E31"/>
          <w:sz w:val="34"/>
          <w:szCs w:val="34"/>
        </w:rPr>
        <w:t>Full-Stack Oracle Coverage</w:t>
      </w:r>
    </w:p>
    <w:p w14:paraId="592DF786" w14:textId="77777777" w:rsidR="004A6650" w:rsidRDefault="00E84DE9">
      <w:pPr>
        <w:spacing w:after="200" w:line="300" w:lineRule="auto"/>
      </w:pPr>
      <w:r>
        <w:rPr>
          <w:color w:val="1A2733"/>
          <w:sz w:val="22"/>
          <w:szCs w:val="22"/>
        </w:rPr>
        <w:t>We design, migrate, implement, and manage across the full Oracle technology stack — hardware, applications, and cloud — matched to your infrastructure strategy and business requirements.</w:t>
      </w: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A6650" w14:paraId="3775DC9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37DC3E5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lastRenderedPageBreak/>
              <w:t>OCI</w:t>
            </w:r>
          </w:p>
          <w:p w14:paraId="1AD0F778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Oracle Cloud Infrastructure</w:t>
            </w:r>
          </w:p>
          <w:p w14:paraId="5DB270D0" w14:textId="77777777" w:rsidR="004A6650" w:rsidRDefault="00E84DE9">
            <w:r>
              <w:rPr>
                <w:color w:val="5B6B78"/>
                <w:sz w:val="19"/>
                <w:szCs w:val="19"/>
              </w:rPr>
              <w:t>Cloud infrastructure design, migration, and management built for performance and scale.</w:t>
            </w:r>
          </w:p>
        </w:tc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219EBA93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EXA</w:t>
            </w:r>
          </w:p>
          <w:p w14:paraId="6168592A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Exadata</w:t>
            </w:r>
          </w:p>
          <w:p w14:paraId="7B319033" w14:textId="77777777" w:rsidR="004A6650" w:rsidRDefault="00E84DE9">
            <w:r>
              <w:rPr>
                <w:color w:val="5B6B78"/>
                <w:sz w:val="19"/>
                <w:szCs w:val="19"/>
              </w:rPr>
              <w:t>High-performance database infrastructure, tuned and managed for mission-critical workloads.</w:t>
            </w:r>
          </w:p>
        </w:tc>
      </w:tr>
      <w:tr w:rsidR="004A6650" w14:paraId="17157DE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3F9CE553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FSN</w:t>
            </w:r>
          </w:p>
          <w:p w14:paraId="011671C8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Fusion Cloud</w:t>
            </w:r>
          </w:p>
          <w:p w14:paraId="5517A3DA" w14:textId="77777777" w:rsidR="004A6650" w:rsidRDefault="00E84DE9">
            <w:r>
              <w:rPr>
                <w:color w:val="5B6B78"/>
                <w:sz w:val="19"/>
                <w:szCs w:val="19"/>
              </w:rPr>
              <w:t>Implementation and support for Oracle's cloud applications suite across finance, HR, and supply chain.</w:t>
            </w:r>
          </w:p>
        </w:tc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6F5C3C2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EBS</w:t>
            </w:r>
          </w:p>
          <w:p w14:paraId="1D639516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E-Business Suite</w:t>
            </w:r>
          </w:p>
          <w:p w14:paraId="105B3BE5" w14:textId="77777777" w:rsidR="004A6650" w:rsidRDefault="00E84DE9">
            <w:r>
              <w:rPr>
                <w:color w:val="5B6B78"/>
                <w:sz w:val="19"/>
                <w:szCs w:val="19"/>
              </w:rPr>
              <w:t>Ongoing support, upgrades, and optimization for established EBS environments.</w:t>
            </w:r>
          </w:p>
        </w:tc>
      </w:tr>
      <w:tr w:rsidR="004A6650" w14:paraId="44944A1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2E8D0714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SBL</w:t>
            </w:r>
          </w:p>
          <w:p w14:paraId="73554827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Siebel</w:t>
            </w:r>
          </w:p>
          <w:p w14:paraId="29BE01B8" w14:textId="77777777" w:rsidR="004A6650" w:rsidRDefault="00E84DE9">
            <w:r>
              <w:rPr>
                <w:color w:val="5B6B78"/>
                <w:sz w:val="19"/>
                <w:szCs w:val="19"/>
              </w:rPr>
              <w:t>Specialist support and enhancement for Siebel CRM environments.</w:t>
            </w:r>
          </w:p>
        </w:tc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7954CBED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JDE</w:t>
            </w:r>
          </w:p>
          <w:p w14:paraId="45204C5E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JD Edwards</w:t>
            </w:r>
          </w:p>
          <w:p w14:paraId="031E8300" w14:textId="77777777" w:rsidR="004A6650" w:rsidRDefault="00E84DE9">
            <w:r>
              <w:rPr>
                <w:color w:val="5B6B78"/>
                <w:sz w:val="19"/>
                <w:szCs w:val="19"/>
              </w:rPr>
              <w:t>Implementation and managed support for JD Edwards EnterpriseOne landscapes.</w:t>
            </w:r>
          </w:p>
        </w:tc>
      </w:tr>
      <w:tr w:rsidR="004A6650" w14:paraId="64CD1F6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7EB9CA5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APEX</w:t>
            </w:r>
          </w:p>
          <w:p w14:paraId="74E51E36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Oracle APEX</w:t>
            </w:r>
          </w:p>
          <w:p w14:paraId="14C4E745" w14:textId="77777777" w:rsidR="004A6650" w:rsidRDefault="00E84DE9">
            <w:r>
              <w:rPr>
                <w:color w:val="5B6B78"/>
                <w:sz w:val="19"/>
                <w:szCs w:val="19"/>
              </w:rPr>
              <w:t>Rapid, low-code application development built natively on the Oracle platform.</w:t>
            </w:r>
          </w:p>
        </w:tc>
        <w:tc>
          <w:tcPr>
            <w:tcW w:w="4675" w:type="dxa"/>
            <w:shd w:val="clear" w:color="auto" w:fill="FFFFFF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60E8FA09" w14:textId="77777777" w:rsidR="004A6650" w:rsidRDefault="004A6650"/>
        </w:tc>
      </w:tr>
    </w:tbl>
    <w:p w14:paraId="2C3AC774" w14:textId="77777777" w:rsidR="004A6650" w:rsidRDefault="00E84DE9">
      <w:pPr>
        <w:pBdr>
          <w:bottom w:val="single" w:sz="6" w:space="8" w:color="D9E2E8"/>
        </w:pBdr>
        <w:spacing w:before="480" w:after="160"/>
      </w:pPr>
      <w:r>
        <w:rPr>
          <w:b/>
          <w:bCs/>
          <w:color w:val="061E31"/>
          <w:sz w:val="34"/>
          <w:szCs w:val="34"/>
        </w:rPr>
        <w:t>Assess, Implement, Run — the Oracle Way</w:t>
      </w:r>
    </w:p>
    <w:p w14:paraId="66026B7B" w14:textId="77777777" w:rsidR="004A6650" w:rsidRDefault="00E84DE9">
      <w:pPr>
        <w:spacing w:after="200" w:line="300" w:lineRule="auto"/>
      </w:pPr>
      <w:r>
        <w:rPr>
          <w:color w:val="1A2733"/>
          <w:sz w:val="22"/>
          <w:szCs w:val="22"/>
        </w:rPr>
        <w:t>Oracle engagements follow three focused delivery phases: assessing and planning the strategy and target architecture; implementing through migration, build, and integration; and running and optimizing through SLA-driven managed operations and financial governance (FinOps).</w:t>
      </w:r>
    </w:p>
    <w:p w14:paraId="05E22C52" w14:textId="77777777" w:rsidR="004A6650" w:rsidRDefault="00E84DE9">
      <w:pPr>
        <w:spacing w:after="200" w:line="300" w:lineRule="auto"/>
      </w:pPr>
      <w:r>
        <w:rPr>
          <w:color w:val="1A2733"/>
          <w:sz w:val="22"/>
          <w:szCs w:val="22"/>
        </w:rPr>
        <w:t>Hybrid-ready delivery across OCI Dedicated Region and Cloud at Customer environments ensures data residency compliance, while full-stack expertise across hardware, applications, and cloud layers gives clients a uniquely integrated capability — plus vector/AI-enabled database capabilities to keep your Oracle investment future-ready.</w:t>
      </w:r>
    </w:p>
    <w:p w14:paraId="50CB0913" w14:textId="77777777" w:rsidR="004A6650" w:rsidRDefault="00E84DE9">
      <w:r>
        <w:br w:type="page"/>
      </w:r>
    </w:p>
    <w:p w14:paraId="1A2B3C4D" w14:textId="1A2B3C4D" w:rsidR="004A6650" w:rsidRDefault="00E84DE9">
      <w:pPr>
        <w:pBdr>
          <w:bottom w:val="single" w:sz="6" w:space="8" w:color="D9E2E8"/>
        </w:pBdr>
        <w:spacing w:before="480" w:after="160"/>
      </w:pPr>
      <w:r>
        <w:rPr>
          <w:b/>
          <w:bCs/>
          <w:color w:val="061E31"/>
          <w:sz w:val="34"/>
          <w:szCs w:val="34"/>
        </w:rPr>
        <w:t>SLA &amp; Managed Support Services</w:t>
      </w:r>
    </w:p>
    <w:p w14:paraId="2A3B4C5D" w14:textId="2A3B4C5D" w:rsidR="004A6650" w:rsidRDefault="00E84DE9">
      <w:pPr>
        <w:spacing w:after="200" w:line="300" w:lineRule="auto"/>
      </w:pPr>
      <w:r>
        <w:rPr>
          <w:color w:val="1A2733"/>
          <w:sz w:val="22"/>
          <w:szCs w:val="22"/>
        </w:rPr>
        <w:t>Beyond project delivery, WAVZ provides ongoing SLA-based support, maintenance, and enhancement services for existing Oracle environments — spanning Oracle Systems, Oracle Technology, and Oracle Applications. Engagements are structured around your operational needs, with 24x7 or 8x5 coverage models and flexible, pay-as-you-go man-day allocations.</w:t>
      </w: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A6650" w14:paraId="3A4B5C6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A5B6C7D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SYS</w:t>
            </w:r>
          </w:p>
          <w:p w14:paraId="5A6B7C8D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Oracle Systems</w:t>
            </w:r>
          </w:p>
          <w:p w14:paraId="6A7B8C9D" w14:textId="77777777" w:rsidR="004A6650" w:rsidRDefault="00E84DE9">
            <w:r>
              <w:rPr>
                <w:color w:val="5B6B78"/>
                <w:sz w:val="19"/>
                <w:szCs w:val="19"/>
              </w:rPr>
              <w:t>Support and management of infrastructure and engineered systems, including OCI and Exadata.</w:t>
            </w:r>
          </w:p>
        </w:tc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7A8B9C0D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TECH</w:t>
            </w:r>
          </w:p>
          <w:p w14:paraId="0A9B0C1E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Oracle Technology</w:t>
            </w:r>
          </w:p>
          <w:p w14:paraId="1A0B1C2E" w14:textId="77777777" w:rsidR="004A6650" w:rsidRDefault="00E84DE9">
            <w:r>
              <w:rPr>
                <w:color w:val="5B6B78"/>
                <w:sz w:val="19"/>
                <w:szCs w:val="19"/>
              </w:rPr>
              <w:t>Ongoing administration, monitoring, and performance management for Oracle Database and Middleware (FMW).</w:t>
            </w:r>
          </w:p>
        </w:tc>
      </w:tr>
      <w:tr w:rsidR="004A6650" w14:paraId="0A1B2C3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1B2C3D4E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APPS</w:t>
            </w:r>
          </w:p>
          <w:p w14:paraId="2B3C4D5E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Oracle Applications</w:t>
            </w:r>
          </w:p>
          <w:p w14:paraId="3B4C5D6E" w14:textId="77777777" w:rsidR="004A6650" w:rsidRDefault="00E84DE9">
            <w:r>
              <w:rPr>
                <w:color w:val="5B6B78"/>
                <w:sz w:val="19"/>
                <w:szCs w:val="19"/>
              </w:rPr>
              <w:t>Continued support and enhancement for Fusion Cloud, E-Business Suite, Siebel, and other Oracle application suites.</w:t>
            </w:r>
          </w:p>
        </w:tc>
        <w:tc>
          <w:tcPr>
            <w:tcW w:w="4675" w:type="dxa"/>
            <w:shd w:val="clear" w:color="auto" w:fill="FFFFFF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B5C6D7E" w14:textId="77777777" w:rsidR="004A6650" w:rsidRDefault="004A6650"/>
        </w:tc>
      </w:tr>
    </w:tbl>
    <w:p w14:paraId="5B6C7D8E" w14:textId="5B6C7D8E" w:rsidR="004A6650" w:rsidRDefault="00E84DE9">
      <w:pPr>
        <w:spacing w:before="200" w:after="140" w:line="300" w:lineRule="auto"/>
      </w:pPr>
      <w:r>
        <w:rPr>
          <w:color w:val="1A2733"/>
          <w:sz w:val="22"/>
          <w:szCs w:val="22"/>
        </w:rPr>
        <w:t>Each SLA is scoped to the technology stack, coverage window, and service levels that matter most to your business, and typically includes:</w:t>
      </w:r>
    </w:p>
    <w:p w14:paraId="6B7C8D9E" w14:textId="77777777" w:rsidR="004A6650" w:rsidRDefault="00E84DE9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Response &amp; Resolution — </w:t>
      </w:r>
      <w:r>
        <w:rPr>
          <w:color w:val="1A2733"/>
          <w:sz w:val="22"/>
          <w:szCs w:val="22"/>
        </w:rPr>
        <w:t>defined response times and resolution targets by incident severity.</w:t>
      </w:r>
    </w:p>
    <w:p w14:paraId="7B8C9D0E" w14:textId="77777777" w:rsidR="004A6650" w:rsidRDefault="00E84DE9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Monitoring &amp; Escalation — </w:t>
      </w:r>
      <w:r>
        <w:rPr>
          <w:color w:val="1A2733"/>
          <w:sz w:val="22"/>
          <w:szCs w:val="22"/>
        </w:rPr>
        <w:t>24x7 or business-hours monitoring, backed by formal escalation management.</w:t>
      </w:r>
    </w:p>
    <w:p w14:paraId="0B9C0D1F" w14:textId="77777777" w:rsidR="004A6650" w:rsidRDefault="00E84DE9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Reporting &amp; Governance — </w:t>
      </w:r>
      <w:r>
        <w:rPr>
          <w:color w:val="1A2733"/>
          <w:sz w:val="22"/>
          <w:szCs w:val="22"/>
        </w:rPr>
        <w:t>regular service reviews and SLA compliance reporting.</w:t>
      </w:r>
    </w:p>
    <w:p w14:paraId="1B0C1D2F" w14:textId="77777777" w:rsidR="004A6650" w:rsidRDefault="00E84DE9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Change Management — </w:t>
      </w:r>
      <w:r>
        <w:rPr>
          <w:color w:val="1A2733"/>
          <w:sz w:val="22"/>
          <w:szCs w:val="22"/>
        </w:rPr>
        <w:t>governed planning and execution of patches, upgrades, and maintenance.</w:t>
      </w:r>
    </w:p>
    <w:p w14:paraId="0B1C2D3E" w14:textId="77777777" w:rsidR="004A6650" w:rsidRDefault="00E84DE9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Dedicated Resources — </w:t>
      </w:r>
      <w:r>
        <w:rPr>
          <w:color w:val="1A2733"/>
          <w:sz w:val="22"/>
          <w:szCs w:val="22"/>
        </w:rPr>
        <w:t>named specialists or service teams aligned to your environment.</w:t>
      </w:r>
    </w:p>
    <w:p w14:paraId="5768A63E" w14:textId="43E9FFEC" w:rsidR="004A6650" w:rsidRDefault="00E84DE9" w:rsidP="007C4037">
      <w:pPr>
        <w:pBdr>
          <w:bottom w:val="single" w:sz="6" w:space="8" w:color="D9E2E8"/>
        </w:pBdr>
        <w:tabs>
          <w:tab w:val="right" w:pos="10080"/>
        </w:tabs>
        <w:spacing w:before="480" w:after="160"/>
      </w:pPr>
      <w:r>
        <w:rPr>
          <w:b/>
          <w:bCs/>
          <w:color w:val="061E31"/>
          <w:sz w:val="34"/>
          <w:szCs w:val="34"/>
        </w:rPr>
        <w:t>WAVZ Difference</w:t>
        <w:tab/>
      </w:r>
    </w:p>
    <w:p w14:paraId="64BE7DE6" w14:textId="77777777" w:rsidR="004A6650" w:rsidRDefault="00E84DE9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Seasoned Expertise — </w:t>
      </w:r>
      <w:r>
        <w:rPr>
          <w:color w:val="1A2733"/>
          <w:sz w:val="22"/>
          <w:szCs w:val="22"/>
        </w:rPr>
        <w:t>certified Oracle specialists with hands-on experience across banking, telecom, and government.</w:t>
      </w:r>
    </w:p>
    <w:p w14:paraId="7AF0D78A" w14:textId="77777777" w:rsidR="004A6650" w:rsidRDefault="00E84DE9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Technology Independence — </w:t>
      </w:r>
      <w:r>
        <w:rPr>
          <w:color w:val="1A2733"/>
          <w:sz w:val="22"/>
          <w:szCs w:val="22"/>
        </w:rPr>
        <w:t>we recommend what's right for your business, not what benefits our commercial interests.</w:t>
      </w:r>
    </w:p>
    <w:p w14:paraId="0489B40F" w14:textId="77777777" w:rsidR="004A6650" w:rsidRDefault="00E84DE9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End-to-End Accountability — </w:t>
      </w:r>
      <w:r>
        <w:rPr>
          <w:color w:val="1A2733"/>
          <w:sz w:val="22"/>
          <w:szCs w:val="22"/>
        </w:rPr>
        <w:t>one partner across strategy, migration, implementation, and long-term operations.</w:t>
      </w:r>
    </w:p>
    <w:p w14:paraId="31CD5EB8" w14:textId="77777777" w:rsidR="004A6650" w:rsidRDefault="00E84DE9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Proven Track Record — </w:t>
      </w:r>
      <w:r>
        <w:rPr>
          <w:color w:val="1A2733"/>
          <w:sz w:val="22"/>
          <w:szCs w:val="22"/>
        </w:rPr>
        <w:t>over 15 years of reliable, high-quality delivery across the region's most complex transformation programs.</w:t>
      </w:r>
    </w:p>
    <w:p w14:paraId="2EB78652" w14:textId="77777777" w:rsidR="004A6650" w:rsidRDefault="00E84DE9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Regional Depth, Global Standards — </w:t>
      </w:r>
      <w:r>
        <w:rPr>
          <w:color w:val="1A2733"/>
          <w:sz w:val="22"/>
          <w:szCs w:val="22"/>
        </w:rPr>
        <w:t>on-the-ground teams in Cairo and Riyadh, delivering with international governance and local market knowledge.</w:t>
      </w:r>
    </w:p>
    <w:p w14:paraId="51A8CA96" w14:textId="77777777" w:rsidR="004A6650" w:rsidRDefault="00E84DE9">
      <w:pPr>
        <w:pBdr>
          <w:bottom w:val="single" w:sz="6" w:space="8" w:color="D9E2E8"/>
        </w:pBdr>
        <w:spacing w:before="480" w:after="160"/>
      </w:pPr>
      <w:r>
        <w:rPr>
          <w:b/>
          <w:bCs/>
          <w:color w:val="061E31"/>
          <w:sz w:val="34"/>
          <w:szCs w:val="34"/>
        </w:rPr>
        <w:t>Built for Sectors Where It Has to Work</w:t>
      </w:r>
    </w:p>
    <w:p w14:paraId="5370AB51" w14:textId="77777777" w:rsidR="004A6650" w:rsidRDefault="00E84DE9">
      <w:pPr>
        <w:spacing w:after="200" w:line="300" w:lineRule="auto"/>
      </w:pPr>
      <w:r>
        <w:rPr>
          <w:color w:val="1A2733"/>
          <w:sz w:val="22"/>
          <w:szCs w:val="22"/>
        </w:rPr>
        <w:t>WAVZ has built its Oracle track record across the most demanding, regulated, and mission-critical sectors of the regional economy.</w:t>
      </w: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A6650" w14:paraId="2B3F61E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24691F90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GOV</w:t>
            </w:r>
          </w:p>
          <w:p w14:paraId="6FECA8AF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Government &amp; Public Sector</w:t>
            </w:r>
          </w:p>
          <w:p w14:paraId="65102574" w14:textId="77777777" w:rsidR="004A6650" w:rsidRDefault="00E84DE9">
            <w:r>
              <w:rPr>
                <w:color w:val="5B6B78"/>
                <w:sz w:val="19"/>
                <w:szCs w:val="19"/>
              </w:rPr>
              <w:t>Supporting national digital transformation and data-driven governance programs.</w:t>
            </w:r>
          </w:p>
        </w:tc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3779B1ED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BFS</w:t>
            </w:r>
          </w:p>
          <w:p w14:paraId="52ABA252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Banking &amp; Financial Services</w:t>
            </w:r>
          </w:p>
          <w:p w14:paraId="1D7EF9BC" w14:textId="77777777" w:rsidR="004A6650" w:rsidRDefault="00E84DE9">
            <w:r>
              <w:rPr>
                <w:color w:val="5B6B78"/>
                <w:sz w:val="19"/>
                <w:szCs w:val="19"/>
              </w:rPr>
              <w:t>Mission-critical systems where uptime and data integrity are paramount.</w:t>
            </w:r>
          </w:p>
        </w:tc>
      </w:tr>
      <w:tr w:rsidR="004A6650" w14:paraId="5A05510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399B0AF8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TEL</w:t>
            </w:r>
          </w:p>
          <w:p w14:paraId="0C00AD34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Telecommunications</w:t>
            </w:r>
          </w:p>
          <w:p w14:paraId="110166F4" w14:textId="77777777" w:rsidR="004A6650" w:rsidRDefault="00E84DE9">
            <w:r>
              <w:rPr>
                <w:color w:val="5B6B78"/>
                <w:sz w:val="19"/>
                <w:szCs w:val="19"/>
              </w:rPr>
              <w:t>Optimizing IT landscapes and integrating complex operator systems.</w:t>
            </w:r>
          </w:p>
        </w:tc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7DD767EB" w14:textId="77777777" w:rsidR="004A6650" w:rsidRDefault="00E84DE9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ENT</w:t>
            </w:r>
          </w:p>
          <w:p w14:paraId="4BBA94F0" w14:textId="77777777" w:rsidR="004A6650" w:rsidRDefault="00E84DE9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Large Enterprise</w:t>
            </w:r>
          </w:p>
          <w:p w14:paraId="4FF08AB0" w14:textId="77777777" w:rsidR="004A6650" w:rsidRDefault="00E84DE9">
            <w:r>
              <w:rPr>
                <w:color w:val="5B6B78"/>
                <w:sz w:val="19"/>
                <w:szCs w:val="19"/>
              </w:rPr>
              <w:t>Enterprise applications and managed operations that scale with business growth.</w:t>
            </w:r>
          </w:p>
        </w:tc>
      </w:tr>
    </w:tbl>
    <w:p w14:paraId="1903A576" w14:textId="77777777" w:rsidR="004A6650" w:rsidRDefault="00E84DE9">
      <w:pPr>
        <w:pBdr>
          <w:bottom w:val="single" w:sz="6" w:space="8" w:color="D9E2E8"/>
        </w:pBdr>
        <w:spacing w:before="480" w:after="160"/>
      </w:pPr>
      <w:r>
        <w:rPr>
          <w:b/>
          <w:bCs/>
          <w:color w:val="061E31"/>
          <w:sz w:val="34"/>
          <w:szCs w:val="34"/>
        </w:rPr>
        <w:t>Ready to Modernize Your Oracle Estate?</w:t>
      </w:r>
    </w:p>
    <w:p w14:paraId="3BEF60C1" w14:textId="77777777" w:rsidR="004A6650" w:rsidRDefault="00E84DE9">
      <w:pPr>
        <w:spacing w:after="200" w:line="300" w:lineRule="auto"/>
      </w:pPr>
      <w:r>
        <w:rPr>
          <w:color w:val="1A2733"/>
          <w:sz w:val="22"/>
          <w:szCs w:val="22"/>
        </w:rPr>
        <w:t>Whether you're migrating to OCI, consolidating a hybrid landscape, or extending the life of an EBS investment, WAVZ brings certified expertise and end-to-end accountability to every engagement.</w:t>
      </w:r>
    </w:p>
    <w:p w14:paraId="695FB17D" w14:textId="77777777" w:rsidR="004A6650" w:rsidRDefault="00E84DE9">
      <w:pPr>
        <w:shd w:val="clear" w:color="auto" w:fill="061E31"/>
        <w:spacing w:before="200"/>
      </w:pPr>
      <w:r>
        <w:rPr>
          <w:b/>
          <w:bCs/>
          <w:color w:val="FFFFFF"/>
          <w:sz w:val="22"/>
          <w:szCs w:val="22"/>
        </w:rPr>
        <w:t xml:space="preserve">  Get in Touch  →  </w:t>
      </w:r>
    </w:p>
    <w:p w14:paraId="1728FF66" w14:textId="77777777" w:rsidR="004A6650" w:rsidRDefault="00E84DE9">
      <w:pPr>
        <w:spacing w:before="220"/>
      </w:pPr>
      <w:r>
        <w:rPr>
          <w:color w:val="5B6B78"/>
          <w:sz w:val="19"/>
          <w:szCs w:val="19"/>
        </w:rPr>
        <w:t>info@wavz.com.eg   ·   wavz.com.eg   ·   Maadi Technology Park, Block MB3, Building B2, Cairo, Egypt</w:t>
      </w:r>
    </w:p>
    <w:sectPr w:rsidR="004A6650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37399" w14:textId="77777777" w:rsidR="00E84DE9" w:rsidRDefault="00E84DE9">
      <w:r>
        <w:separator/>
      </w:r>
    </w:p>
  </w:endnote>
  <w:endnote w:type="continuationSeparator" w:id="0">
    <w:p w14:paraId="3B56F211" w14:textId="77777777" w:rsidR="00E84DE9" w:rsidRDefault="00E84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F865F" w14:textId="77777777" w:rsidR="004A6650" w:rsidRDefault="00E84DE9">
    <w:pPr>
      <w:jc w:val="center"/>
    </w:pPr>
    <w:r>
      <w:rPr>
        <w:color w:val="5B6B78"/>
        <w:sz w:val="15"/>
        <w:szCs w:val="15"/>
      </w:rPr>
      <w:t>wavz.com.eg   ·   info@wavz.com.eg   ·   Cairo, Egypt · Riyadh, Saudi Arabia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82C90" w14:textId="77777777" w:rsidR="00E84DE9" w:rsidRDefault="00E84DE9">
      <w:r>
        <w:separator/>
      </w:r>
    </w:p>
  </w:footnote>
  <w:footnote w:type="continuationSeparator" w:id="0">
    <w:p w14:paraId="5DB43509" w14:textId="77777777" w:rsidR="00E84DE9" w:rsidRDefault="00E84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1EDD8" w14:textId="74F810A9" w:rsidR="004A6650" w:rsidRDefault="004A6650" w:rsidP="007C4037">
    <w:pPr>
      <w:pBdr>
        <w:bottom w:val="single" w:sz="4" w:space="6" w:color="D9E2E8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01B30"/>
    <w:multiLevelType w:val="hybridMultilevel"/>
    <w:tmpl w:val="93F462F4"/>
    <w:lvl w:ilvl="0" w:tplc="C7F6B796">
      <w:start w:val="1"/>
      <w:numFmt w:val="bullet"/>
      <w:lvlText w:val="●"/>
      <w:lvlJc w:val="left"/>
      <w:pPr>
        <w:ind w:left="720" w:hanging="360"/>
      </w:pPr>
    </w:lvl>
    <w:lvl w:ilvl="1" w:tplc="9F46BFF0">
      <w:start w:val="1"/>
      <w:numFmt w:val="bullet"/>
      <w:lvlText w:val="○"/>
      <w:lvlJc w:val="left"/>
      <w:pPr>
        <w:ind w:left="1440" w:hanging="360"/>
      </w:pPr>
    </w:lvl>
    <w:lvl w:ilvl="2" w:tplc="0EC8668A">
      <w:start w:val="1"/>
      <w:numFmt w:val="bullet"/>
      <w:lvlText w:val="■"/>
      <w:lvlJc w:val="left"/>
      <w:pPr>
        <w:ind w:left="2160" w:hanging="360"/>
      </w:pPr>
    </w:lvl>
    <w:lvl w:ilvl="3" w:tplc="19924AC4">
      <w:start w:val="1"/>
      <w:numFmt w:val="bullet"/>
      <w:lvlText w:val="●"/>
      <w:lvlJc w:val="left"/>
      <w:pPr>
        <w:ind w:left="2880" w:hanging="360"/>
      </w:pPr>
    </w:lvl>
    <w:lvl w:ilvl="4" w:tplc="A0882394">
      <w:start w:val="1"/>
      <w:numFmt w:val="bullet"/>
      <w:lvlText w:val="○"/>
      <w:lvlJc w:val="left"/>
      <w:pPr>
        <w:ind w:left="3600" w:hanging="360"/>
      </w:pPr>
    </w:lvl>
    <w:lvl w:ilvl="5" w:tplc="5C6AC384">
      <w:start w:val="1"/>
      <w:numFmt w:val="bullet"/>
      <w:lvlText w:val="■"/>
      <w:lvlJc w:val="left"/>
      <w:pPr>
        <w:ind w:left="4320" w:hanging="360"/>
      </w:pPr>
    </w:lvl>
    <w:lvl w:ilvl="6" w:tplc="4F90DEA8">
      <w:start w:val="1"/>
      <w:numFmt w:val="bullet"/>
      <w:lvlText w:val="●"/>
      <w:lvlJc w:val="left"/>
      <w:pPr>
        <w:ind w:left="5040" w:hanging="360"/>
      </w:pPr>
    </w:lvl>
    <w:lvl w:ilvl="7" w:tplc="70248168">
      <w:start w:val="1"/>
      <w:numFmt w:val="bullet"/>
      <w:lvlText w:val="●"/>
      <w:lvlJc w:val="left"/>
      <w:pPr>
        <w:ind w:left="5760" w:hanging="360"/>
      </w:pPr>
    </w:lvl>
    <w:lvl w:ilvl="8" w:tplc="00BA15EC">
      <w:start w:val="1"/>
      <w:numFmt w:val="bullet"/>
      <w:lvlText w:val="●"/>
      <w:lvlJc w:val="left"/>
      <w:pPr>
        <w:ind w:left="6480" w:hanging="360"/>
      </w:pPr>
    </w:lvl>
  </w:abstractNum>
  <w:num w:numId="1" w16cid:durableId="250093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650"/>
    <w:rsid w:val="004A6650"/>
    <w:rsid w:val="00767A56"/>
    <w:rsid w:val="007C4037"/>
    <w:rsid w:val="007C4FC7"/>
    <w:rsid w:val="00BB3430"/>
    <w:rsid w:val="00E8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B904A"/>
  <w15:docId w15:val="{91F97D54-DA24-4F04-B684-E6E8C6FD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40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037"/>
  </w:style>
  <w:style w:type="paragraph" w:styleId="Footer">
    <w:name w:val="footer"/>
    <w:basedOn w:val="Normal"/>
    <w:link w:val="FooterChar"/>
    <w:uiPriority w:val="99"/>
    <w:unhideWhenUsed/>
    <w:rsid w:val="007C40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4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554</Words>
  <Characters>3518</Characters>
  <Application>Microsoft Office Word</Application>
  <DocSecurity>0</DocSecurity>
  <Lines>109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cp:lastPrinted>2026-07-28T11:11:00Z</cp:lastPrinted>
  <dcterms:created xsi:type="dcterms:W3CDTF">2026-07-28T11:04:00Z</dcterms:created>
  <dcterms:modified xsi:type="dcterms:W3CDTF">2026-07-28T11:04:00Z</dcterms:modified>
</cp:coreProperties>
</file>