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210CF9" w14:paraId="769B3AD9" w14:textId="77777777" w:rsidTr="002627FF">
        <w:tc>
          <w:tcPr>
            <w:tcW w:w="10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612AE6C3" w14:textId="77777777" w:rsidR="00210CF9" w:rsidRDefault="00000000">
            <w:r>
              <w:rPr>
                <w:b/>
                <w:bCs/>
                <w:caps/>
                <w:color w:val="E8A838"/>
                <w:sz w:val="18"/>
                <w:szCs w:val="18"/>
              </w:rPr>
              <w:t>SUEZ CANAL ECONOMIC ZONE</w:t>
            </w:r>
          </w:p>
          <w:p w14:paraId="45E3C29F" w14:textId="77777777" w:rsidR="00210CF9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Transforming Legacy IT into a World-Class,</w:t>
            </w:r>
          </w:p>
          <w:p w14:paraId="4DAE2A4C" w14:textId="77777777" w:rsidR="00210CF9" w:rsidRDefault="00000000">
            <w:pPr>
              <w:spacing w:after="160"/>
            </w:pPr>
            <w:r>
              <w:rPr>
                <w:b/>
                <w:bCs/>
                <w:color w:val="FFFFFF"/>
                <w:sz w:val="36"/>
                <w:szCs w:val="36"/>
              </w:rPr>
              <w:t>High-Availability Digital Ecosystem</w:t>
            </w:r>
          </w:p>
          <w:p w14:paraId="2D998BF6" w14:textId="77777777" w:rsidR="00210CF9" w:rsidRDefault="00000000">
            <w:r>
              <w:rPr>
                <w:i/>
                <w:iCs/>
                <w:color w:val="AABBCC"/>
                <w:sz w:val="16"/>
                <w:szCs w:val="16"/>
              </w:rPr>
              <w:t>Industry: Maritime / Port Technology   |   Region: Egypt – Suez Canal Zone   |   Scope: Enterprise IT Operations</w:t>
            </w:r>
          </w:p>
        </w:tc>
      </w:tr>
    </w:tbl>
    <w:p w14:paraId="3C2D98E8" w14:textId="77777777" w:rsidR="00210CF9" w:rsidRDefault="00210CF9">
      <w:pPr>
        <w:spacing w:after="120"/>
      </w:pP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1"/>
        <w:gridCol w:w="3685"/>
        <w:gridCol w:w="3119"/>
      </w:tblGrid>
      <w:tr w:rsidR="00210CF9" w14:paraId="25541B18" w14:textId="77777777" w:rsidTr="002627FF">
        <w:tc>
          <w:tcPr>
            <w:tcW w:w="3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8FC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C4FE2B5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99%</w:t>
            </w:r>
          </w:p>
          <w:p w14:paraId="5FB91F35" w14:textId="77777777" w:rsidR="00210CF9" w:rsidRDefault="00000000">
            <w:pPr>
              <w:spacing w:before="40"/>
              <w:jc w:val="center"/>
            </w:pPr>
            <w:r>
              <w:rPr>
                <w:color w:val="FFFFFF"/>
                <w:sz w:val="17"/>
                <w:szCs w:val="17"/>
              </w:rPr>
              <w:t>SLA Achievement</w:t>
            </w:r>
          </w:p>
        </w:tc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BEF0BD8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75%</w:t>
            </w:r>
          </w:p>
          <w:p w14:paraId="7CA64444" w14:textId="77777777" w:rsidR="00210CF9" w:rsidRDefault="00000000">
            <w:pPr>
              <w:spacing w:before="40"/>
              <w:jc w:val="center"/>
            </w:pPr>
            <w:r>
              <w:rPr>
                <w:color w:val="FFFFFF"/>
                <w:sz w:val="17"/>
                <w:szCs w:val="17"/>
              </w:rPr>
              <w:t>MTTR Reduction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8FC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195ED00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</w:t>
            </w:r>
          </w:p>
          <w:p w14:paraId="3FB1DC10" w14:textId="77777777" w:rsidR="00210CF9" w:rsidRDefault="00000000">
            <w:pPr>
              <w:spacing w:before="40"/>
              <w:jc w:val="center"/>
            </w:pPr>
            <w:r>
              <w:rPr>
                <w:color w:val="FFFFFF"/>
                <w:sz w:val="17"/>
                <w:szCs w:val="17"/>
              </w:rPr>
              <w:t>Monitoring Platforms Deployed</w:t>
            </w:r>
          </w:p>
        </w:tc>
      </w:tr>
    </w:tbl>
    <w:p w14:paraId="26A033EC" w14:textId="77777777" w:rsidR="00210CF9" w:rsidRDefault="00210CF9">
      <w:pPr>
        <w:spacing w:after="200"/>
      </w:pPr>
    </w:p>
    <w:p w14:paraId="6AF4B428" w14:textId="77777777" w:rsidR="00210CF9" w:rsidRDefault="00000000">
      <w:pPr>
        <w:pBdr>
          <w:bottom w:val="single" w:sz="6" w:space="2" w:color="E8A838"/>
        </w:pBdr>
        <w:spacing w:before="200" w:after="100"/>
      </w:pPr>
      <w:r>
        <w:rPr>
          <w:b/>
          <w:bCs/>
          <w:color w:val="0A2342"/>
          <w:sz w:val="22"/>
          <w:szCs w:val="22"/>
        </w:rPr>
        <w:t>EXECUTIVE SUMMARY</w:t>
      </w:r>
    </w:p>
    <w:p w14:paraId="48B0510D" w14:textId="5E406E8D" w:rsidR="00210CF9" w:rsidRDefault="00000000">
      <w:pPr>
        <w:spacing w:before="120" w:after="160"/>
      </w:pPr>
      <w:r>
        <w:rPr>
          <w:sz w:val="19"/>
          <w:szCs w:val="19"/>
        </w:rPr>
        <w:t xml:space="preserve">The Suez Canal Economic Zone (SC-Zone) Authority engaged </w:t>
      </w:r>
      <w:r w:rsidR="00004E60">
        <w:rPr>
          <w:sz w:val="19"/>
          <w:szCs w:val="19"/>
        </w:rPr>
        <w:t>our</w:t>
      </w:r>
      <w:r>
        <w:rPr>
          <w:sz w:val="19"/>
          <w:szCs w:val="19"/>
        </w:rPr>
        <w:t xml:space="preserve"> specialized managed IT services team to execute a full-scale transformation of its legacy technology infrastructure — one of the most operationally sensitive environments in global maritime commerce. The engagement delivered a multi-disciplinary operations framework spanning five critical disciplines, underpinned by 24/7 coverage and clearly defined escalation protocols.</w:t>
      </w:r>
    </w:p>
    <w:p w14:paraId="2F223691" w14:textId="77777777" w:rsidR="00210CF9" w:rsidRDefault="00210CF9">
      <w:pPr>
        <w:spacing w:after="80"/>
      </w:pP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245"/>
      </w:tblGrid>
      <w:tr w:rsidR="00210CF9" w14:paraId="2C94534E" w14:textId="77777777" w:rsidTr="002627FF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942028" w14:textId="77777777" w:rsidR="00210CF9" w:rsidRDefault="00000000">
            <w:r>
              <w:rPr>
                <w:b/>
                <w:bCs/>
                <w:color w:val="E8A838"/>
              </w:rPr>
              <w:t>THE CHALLENGE</w:t>
            </w:r>
          </w:p>
        </w:tc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8FC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3A28350" w14:textId="77777777" w:rsidR="00210CF9" w:rsidRDefault="00000000">
            <w:r>
              <w:rPr>
                <w:b/>
                <w:bCs/>
                <w:color w:val="E8A838"/>
              </w:rPr>
              <w:t>THE SOLUTION</w:t>
            </w:r>
          </w:p>
        </w:tc>
      </w:tr>
      <w:tr w:rsidR="00210CF9" w14:paraId="371DBDFA" w14:textId="77777777" w:rsidTr="002627FF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F2F4F6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14C9680" w14:textId="77777777" w:rsidR="00210CF9" w:rsidRDefault="00000000">
            <w:pPr>
              <w:spacing w:after="120"/>
            </w:pPr>
            <w:r>
              <w:rPr>
                <w:sz w:val="18"/>
                <w:szCs w:val="18"/>
              </w:rPr>
              <w:t>SC-Zone's aging infrastructure created critical operational risk in one of the world's most sensitive trade environments:</w:t>
            </w:r>
          </w:p>
          <w:p w14:paraId="02368B10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Zero monitoring visibility across systems</w:t>
            </w:r>
          </w:p>
          <w:p w14:paraId="0181A122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SLA compliance stalled at 89%</w:t>
            </w:r>
          </w:p>
          <w:p w14:paraId="650F514B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Incident resolution averaging 4 hours</w:t>
            </w:r>
          </w:p>
          <w:p w14:paraId="17AEA713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No structured framework for new site deployments</w:t>
            </w:r>
          </w:p>
          <w:p w14:paraId="224C3BCD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Must modernize without disrupting live port operations</w:t>
            </w:r>
          </w:p>
        </w:tc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7CF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19EEE47" w14:textId="77777777" w:rsidR="00210CF9" w:rsidRDefault="00000000">
            <w:pPr>
              <w:spacing w:after="120"/>
            </w:pPr>
            <w:r>
              <w:rPr>
                <w:sz w:val="18"/>
                <w:szCs w:val="18"/>
              </w:rPr>
              <w:t>A unified managed operations framework across five specialized disciplines, delivered 24/7:</w:t>
            </w:r>
          </w:p>
          <w:p w14:paraId="29280C96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Network Operations — end-to-end connectivity management</w:t>
            </w:r>
          </w:p>
          <w:p w14:paraId="00779476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Network Security — continuous threat detection &amp; response</w:t>
            </w:r>
          </w:p>
          <w:p w14:paraId="06872EAA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Systems Administration — enterprise server &amp; storage platforms</w:t>
            </w:r>
          </w:p>
          <w:p w14:paraId="0B15E14A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IT Helpdesk — tiered support with defined SLAs</w:t>
            </w:r>
          </w:p>
          <w:p w14:paraId="61709555" w14:textId="77777777" w:rsidR="00210CF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7"/>
                <w:szCs w:val="17"/>
              </w:rPr>
              <w:t>Electro-Mechanical — physical &amp; facilities-layer infrastructure</w:t>
            </w:r>
          </w:p>
        </w:tc>
      </w:tr>
    </w:tbl>
    <w:p w14:paraId="32120099" w14:textId="77777777" w:rsidR="00004E60" w:rsidRDefault="00004E60">
      <w:pPr>
        <w:pBdr>
          <w:bottom w:val="single" w:sz="6" w:space="2" w:color="E8A838"/>
        </w:pBdr>
        <w:spacing w:before="200" w:after="100"/>
      </w:pPr>
    </w:p>
    <w:p w14:paraId="61D0C002" w14:textId="77777777" w:rsidR="00004E60" w:rsidRDefault="00004E60">
      <w:r>
        <w:br w:type="page"/>
      </w:r>
    </w:p>
    <w:p w14:paraId="0DCF535E" w14:textId="77777777" w:rsidR="00004E60" w:rsidRDefault="00004E60">
      <w:pPr>
        <w:pBdr>
          <w:bottom w:val="single" w:sz="6" w:space="2" w:color="E8A838"/>
        </w:pBdr>
        <w:spacing w:before="200" w:after="100"/>
        <w:rPr>
          <w:b/>
          <w:bCs/>
          <w:color w:val="0A2342"/>
          <w:sz w:val="22"/>
          <w:szCs w:val="22"/>
        </w:rPr>
      </w:pPr>
    </w:p>
    <w:p w14:paraId="2F0D9E26" w14:textId="2062EA9D" w:rsidR="00210CF9" w:rsidRDefault="00000000">
      <w:pPr>
        <w:pBdr>
          <w:bottom w:val="single" w:sz="6" w:space="2" w:color="E8A838"/>
        </w:pBdr>
        <w:spacing w:before="200" w:after="100"/>
      </w:pPr>
      <w:r>
        <w:rPr>
          <w:b/>
          <w:bCs/>
          <w:color w:val="0A2342"/>
          <w:sz w:val="22"/>
          <w:szCs w:val="22"/>
        </w:rPr>
        <w:t>MEASURABLE RESULTS &amp; BUSINESS IMPACT</w:t>
      </w:r>
    </w:p>
    <w:p w14:paraId="3878F012" w14:textId="77777777" w:rsidR="00210CF9" w:rsidRDefault="00000000">
      <w:pPr>
        <w:spacing w:before="120" w:after="120"/>
      </w:pPr>
      <w:r>
        <w:rPr>
          <w:color w:val="5D6D7E"/>
          <w:sz w:val="18"/>
          <w:szCs w:val="18"/>
        </w:rPr>
        <w:t>The transformation delivered sustained, measurable improvements across every critical performance dimension: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760"/>
        <w:gridCol w:w="3904"/>
      </w:tblGrid>
      <w:tr w:rsidR="00210CF9" w14:paraId="298E3998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9EBB55" w14:textId="77777777" w:rsidR="00210CF9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568B8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F4791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2342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8394EBB" w14:textId="77777777" w:rsidR="00210CF9" w:rsidRDefault="00000000">
            <w:pPr>
              <w:jc w:val="center"/>
            </w:pPr>
            <w:r>
              <w:rPr>
                <w:b/>
                <w:bCs/>
                <w:color w:val="E8A838"/>
                <w:sz w:val="18"/>
                <w:szCs w:val="18"/>
              </w:rPr>
              <w:t>Impact</w:t>
            </w:r>
          </w:p>
        </w:tc>
      </w:tr>
      <w:tr w:rsidR="00210CF9" w14:paraId="0474798B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445801" w14:textId="77777777" w:rsidR="00210CF9" w:rsidRDefault="00000000">
            <w:r>
              <w:rPr>
                <w:sz w:val="18"/>
                <w:szCs w:val="18"/>
              </w:rPr>
              <w:t>SLA Compliance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10BC2" w14:textId="77777777" w:rsidR="00210CF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89%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A8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F2D0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99%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2DBC72A" w14:textId="77777777" w:rsidR="00210CF9" w:rsidRDefault="00000000">
            <w:pPr>
              <w:jc w:val="center"/>
            </w:pPr>
            <w:r>
              <w:rPr>
                <w:color w:val="3A8FC7"/>
                <w:sz w:val="18"/>
                <w:szCs w:val="18"/>
              </w:rPr>
              <w:t>+10 percentage points</w:t>
            </w:r>
          </w:p>
        </w:tc>
      </w:tr>
      <w:tr w:rsidR="00210CF9" w14:paraId="1EAF4CA5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678777" w14:textId="77777777" w:rsidR="00210CF9" w:rsidRDefault="00000000">
            <w:r>
              <w:rPr>
                <w:sz w:val="18"/>
                <w:szCs w:val="18"/>
              </w:rPr>
              <w:t>Mean Time to Resolve (MTTR)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49C06" w14:textId="77777777" w:rsidR="00210CF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4 hours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A8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26A12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hour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BCC10DA" w14:textId="77777777" w:rsidR="00210CF9" w:rsidRDefault="00000000">
            <w:pPr>
              <w:jc w:val="center"/>
            </w:pPr>
            <w:r>
              <w:rPr>
                <w:color w:val="3A8FC7"/>
                <w:sz w:val="18"/>
                <w:szCs w:val="18"/>
              </w:rPr>
              <w:t>75% faster resolution</w:t>
            </w:r>
          </w:p>
        </w:tc>
      </w:tr>
      <w:tr w:rsidR="00210CF9" w14:paraId="708104E3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1C1A6D" w14:textId="77777777" w:rsidR="00210CF9" w:rsidRDefault="00000000">
            <w:r>
              <w:rPr>
                <w:sz w:val="18"/>
                <w:szCs w:val="18"/>
              </w:rPr>
              <w:t>Monitoring Platforms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A230" w14:textId="77777777" w:rsidR="00210CF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A8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0D610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tools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FF120B8" w14:textId="77777777" w:rsidR="00210CF9" w:rsidRDefault="00000000">
            <w:pPr>
              <w:jc w:val="center"/>
            </w:pPr>
            <w:r>
              <w:rPr>
                <w:color w:val="3A8FC7"/>
                <w:sz w:val="18"/>
                <w:szCs w:val="18"/>
              </w:rPr>
              <w:t>Full environment visibility</w:t>
            </w:r>
          </w:p>
        </w:tc>
      </w:tr>
      <w:tr w:rsidR="00210CF9" w14:paraId="6E8C08BE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A574B3" w14:textId="77777777" w:rsidR="00210CF9" w:rsidRDefault="00000000">
            <w:r>
              <w:rPr>
                <w:sz w:val="18"/>
                <w:szCs w:val="18"/>
              </w:rPr>
              <w:t>Operations Coverage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AB0A7" w14:textId="77777777" w:rsidR="00210CF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Business hours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A8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79DEF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24/7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9D29432" w14:textId="77777777" w:rsidR="00210CF9" w:rsidRDefault="00000000">
            <w:pPr>
              <w:jc w:val="center"/>
            </w:pPr>
            <w:r>
              <w:rPr>
                <w:color w:val="3A8FC7"/>
                <w:sz w:val="18"/>
                <w:szCs w:val="18"/>
              </w:rPr>
              <w:t>Always-on reliability</w:t>
            </w:r>
          </w:p>
        </w:tc>
      </w:tr>
      <w:tr w:rsidR="00210CF9" w14:paraId="37F3C32E" w14:textId="77777777" w:rsidTr="002627FF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386546" w14:textId="77777777" w:rsidR="00210CF9" w:rsidRDefault="00000000">
            <w:r>
              <w:rPr>
                <w:sz w:val="18"/>
                <w:szCs w:val="18"/>
              </w:rPr>
              <w:t>Expansion Consultation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1F8D5" w14:textId="77777777" w:rsidR="00210CF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Ad hoc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A8F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3EB61" w14:textId="77777777" w:rsidR="00210C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~2 sites/mo</w:t>
            </w:r>
          </w:p>
        </w:tc>
        <w:tc>
          <w:tcPr>
            <w:tcW w:w="39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F69C693" w14:textId="77777777" w:rsidR="00210CF9" w:rsidRDefault="00000000">
            <w:pPr>
              <w:jc w:val="center"/>
            </w:pPr>
            <w:r>
              <w:rPr>
                <w:color w:val="3A8FC7"/>
                <w:sz w:val="18"/>
                <w:szCs w:val="18"/>
              </w:rPr>
              <w:t>Structured, scalable model</w:t>
            </w:r>
          </w:p>
        </w:tc>
      </w:tr>
    </w:tbl>
    <w:p w14:paraId="1D938405" w14:textId="77777777" w:rsidR="00210CF9" w:rsidRDefault="00210CF9">
      <w:pPr>
        <w:spacing w:after="200"/>
      </w:pP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9785"/>
      </w:tblGrid>
      <w:tr w:rsidR="00210CF9" w14:paraId="125AFFE9" w14:textId="77777777" w:rsidTr="002627FF"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838"/>
          </w:tcPr>
          <w:p w14:paraId="3F3C7228" w14:textId="77777777" w:rsidR="00210CF9" w:rsidRDefault="00210CF9"/>
        </w:tc>
        <w:tc>
          <w:tcPr>
            <w:tcW w:w="97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4472B" w14:textId="77777777" w:rsidR="00210CF9" w:rsidRDefault="00000000">
            <w:r>
              <w:rPr>
                <w:i/>
                <w:iCs/>
                <w:color w:val="0A2342"/>
                <w:sz w:val="19"/>
                <w:szCs w:val="19"/>
              </w:rPr>
              <w:t>"Achieving 99% SLA compliance while expanding at two new sites per month demonstrates that operational excellence and rapid growth are not mutually exclusive — when built on the right foundation."</w:t>
            </w:r>
          </w:p>
        </w:tc>
      </w:tr>
    </w:tbl>
    <w:p w14:paraId="48184577" w14:textId="77777777" w:rsidR="00210CF9" w:rsidRDefault="00210CF9">
      <w:pPr>
        <w:spacing w:after="200"/>
      </w:pPr>
    </w:p>
    <w:p w14:paraId="662DCC6E" w14:textId="77777777" w:rsidR="00210CF9" w:rsidRDefault="00000000">
      <w:pPr>
        <w:pBdr>
          <w:bottom w:val="single" w:sz="6" w:space="2" w:color="E8A838"/>
        </w:pBdr>
        <w:spacing w:before="200" w:after="100"/>
      </w:pPr>
      <w:r>
        <w:rPr>
          <w:b/>
          <w:bCs/>
          <w:color w:val="0A2342"/>
          <w:sz w:val="22"/>
          <w:szCs w:val="22"/>
        </w:rPr>
        <w:t>KEY DIFFERENTIATORS</w:t>
      </w:r>
    </w:p>
    <w:p w14:paraId="06088EE0" w14:textId="77777777" w:rsidR="00210CF9" w:rsidRDefault="00210CF9">
      <w:pPr>
        <w:spacing w:after="60"/>
      </w:pP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2551"/>
        <w:gridCol w:w="2268"/>
        <w:gridCol w:w="2552"/>
      </w:tblGrid>
      <w:tr w:rsidR="00210CF9" w14:paraId="66215D9A" w14:textId="77777777" w:rsidTr="002627FF">
        <w:tc>
          <w:tcPr>
            <w:tcW w:w="2694" w:type="dxa"/>
            <w:tcBorders>
              <w:top w:val="single" w:sz="12" w:space="0" w:color="3A8FC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5DE4F8" w14:textId="77777777" w:rsidR="00210CF9" w:rsidRDefault="00000000">
            <w:pPr>
              <w:spacing w:after="60"/>
            </w:pPr>
            <w:r>
              <w:rPr>
                <w:b/>
                <w:bCs/>
                <w:color w:val="0A2342"/>
                <w:sz w:val="19"/>
                <w:szCs w:val="19"/>
              </w:rPr>
              <w:t>◆  Domain Breadth</w:t>
            </w:r>
          </w:p>
          <w:p w14:paraId="5A25BD68" w14:textId="77777777" w:rsidR="00210CF9" w:rsidRDefault="00000000">
            <w:r>
              <w:rPr>
                <w:color w:val="5D6D7E"/>
                <w:sz w:val="17"/>
                <w:szCs w:val="17"/>
              </w:rPr>
              <w:t>5 disciplines, one cohesive model — no coordination gaps.</w:t>
            </w:r>
          </w:p>
        </w:tc>
        <w:tc>
          <w:tcPr>
            <w:tcW w:w="2551" w:type="dxa"/>
            <w:tcBorders>
              <w:top w:val="single" w:sz="12" w:space="0" w:color="3A8FC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E02B46" w14:textId="77777777" w:rsidR="00210CF9" w:rsidRDefault="00000000">
            <w:pPr>
              <w:spacing w:after="60"/>
            </w:pPr>
            <w:r>
              <w:rPr>
                <w:b/>
                <w:bCs/>
                <w:color w:val="0A2342"/>
                <w:sz w:val="19"/>
                <w:szCs w:val="19"/>
              </w:rPr>
              <w:t>◉  Proactive Ops</w:t>
            </w:r>
          </w:p>
          <w:p w14:paraId="56E91D3B" w14:textId="77777777" w:rsidR="00210CF9" w:rsidRDefault="00000000">
            <w:r>
              <w:rPr>
                <w:color w:val="5D6D7E"/>
                <w:sz w:val="17"/>
                <w:szCs w:val="17"/>
              </w:rPr>
              <w:t>4 monitoring platforms shifted us from reactive to predictive.</w:t>
            </w:r>
          </w:p>
        </w:tc>
        <w:tc>
          <w:tcPr>
            <w:tcW w:w="2268" w:type="dxa"/>
            <w:tcBorders>
              <w:top w:val="single" w:sz="12" w:space="0" w:color="3A8FC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134390" w14:textId="77777777" w:rsidR="00210CF9" w:rsidRDefault="00000000">
            <w:pPr>
              <w:spacing w:after="60"/>
            </w:pPr>
            <w:r>
              <w:rPr>
                <w:b/>
                <w:bCs/>
                <w:color w:val="0A2342"/>
                <w:sz w:val="19"/>
                <w:szCs w:val="19"/>
              </w:rPr>
              <w:t>↑  Zero Downtime</w:t>
            </w:r>
          </w:p>
          <w:p w14:paraId="2613D111" w14:textId="77777777" w:rsidR="00210CF9" w:rsidRDefault="00000000">
            <w:r>
              <w:rPr>
                <w:color w:val="5D6D7E"/>
                <w:sz w:val="17"/>
                <w:szCs w:val="17"/>
              </w:rPr>
              <w:t>Full modernization with no operational interruption.</w:t>
            </w:r>
          </w:p>
        </w:tc>
        <w:tc>
          <w:tcPr>
            <w:tcW w:w="2552" w:type="dxa"/>
            <w:tcBorders>
              <w:top w:val="single" w:sz="12" w:space="0" w:color="3A8FC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484646" w14:textId="77777777" w:rsidR="00210CF9" w:rsidRDefault="00000000">
            <w:pPr>
              <w:spacing w:after="60"/>
            </w:pPr>
            <w:r>
              <w:rPr>
                <w:b/>
                <w:bCs/>
                <w:color w:val="0A2342"/>
                <w:sz w:val="19"/>
                <w:szCs w:val="19"/>
              </w:rPr>
              <w:t>✦  Built to Scale</w:t>
            </w:r>
          </w:p>
          <w:p w14:paraId="2CBCE81D" w14:textId="77777777" w:rsidR="00210CF9" w:rsidRDefault="00000000">
            <w:r>
              <w:rPr>
                <w:color w:val="5D6D7E"/>
                <w:sz w:val="17"/>
                <w:szCs w:val="17"/>
              </w:rPr>
              <w:t>Consultation model governs every new site from day one.</w:t>
            </w:r>
          </w:p>
        </w:tc>
      </w:tr>
    </w:tbl>
    <w:p w14:paraId="2910B836" w14:textId="77777777" w:rsidR="00210CF9" w:rsidRDefault="00210CF9">
      <w:pPr>
        <w:spacing w:after="200"/>
      </w:pPr>
    </w:p>
    <w:p w14:paraId="0177AC3D" w14:textId="77777777" w:rsidR="00210CF9" w:rsidRDefault="00000000">
      <w:pPr>
        <w:pBdr>
          <w:bottom w:val="single" w:sz="6" w:space="2" w:color="E8A838"/>
        </w:pBdr>
        <w:spacing w:before="200" w:after="100"/>
      </w:pPr>
      <w:r>
        <w:rPr>
          <w:b/>
          <w:bCs/>
          <w:color w:val="0A2342"/>
          <w:sz w:val="22"/>
          <w:szCs w:val="22"/>
        </w:rPr>
        <w:t>CONCLUSION &amp; FUTURE OUTLOOK</w:t>
      </w:r>
    </w:p>
    <w:p w14:paraId="6717519C" w14:textId="77777777" w:rsidR="00210CF9" w:rsidRDefault="00000000">
      <w:pPr>
        <w:spacing w:before="120"/>
      </w:pPr>
      <w:r>
        <w:rPr>
          <w:sz w:val="19"/>
          <w:szCs w:val="19"/>
        </w:rPr>
        <w:t>The SC-Zone Operation Optimization program demonstrates that ambitious, large-scale technology transformation is achievable even in mission-critical, zero-downtime environments. With 99% SLA compliance, 24/7 operations coverage, integrated monitoring, and a consultation model that proactively governs every new deployment, SC-Zone is positioned to sustain operational excellence as it grows its role as a global maritime trade hub for decades to come.</w:t>
      </w:r>
    </w:p>
    <w:sectPr w:rsidR="00210CF9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1AC7" w14:textId="77777777" w:rsidR="00FC1157" w:rsidRDefault="00FC1157">
      <w:r>
        <w:separator/>
      </w:r>
    </w:p>
  </w:endnote>
  <w:endnote w:type="continuationSeparator" w:id="0">
    <w:p w14:paraId="091E76E2" w14:textId="77777777" w:rsidR="00FC1157" w:rsidRDefault="00FC1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3C88" w14:textId="77777777" w:rsidR="00210CF9" w:rsidRDefault="00210CF9">
    <w:pPr>
      <w:pBdr>
        <w:top w:val="single" w:sz="4" w:space="1" w:color="006D77"/>
      </w:pBdr>
      <w:spacing w:before="60"/>
    </w:pPr>
  </w:p>
  <w:p w14:paraId="54C9FCAE" w14:textId="77777777" w:rsidR="00210CF9" w:rsidRDefault="00000000">
    <w:pPr>
      <w:spacing w:before="60"/>
      <w:jc w:val="center"/>
    </w:pPr>
    <w:r>
      <w:rPr>
        <w:color w:val="5D6D7E"/>
        <w:sz w:val="16"/>
        <w:szCs w:val="16"/>
      </w:rPr>
      <w:t xml:space="preserve">Confidential  |  Enterprise Use Case  |  SC-Zone Operation Optimization     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2A1D68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4DD3" w14:textId="77777777" w:rsidR="00FC1157" w:rsidRDefault="00FC1157">
      <w:r>
        <w:separator/>
      </w:r>
    </w:p>
  </w:footnote>
  <w:footnote w:type="continuationSeparator" w:id="0">
    <w:p w14:paraId="7EFD634A" w14:textId="77777777" w:rsidR="00FC1157" w:rsidRDefault="00FC1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shd w:val="clear" w:color="auto" w:fill="0E2841" w:themeFill="text2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40"/>
      <w:gridCol w:w="5461"/>
      <w:gridCol w:w="3364"/>
    </w:tblGrid>
    <w:tr w:rsidR="003C61CA" w:rsidRPr="00004E60" w14:paraId="5E05A2DF" w14:textId="77777777" w:rsidTr="002627FF">
      <w:trPr>
        <w:trHeight w:val="1196"/>
      </w:trPr>
      <w:tc>
        <w:tcPr>
          <w:tcW w:w="1240" w:type="dxa"/>
          <w:shd w:val="clear" w:color="auto" w:fill="0E2841" w:themeFill="text2"/>
          <w:vAlign w:val="center"/>
        </w:tcPr>
        <w:p w14:paraId="2BB4C678" w14:textId="02BF3C1D" w:rsidR="003C61CA" w:rsidRPr="00004E60" w:rsidRDefault="003C61CA" w:rsidP="00004E60">
          <w:pPr>
            <w:rPr>
              <w:rFonts w:ascii="Calibri" w:hAnsi="Calibri" w:cs="Calibri"/>
              <w:noProof/>
              <w:color w:val="AABBCC"/>
            </w:rPr>
          </w:pPr>
          <w:r w:rsidRPr="00004E60">
            <w:rPr>
              <w:rFonts w:ascii="Calibri" w:hAnsi="Calibri" w:cs="Calibri"/>
              <w:noProof/>
              <w:color w:val="AABBCC"/>
            </w:rPr>
            <w:drawing>
              <wp:inline distT="0" distB="0" distL="0" distR="0" wp14:anchorId="7D71D78F" wp14:editId="1CDB9A5F">
                <wp:extent cx="774700" cy="774700"/>
                <wp:effectExtent l="0" t="0" r="0" b="0"/>
                <wp:docPr id="114897916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979167" name="Picture 114897916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021" cy="77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1" w:type="dxa"/>
          <w:shd w:val="clear" w:color="auto" w:fill="0E2841" w:themeFill="text2"/>
          <w:tcMar>
            <w:top w:w="80" w:type="dxa"/>
            <w:left w:w="160" w:type="dxa"/>
            <w:bottom w:w="80" w:type="dxa"/>
            <w:right w:w="80" w:type="dxa"/>
          </w:tcMar>
          <w:vAlign w:val="center"/>
        </w:tcPr>
        <w:p w14:paraId="03B533C0" w14:textId="1EECE64B" w:rsidR="003C61CA" w:rsidRPr="00004E60" w:rsidRDefault="003C61CA" w:rsidP="003C61CA">
          <w:pPr>
            <w:ind w:left="-156"/>
            <w:rPr>
              <w:rFonts w:ascii="Calibri" w:hAnsi="Calibri" w:cs="Calibri"/>
              <w:b/>
              <w:bCs/>
              <w:sz w:val="36"/>
              <w:szCs w:val="36"/>
            </w:rPr>
          </w:pPr>
          <w:r w:rsidRPr="00004E60">
            <w:rPr>
              <w:rFonts w:ascii="Calibri" w:hAnsi="Calibri" w:cs="Calibri"/>
              <w:color w:val="AABBCC"/>
            </w:rPr>
            <w:t xml:space="preserve"> </w:t>
          </w:r>
          <w:r w:rsidRPr="00004E60">
            <w:rPr>
              <w:rFonts w:ascii="Calibri" w:hAnsi="Calibri" w:cs="Calibri"/>
              <w:b/>
              <w:bCs/>
              <w:noProof/>
              <w:color w:val="auto"/>
              <w:sz w:val="36"/>
              <w:szCs w:val="36"/>
            </w:rPr>
            <w:t>WAVZ</w:t>
          </w:r>
          <w:r w:rsidRPr="00004E60">
            <w:rPr>
              <w:rFonts w:ascii="Calibri" w:hAnsi="Calibri" w:cs="Calibri"/>
              <w:b/>
              <w:bCs/>
              <w:color w:val="auto"/>
              <w:sz w:val="36"/>
              <w:szCs w:val="36"/>
            </w:rPr>
            <w:t xml:space="preserve"> for Digital Transformation</w:t>
          </w:r>
        </w:p>
      </w:tc>
      <w:tc>
        <w:tcPr>
          <w:tcW w:w="3364" w:type="dxa"/>
          <w:shd w:val="clear" w:color="auto" w:fill="0070C0"/>
          <w:tcMar>
            <w:top w:w="80" w:type="dxa"/>
            <w:left w:w="120" w:type="dxa"/>
            <w:bottom w:w="80" w:type="dxa"/>
            <w:right w:w="160" w:type="dxa"/>
          </w:tcMar>
          <w:vAlign w:val="center"/>
        </w:tcPr>
        <w:p w14:paraId="598F0026" w14:textId="77777777" w:rsidR="003C61CA" w:rsidRPr="00004E60" w:rsidRDefault="003C61CA">
          <w:pPr>
            <w:jc w:val="right"/>
            <w:rPr>
              <w:rFonts w:ascii="Calibri" w:hAnsi="Calibri" w:cs="Calibri"/>
            </w:rPr>
          </w:pPr>
          <w:r w:rsidRPr="00004E60">
            <w:rPr>
              <w:rFonts w:ascii="Calibri" w:hAnsi="Calibri" w:cs="Calibri"/>
              <w:color w:val="FFFFFF"/>
              <w:sz w:val="16"/>
              <w:szCs w:val="16"/>
            </w:rPr>
            <w:t>USE CASE  |  MANAGED IT SERVICES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4C17"/>
    <w:multiLevelType w:val="hybridMultilevel"/>
    <w:tmpl w:val="BC4C2D90"/>
    <w:lvl w:ilvl="0" w:tplc="5BA06EBE">
      <w:start w:val="1"/>
      <w:numFmt w:val="bullet"/>
      <w:lvlText w:val="●"/>
      <w:lvlJc w:val="left"/>
      <w:pPr>
        <w:ind w:left="720" w:hanging="360"/>
      </w:pPr>
    </w:lvl>
    <w:lvl w:ilvl="1" w:tplc="E8D4BCCE">
      <w:start w:val="1"/>
      <w:numFmt w:val="bullet"/>
      <w:lvlText w:val="○"/>
      <w:lvlJc w:val="left"/>
      <w:pPr>
        <w:ind w:left="1440" w:hanging="360"/>
      </w:pPr>
    </w:lvl>
    <w:lvl w:ilvl="2" w:tplc="AF90CFD2">
      <w:start w:val="1"/>
      <w:numFmt w:val="bullet"/>
      <w:lvlText w:val="■"/>
      <w:lvlJc w:val="left"/>
      <w:pPr>
        <w:ind w:left="2160" w:hanging="360"/>
      </w:pPr>
    </w:lvl>
    <w:lvl w:ilvl="3" w:tplc="24506E0E">
      <w:start w:val="1"/>
      <w:numFmt w:val="bullet"/>
      <w:lvlText w:val="●"/>
      <w:lvlJc w:val="left"/>
      <w:pPr>
        <w:ind w:left="2880" w:hanging="360"/>
      </w:pPr>
    </w:lvl>
    <w:lvl w:ilvl="4" w:tplc="8752C412">
      <w:start w:val="1"/>
      <w:numFmt w:val="bullet"/>
      <w:lvlText w:val="○"/>
      <w:lvlJc w:val="left"/>
      <w:pPr>
        <w:ind w:left="3600" w:hanging="360"/>
      </w:pPr>
    </w:lvl>
    <w:lvl w:ilvl="5" w:tplc="91B8B2E2">
      <w:start w:val="1"/>
      <w:numFmt w:val="bullet"/>
      <w:lvlText w:val="■"/>
      <w:lvlJc w:val="left"/>
      <w:pPr>
        <w:ind w:left="4320" w:hanging="360"/>
      </w:pPr>
    </w:lvl>
    <w:lvl w:ilvl="6" w:tplc="09182A0A">
      <w:start w:val="1"/>
      <w:numFmt w:val="bullet"/>
      <w:lvlText w:val="●"/>
      <w:lvlJc w:val="left"/>
      <w:pPr>
        <w:ind w:left="5040" w:hanging="360"/>
      </w:pPr>
    </w:lvl>
    <w:lvl w:ilvl="7" w:tplc="424A99D4">
      <w:start w:val="1"/>
      <w:numFmt w:val="bullet"/>
      <w:lvlText w:val="●"/>
      <w:lvlJc w:val="left"/>
      <w:pPr>
        <w:ind w:left="5760" w:hanging="360"/>
      </w:pPr>
    </w:lvl>
    <w:lvl w:ilvl="8" w:tplc="090419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C0E33"/>
    <w:multiLevelType w:val="hybridMultilevel"/>
    <w:tmpl w:val="EE3616C2"/>
    <w:lvl w:ilvl="0" w:tplc="6F020D62">
      <w:start w:val="1"/>
      <w:numFmt w:val="bullet"/>
      <w:lvlText w:val="▸"/>
      <w:lvlJc w:val="left"/>
      <w:pPr>
        <w:ind w:left="440" w:hanging="280"/>
      </w:pPr>
      <w:rPr>
        <w:rFonts w:ascii="Arial" w:eastAsia="Arial" w:hAnsi="Arial" w:cs="Arial"/>
        <w:color w:val="006D77"/>
        <w:sz w:val="18"/>
        <w:szCs w:val="18"/>
      </w:rPr>
    </w:lvl>
    <w:lvl w:ilvl="1" w:tplc="A566D2B0">
      <w:numFmt w:val="decimal"/>
      <w:lvlText w:val=""/>
      <w:lvlJc w:val="left"/>
    </w:lvl>
    <w:lvl w:ilvl="2" w:tplc="63DC4CE0">
      <w:numFmt w:val="decimal"/>
      <w:lvlText w:val=""/>
      <w:lvlJc w:val="left"/>
    </w:lvl>
    <w:lvl w:ilvl="3" w:tplc="C32AA79E">
      <w:numFmt w:val="decimal"/>
      <w:lvlText w:val=""/>
      <w:lvlJc w:val="left"/>
    </w:lvl>
    <w:lvl w:ilvl="4" w:tplc="CEE015B4">
      <w:numFmt w:val="decimal"/>
      <w:lvlText w:val=""/>
      <w:lvlJc w:val="left"/>
    </w:lvl>
    <w:lvl w:ilvl="5" w:tplc="F3886D04">
      <w:numFmt w:val="decimal"/>
      <w:lvlText w:val=""/>
      <w:lvlJc w:val="left"/>
    </w:lvl>
    <w:lvl w:ilvl="6" w:tplc="A74E0058">
      <w:numFmt w:val="decimal"/>
      <w:lvlText w:val=""/>
      <w:lvlJc w:val="left"/>
    </w:lvl>
    <w:lvl w:ilvl="7" w:tplc="7362F640">
      <w:numFmt w:val="decimal"/>
      <w:lvlText w:val=""/>
      <w:lvlJc w:val="left"/>
    </w:lvl>
    <w:lvl w:ilvl="8" w:tplc="BA36576C">
      <w:numFmt w:val="decimal"/>
      <w:lvlText w:val=""/>
      <w:lvlJc w:val="left"/>
    </w:lvl>
  </w:abstractNum>
  <w:num w:numId="1" w16cid:durableId="1091582535">
    <w:abstractNumId w:val="0"/>
    <w:lvlOverride w:ilvl="0">
      <w:startOverride w:val="1"/>
    </w:lvlOverride>
  </w:num>
  <w:num w:numId="2" w16cid:durableId="1921333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CF9"/>
    <w:rsid w:val="00004E60"/>
    <w:rsid w:val="00210CF9"/>
    <w:rsid w:val="002627FF"/>
    <w:rsid w:val="002A1D68"/>
    <w:rsid w:val="003C61CA"/>
    <w:rsid w:val="008B7B6D"/>
    <w:rsid w:val="00BC0579"/>
    <w:rsid w:val="00D50B33"/>
    <w:rsid w:val="00FC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7F32D"/>
  <w15:docId w15:val="{BFAB7E2C-7BE7-FA49-9EC4-62AFDFAD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61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1CA"/>
  </w:style>
  <w:style w:type="paragraph" w:styleId="Footer">
    <w:name w:val="footer"/>
    <w:basedOn w:val="Normal"/>
    <w:link w:val="FooterChar"/>
    <w:uiPriority w:val="99"/>
    <w:unhideWhenUsed/>
    <w:rsid w:val="003C61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402</Words>
  <Characters>2577</Characters>
  <Application>Microsoft Office Word</Application>
  <DocSecurity>0</DocSecurity>
  <Lines>103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Younes</cp:lastModifiedBy>
  <cp:revision>3</cp:revision>
  <cp:lastPrinted>2026-05-11T21:18:00Z</cp:lastPrinted>
  <dcterms:created xsi:type="dcterms:W3CDTF">2026-05-11T21:18:00Z</dcterms:created>
  <dcterms:modified xsi:type="dcterms:W3CDTF">2026-05-11T22:41:00Z</dcterms:modified>
</cp:coreProperties>
</file>