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Arial" w:cs="Arial" w:eastAsia="Arial" w:hAnsi="Arial"/>
          <w:b/>
          <w:bCs/>
          <w:color w:val="1A2B4A"/>
          <w:sz w:val="64"/>
          <w:szCs w:val="64"/>
        </w:rPr>
        <w:t xml:space="preserve">SIGNALHUNT</w:t>
      </w:r>
    </w:p>
    <w:p>
      <w:pPr>
        <w:spacing w:before="0" w:after="240"/>
        <w:jc w:val="center"/>
      </w:pPr>
      <w:r>
        <w:rPr>
          <w:rFonts w:ascii="Arial" w:cs="Arial" w:eastAsia="Arial" w:hAnsi="Arial"/>
          <w:color w:val="2563EB"/>
          <w:sz w:val="36"/>
          <w:szCs w:val="36"/>
        </w:rPr>
        <w:t xml:space="preserve">Architecture &amp; Security Audit Report</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Borders>
              <w:top w:val="single" w:color="2563EB" w:sz="4"/>
              <w:left w:val="none" w:color="FFFFFF" w:sz="0"/>
              <w:bottom w:val="none" w:color="FFFFFF" w:sz="0"/>
              <w:right w:val="none" w:color="FFFFFF" w:sz="0"/>
            </w:tcBorders>
            <w:tcMar>
              <w:top w:type="dxa" w:w="20"/>
              <w:left w:type="dxa" w:w="0"/>
              <w:bottom w:type="dxa" w:w="20"/>
              <w:right w:type="dxa" w:w="0"/>
            </w:tcMar>
          </w:tcPr>
          <w:p>
            <w:r>
              <w:t xml:space="preserve"/>
            </w:r>
          </w:p>
        </w:tc>
      </w:tr>
    </w:tbl>
    <w:p>
      <w:pPr>
        <w:spacing w:before="120" w:after="0"/>
      </w:pPr>
      <w:r>
        <w:t xml:space="preserve"/>
      </w:r>
    </w:p>
    <w:p>
      <w:pPr>
        <w:spacing w:before="40" w:after="40"/>
        <w:jc w:val="center"/>
      </w:pPr>
      <w:r>
        <w:rPr>
          <w:rFonts w:ascii="Arial" w:cs="Arial" w:eastAsia="Arial" w:hAnsi="Arial"/>
          <w:b/>
          <w:bCs/>
          <w:color w:val="1A2B4A"/>
          <w:sz w:val="22"/>
          <w:szCs w:val="22"/>
        </w:rPr>
        <w:t xml:space="preserve">Classification:  </w:t>
      </w:r>
      <w:r>
        <w:rPr>
          <w:rFonts w:ascii="Arial" w:cs="Arial" w:eastAsia="Arial" w:hAnsi="Arial"/>
          <w:color w:val="475569"/>
          <w:sz w:val="22"/>
          <w:szCs w:val="22"/>
        </w:rPr>
        <w:t xml:space="preserve">Confidential</w:t>
      </w:r>
    </w:p>
    <w:p>
      <w:pPr>
        <w:spacing w:before="40" w:after="40"/>
        <w:jc w:val="center"/>
      </w:pPr>
      <w:r>
        <w:rPr>
          <w:rFonts w:ascii="Arial" w:cs="Arial" w:eastAsia="Arial" w:hAnsi="Arial"/>
          <w:b/>
          <w:bCs/>
          <w:color w:val="1A2B4A"/>
          <w:sz w:val="22"/>
          <w:szCs w:val="22"/>
        </w:rPr>
        <w:t xml:space="preserve">Version:  </w:t>
      </w:r>
      <w:r>
        <w:rPr>
          <w:rFonts w:ascii="Arial" w:cs="Arial" w:eastAsia="Arial" w:hAnsi="Arial"/>
          <w:color w:val="475569"/>
          <w:sz w:val="22"/>
          <w:szCs w:val="22"/>
        </w:rPr>
        <w:t xml:space="preserve">1.0</w:t>
      </w:r>
    </w:p>
    <w:p>
      <w:pPr>
        <w:spacing w:before="40" w:after="40"/>
        <w:jc w:val="center"/>
      </w:pPr>
      <w:r>
        <w:rPr>
          <w:rFonts w:ascii="Arial" w:cs="Arial" w:eastAsia="Arial" w:hAnsi="Arial"/>
          <w:b/>
          <w:bCs/>
          <w:color w:val="1A2B4A"/>
          <w:sz w:val="22"/>
          <w:szCs w:val="22"/>
        </w:rPr>
        <w:t xml:space="preserve">Date:  </w:t>
      </w:r>
      <w:r>
        <w:rPr>
          <w:rFonts w:ascii="Arial" w:cs="Arial" w:eastAsia="Arial" w:hAnsi="Arial"/>
          <w:color w:val="475569"/>
          <w:sz w:val="22"/>
          <w:szCs w:val="22"/>
        </w:rPr>
        <w:t xml:space="preserve">March 13, 2026</w:t>
      </w:r>
    </w:p>
    <w:p>
      <w:pPr>
        <w:spacing w:before="40" w:after="40"/>
        <w:jc w:val="center"/>
      </w:pPr>
      <w:r>
        <w:rPr>
          <w:rFonts w:ascii="Arial" w:cs="Arial" w:eastAsia="Arial" w:hAnsi="Arial"/>
          <w:b/>
          <w:bCs/>
          <w:color w:val="1A2B4A"/>
          <w:sz w:val="22"/>
          <w:szCs w:val="22"/>
        </w:rPr>
        <w:t xml:space="preserve">Prepared For:  </w:t>
      </w:r>
      <w:r>
        <w:rPr>
          <w:rFonts w:ascii="Arial" w:cs="Arial" w:eastAsia="Arial" w:hAnsi="Arial"/>
          <w:color w:val="475569"/>
          <w:sz w:val="22"/>
          <w:szCs w:val="22"/>
        </w:rPr>
        <w:t xml:space="preserve">SignalHunt Engineering &amp; Leadership</w:t>
      </w:r>
    </w:p>
    <w:p>
      <w:pPr>
        <w:spacing w:before="40" w:after="40"/>
        <w:jc w:val="center"/>
      </w:pPr>
      <w:r>
        <w:rPr>
          <w:rFonts w:ascii="Arial" w:cs="Arial" w:eastAsia="Arial" w:hAnsi="Arial"/>
          <w:b/>
          <w:bCs/>
          <w:color w:val="1A2B4A"/>
          <w:sz w:val="22"/>
          <w:szCs w:val="22"/>
        </w:rPr>
        <w:t xml:space="preserve">Scope:  </w:t>
      </w:r>
      <w:r>
        <w:rPr>
          <w:rFonts w:ascii="Arial" w:cs="Arial" w:eastAsia="Arial" w:hAnsi="Arial"/>
          <w:color w:val="475569"/>
          <w:sz w:val="22"/>
          <w:szCs w:val="22"/>
        </w:rPr>
        <w:t xml:space="preserve">Full codebase — API, Web, Shared Types</w:t>
      </w:r>
    </w:p>
    <w:p>
      <w:pPr>
        <w:spacing w:before="40" w:after="40"/>
        <w:jc w:val="center"/>
      </w:pPr>
      <w:r>
        <w:rPr>
          <w:rFonts w:ascii="Arial" w:cs="Arial" w:eastAsia="Arial" w:hAnsi="Arial"/>
          <w:b/>
          <w:bCs/>
          <w:color w:val="1A2B4A"/>
          <w:sz w:val="22"/>
          <w:szCs w:val="22"/>
        </w:rPr>
        <w:t xml:space="preserve">Methodology:  </w:t>
      </w:r>
      <w:r>
        <w:rPr>
          <w:rFonts w:ascii="Arial" w:cs="Arial" w:eastAsia="Arial" w:hAnsi="Arial"/>
          <w:color w:val="475569"/>
          <w:sz w:val="22"/>
          <w:szCs w:val="22"/>
        </w:rPr>
        <w:t xml:space="preserve">Static code review, design review, threat modelling</w:t>
      </w:r>
    </w:p>
    <w:p>
      <w:r>
        <w:br w:type="page"/>
      </w:r>
    </w:p>
    <w:p>
      <w:pPr>
        <w:pStyle w:val="Heading1"/>
        <w:spacing w:before="320" w:after="160"/>
      </w:pPr>
      <w:r>
        <w:rPr>
          <w:rFonts w:ascii="Arial" w:cs="Arial" w:eastAsia="Arial" w:hAnsi="Arial"/>
          <w:b/>
          <w:bCs/>
          <w:color w:val="1A2B4A"/>
          <w:sz w:val="32"/>
          <w:szCs w:val="32"/>
        </w:rPr>
        <w:t xml:space="preserve">1. Executive Summary</w:t>
      </w:r>
    </w:p>
    <w:p>
      <w:pPr>
        <w:spacing w:before="80" w:after="100"/>
      </w:pPr>
      <w:r>
        <w:rPr>
          <w:rFonts w:ascii="Arial" w:cs="Arial" w:eastAsia="Arial" w:hAnsi="Arial"/>
          <w:color w:val="1E293B"/>
          <w:sz w:val="20"/>
          <w:szCs w:val="20"/>
        </w:rPr>
        <w:t xml:space="preserve">SignalHunt is a well-structured B2B outbound sales dialer platform built on a modern, cohesive stack (NestJS, Next.js 19, Prisma, BullMQ, Socket.io). The codebase follows sound architectural conventions — provider abstraction for telephony, module-per-domain organisation, DTO-based serialisation with field stripping, and a monorepo with shared types. These are genuine strengths that reduce future maintenance cost and demonstrate thoughtful design.</w:t>
      </w:r>
    </w:p>
    <w:p>
      <w:pPr>
        <w:spacing w:before="60" w:after="0"/>
      </w:pPr>
      <w:r>
        <w:t xml:space="preserve"/>
      </w:r>
    </w:p>
    <w:p>
      <w:pPr>
        <w:spacing w:before="80" w:after="100"/>
      </w:pPr>
      <w:r>
        <w:rPr>
          <w:rFonts w:ascii="Arial" w:cs="Arial" w:eastAsia="Arial" w:hAnsi="Arial"/>
          <w:color w:val="1E293B"/>
          <w:sz w:val="20"/>
          <w:szCs w:val="20"/>
        </w:rPr>
        <w:t xml:space="preserve">However, the audit identified three Critical and five High severity security findings that must be addressed before the system handles real prospect data at scale. The most serious issues centre on the authentication surface: JWTs are stored in localStorage (XSS-accessible), the WebSocket connection accepts an unauthenticated userId query parameter, and Twilio webhook signature validation is disabled by default. Together these create realistic attack paths that could expose lead databases, allow fake call injection, and permit ADMIN account self-registration from the public internet.</w:t>
      </w:r>
    </w:p>
    <w:p>
      <w:pPr>
        <w:spacing w:before="60" w:after="0"/>
      </w:pPr>
      <w:r>
        <w:t xml:space="preserve"/>
      </w:r>
    </w:p>
    <w:p>
      <w:pPr>
        <w:spacing w:before="80" w:after="100"/>
      </w:pPr>
      <w:r>
        <w:rPr>
          <w:rFonts w:ascii="Arial" w:cs="Arial" w:eastAsia="Arial" w:hAnsi="Arial"/>
          <w:color w:val="1E293B"/>
          <w:sz w:val="20"/>
          <w:szCs w:val="20"/>
        </w:rPr>
        <w:t xml:space="preserve">Scalability and infrastructure resilience are adequate for a single-tenant early-stage deployment, but both Redis and PostgreSQL are single-node, creating SPOFs as load grows. SOLID adherence is broadly good; the handful of type-safety lapses are low-risk code smells, not design flaws.</w:t>
      </w:r>
    </w:p>
    <w:p>
      <w:pPr>
        <w:spacing w:before="60" w:after="0"/>
      </w:pPr>
      <w:r>
        <w:t xml:space="preserve"/>
      </w:r>
    </w:p>
    <w:p>
      <w:pPr>
        <w:spacing w:before="80" w:after="100"/>
      </w:pPr>
      <w:r>
        <w:rPr>
          <w:rFonts w:ascii="Arial" w:cs="Arial" w:eastAsia="Arial" w:hAnsi="Arial"/>
          <w:b/>
          <w:bCs/>
          <w:color w:val="1E293B"/>
          <w:sz w:val="20"/>
          <w:szCs w:val="20"/>
        </w:rPr>
        <w:t xml:space="preserve">Audit Scope: </w:t>
      </w:r>
      <w:r>
        <w:rPr>
          <w:rFonts w:ascii="Arial" w:cs="Arial" w:eastAsia="Arial" w:hAnsi="Arial"/>
          <w:color w:val="1E293B"/>
          <w:sz w:val="20"/>
          <w:szCs w:val="20"/>
        </w:rPr>
        <w:t xml:space="preserve">Full source code — api/, web/, packages/shared-types/, prisma/schema.prisma, README.md (architecture spec). No live environment access. No penetration testing or dynamic analysis performed.</w:t>
      </w:r>
    </w:p>
    <w:p>
      <w:pPr>
        <w:spacing w:before="80" w:after="100"/>
      </w:pPr>
      <w:r>
        <w:rPr>
          <w:rFonts w:ascii="Arial" w:cs="Arial" w:eastAsia="Arial" w:hAnsi="Arial"/>
          <w:b/>
          <w:bCs/>
          <w:color w:val="1E293B"/>
          <w:sz w:val="20"/>
          <w:szCs w:val="20"/>
        </w:rPr>
        <w:t xml:space="preserve">Methodology: </w:t>
      </w:r>
      <w:r>
        <w:rPr>
          <w:rFonts w:ascii="Arial" w:cs="Arial" w:eastAsia="Arial" w:hAnsi="Arial"/>
          <w:color w:val="1E293B"/>
          <w:sz w:val="20"/>
          <w:szCs w:val="20"/>
        </w:rPr>
        <w:t xml:space="preserve">Static source code review, architecture design review, threat modelling (STRIDE), SOLID principles inspection, data-flow analysis for injection and access-control paths, and infrastructure topology review.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25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Dimension</w:t>
            </w:r>
          </w:p>
        </w:tc>
        <w:tc>
          <w:tcPr>
            <w:tcW w:type="dxa" w:w="12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Critical</w:t>
            </w:r>
          </w:p>
        </w:tc>
        <w:tc>
          <w:tcPr>
            <w:tcW w:type="dxa" w:w="12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High</w:t>
            </w:r>
          </w:p>
        </w:tc>
        <w:tc>
          <w:tcPr>
            <w:tcW w:type="dxa" w:w="12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Medium</w:t>
            </w:r>
          </w:p>
        </w:tc>
        <w:tc>
          <w:tcPr>
            <w:tcW w:type="dxa" w:w="12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Low</w:t>
            </w:r>
          </w:p>
        </w:tc>
        <w:tc>
          <w:tcPr>
            <w:tcW w:type="dxa" w:w="256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Top Risk</w:t>
            </w:r>
          </w:p>
        </w:tc>
      </w:tr>
      <w:tr>
        <w:tc>
          <w:tcPr>
            <w:tcW w:type="dxa" w:w="20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E293B"/>
                <w:sz w:val="18"/>
                <w:szCs w:val="18"/>
              </w:rPr>
              <w:t xml:space="preserve">Security</w:t>
            </w:r>
          </w:p>
        </w:tc>
        <w:tc>
          <w:tcPr>
            <w:tcW w:type="dxa" w:w="1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bCs/>
                <w:color w:val="DC2626"/>
                <w:sz w:val="18"/>
                <w:szCs w:val="18"/>
              </w:rPr>
              <w:t xml:space="preserve">3</w:t>
            </w:r>
          </w:p>
        </w:tc>
        <w:tc>
          <w:tcPr>
            <w:tcW w:type="dxa" w:w="1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bCs/>
                <w:color w:val="D97706"/>
                <w:sz w:val="18"/>
                <w:szCs w:val="18"/>
              </w:rPr>
              <w:t xml:space="preserve">5</w:t>
            </w:r>
          </w:p>
        </w:tc>
        <w:tc>
          <w:tcPr>
            <w:tcW w:type="dxa" w:w="1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val="false"/>
                <w:bCs w:val="false"/>
                <w:color w:val="2563EB"/>
                <w:sz w:val="18"/>
                <w:szCs w:val="18"/>
              </w:rPr>
              <w:t xml:space="preserve">2</w:t>
            </w:r>
          </w:p>
        </w:tc>
        <w:tc>
          <w:tcPr>
            <w:tcW w:type="dxa" w:w="1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val="false"/>
                <w:bCs w:val="false"/>
                <w:color w:val="16A34A"/>
                <w:sz w:val="18"/>
                <w:szCs w:val="18"/>
              </w:rPr>
              <w:t xml:space="preserve">1</w:t>
            </w:r>
          </w:p>
        </w:tc>
        <w:tc>
          <w:tcPr>
            <w:tcW w:type="dxa" w:w="25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JWT in localStorage; unauth WebSocket</w:t>
            </w:r>
          </w:p>
        </w:tc>
      </w:tr>
      <w:tr>
        <w:tc>
          <w:tcPr>
            <w:tcW w:type="dxa" w:w="20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E293B"/>
                <w:sz w:val="18"/>
                <w:szCs w:val="18"/>
              </w:rPr>
              <w:t xml:space="preserve">Architecture</w:t>
            </w:r>
          </w:p>
        </w:tc>
        <w:tc>
          <w:tcPr>
            <w:tcW w:type="dxa" w:w="1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bCs/>
                <w:color w:val="D97706"/>
                <w:sz w:val="18"/>
                <w:szCs w:val="18"/>
              </w:rPr>
              <w:t xml:space="preserve">2</w:t>
            </w:r>
          </w:p>
        </w:tc>
        <w:tc>
          <w:tcPr>
            <w:tcW w:type="dxa" w:w="1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val="false"/>
                <w:bCs w:val="false"/>
                <w:color w:val="2563EB"/>
                <w:sz w:val="18"/>
                <w:szCs w:val="18"/>
              </w:rPr>
              <w:t xml:space="preserve">2</w:t>
            </w:r>
          </w:p>
        </w:tc>
        <w:tc>
          <w:tcPr>
            <w:tcW w:type="dxa" w:w="1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val="false"/>
                <w:bCs w:val="false"/>
                <w:color w:val="16A34A"/>
                <w:sz w:val="18"/>
                <w:szCs w:val="18"/>
              </w:rPr>
              <w:t xml:space="preserve">2</w:t>
            </w:r>
          </w:p>
        </w:tc>
        <w:tc>
          <w:tcPr>
            <w:tcW w:type="dxa" w:w="25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Missing ownership checks on 2 endpoints</w:t>
            </w:r>
          </w:p>
        </w:tc>
      </w:tr>
      <w:tr>
        <w:tc>
          <w:tcPr>
            <w:tcW w:type="dxa" w:w="20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E293B"/>
                <w:sz w:val="18"/>
                <w:szCs w:val="18"/>
              </w:rPr>
              <w:t xml:space="preserve">Scalability</w:t>
            </w:r>
          </w:p>
        </w:tc>
        <w:tc>
          <w:tcPr>
            <w:tcW w:type="dxa" w:w="1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w:t>
            </w:r>
          </w:p>
        </w:tc>
        <w:tc>
          <w:tcPr>
            <w:tcW w:type="dxa" w:w="1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bCs/>
                <w:color w:val="D97706"/>
                <w:sz w:val="18"/>
                <w:szCs w:val="18"/>
              </w:rPr>
              <w:t xml:space="preserve">2</w:t>
            </w:r>
          </w:p>
        </w:tc>
        <w:tc>
          <w:tcPr>
            <w:tcW w:type="dxa" w:w="1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val="false"/>
                <w:bCs w:val="false"/>
                <w:color w:val="2563EB"/>
                <w:sz w:val="18"/>
                <w:szCs w:val="18"/>
              </w:rPr>
              <w:t xml:space="preserve">3</w:t>
            </w:r>
          </w:p>
        </w:tc>
        <w:tc>
          <w:tcPr>
            <w:tcW w:type="dxa" w:w="1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val="false"/>
                <w:bCs w:val="false"/>
                <w:color w:val="16A34A"/>
                <w:sz w:val="18"/>
                <w:szCs w:val="18"/>
              </w:rPr>
              <w:t xml:space="preserve">1</w:t>
            </w:r>
          </w:p>
        </w:tc>
        <w:tc>
          <w:tcPr>
            <w:tcW w:type="dxa" w:w="25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Single-node Redis + Postgres SPOFs</w:t>
            </w:r>
          </w:p>
        </w:tc>
      </w:tr>
      <w:tr>
        <w:tc>
          <w:tcPr>
            <w:tcW w:type="dxa" w:w="20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E293B"/>
                <w:sz w:val="18"/>
                <w:szCs w:val="18"/>
              </w:rPr>
              <w:t xml:space="preserve">SOLID</w:t>
            </w:r>
          </w:p>
        </w:tc>
        <w:tc>
          <w:tcPr>
            <w:tcW w:type="dxa" w:w="1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w:t>
            </w:r>
          </w:p>
        </w:tc>
        <w:tc>
          <w:tcPr>
            <w:tcW w:type="dxa" w:w="1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val="false"/>
                <w:bCs w:val="false"/>
                <w:color w:val="2563EB"/>
                <w:sz w:val="18"/>
                <w:szCs w:val="18"/>
              </w:rPr>
              <w:t xml:space="preserve">1</w:t>
            </w:r>
          </w:p>
        </w:tc>
        <w:tc>
          <w:tcPr>
            <w:tcW w:type="dxa" w:w="1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val="false"/>
                <w:bCs w:val="false"/>
                <w:color w:val="16A34A"/>
                <w:sz w:val="18"/>
                <w:szCs w:val="18"/>
              </w:rPr>
              <w:t xml:space="preserve">2</w:t>
            </w:r>
          </w:p>
        </w:tc>
        <w:tc>
          <w:tcPr>
            <w:tcW w:type="dxa" w:w="25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Loose string maps; any-typed objects</w:t>
            </w:r>
          </w:p>
        </w:tc>
      </w:tr>
    </w:tbl>
    <w:p>
      <w:r>
        <w:br w:type="page"/>
      </w:r>
    </w:p>
    <w:p>
      <w:pPr>
        <w:pStyle w:val="Heading1"/>
        <w:spacing w:before="320" w:after="160"/>
      </w:pPr>
      <w:r>
        <w:rPr>
          <w:rFonts w:ascii="Arial" w:cs="Arial" w:eastAsia="Arial" w:hAnsi="Arial"/>
          <w:b/>
          <w:bCs/>
          <w:color w:val="1A2B4A"/>
          <w:sz w:val="32"/>
          <w:szCs w:val="32"/>
        </w:rPr>
        <w:t xml:space="preserve">2. Risk Rating Matrix — All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100"/>
        <w:gridCol w:w="1260"/>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ID</w:t>
            </w:r>
          </w:p>
        </w:tc>
        <w:tc>
          <w:tcPr>
            <w:tcW w:type="dxa" w:w="45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Finding</w:t>
            </w:r>
          </w:p>
        </w:tc>
        <w:tc>
          <w:tcPr>
            <w:tcW w:type="dxa" w:w="11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Severity</w:t>
            </w:r>
          </w:p>
        </w:tc>
        <w:tc>
          <w:tcPr>
            <w:tcW w:type="dxa" w:w="126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Dimension</w:t>
            </w:r>
          </w:p>
        </w:tc>
      </w:tr>
      <w:tr>
        <w:tc>
          <w:tcPr>
            <w:tcW w:type="dxa" w:w="9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A2B4A"/>
                <w:sz w:val="18"/>
                <w:szCs w:val="18"/>
              </w:rPr>
              <w:t xml:space="preserve">SEC-01</w:t>
            </w:r>
          </w:p>
        </w:tc>
        <w:tc>
          <w:tcPr>
            <w:tcW w:type="dxa" w:w="4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JWT stored in localStorage (XSS exposure)</w:t>
            </w:r>
          </w:p>
        </w:tc>
        <w:tc>
          <w:tcPr>
            <w:tcW w:type="dxa" w:w="1100"/>
            <w:tcBorders>
              <w:top w:val="single" w:color="DC2626" w:sz="1"/>
              <w:left w:val="single" w:color="DC2626" w:sz="1"/>
              <w:bottom w:val="single" w:color="DC2626" w:sz="1"/>
              <w:right w:val="single" w:color="DC2626" w:sz="1"/>
            </w:tcBorders>
            <w:shd w:fill="FEF2F2" w:val="clear"/>
            <w:tcMar>
              <w:top w:type="dxa" w:w="70"/>
              <w:left w:type="dxa" w:w="140"/>
              <w:bottom w:type="dxa" w:w="70"/>
              <w:right w:type="dxa" w:w="140"/>
            </w:tcMar>
          </w:tcPr>
          <w:p>
            <w:pPr>
              <w:jc w:val="center"/>
            </w:pPr>
            <w:r>
              <w:rPr>
                <w:rFonts w:ascii="Arial" w:cs="Arial" w:eastAsia="Arial" w:hAnsi="Arial"/>
                <w:b/>
                <w:bCs/>
                <w:color w:val="DC2626"/>
                <w:sz w:val="18"/>
                <w:szCs w:val="18"/>
              </w:rPr>
              <w:t xml:space="preserve">CRITICAL</w:t>
            </w:r>
          </w:p>
        </w:tc>
        <w:tc>
          <w:tcPr>
            <w:tcW w:type="dxa" w:w="12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Security</w:t>
            </w:r>
          </w:p>
        </w:tc>
      </w:tr>
      <w:tr>
        <w:tc>
          <w:tcPr>
            <w:tcW w:type="dxa" w:w="9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A2B4A"/>
                <w:sz w:val="18"/>
                <w:szCs w:val="18"/>
              </w:rPr>
              <w:t xml:space="preserve">SEC-02</w:t>
            </w:r>
          </w:p>
        </w:tc>
        <w:tc>
          <w:tcPr>
            <w:tcW w:type="dxa" w:w="4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WebSocket auth bypassed (userId query param)</w:t>
            </w:r>
          </w:p>
        </w:tc>
        <w:tc>
          <w:tcPr>
            <w:tcW w:type="dxa" w:w="1100"/>
            <w:tcBorders>
              <w:top w:val="single" w:color="DC2626" w:sz="1"/>
              <w:left w:val="single" w:color="DC2626" w:sz="1"/>
              <w:bottom w:val="single" w:color="DC2626" w:sz="1"/>
              <w:right w:val="single" w:color="DC2626" w:sz="1"/>
            </w:tcBorders>
            <w:shd w:fill="FEF2F2" w:val="clear"/>
            <w:tcMar>
              <w:top w:type="dxa" w:w="70"/>
              <w:left w:type="dxa" w:w="140"/>
              <w:bottom w:type="dxa" w:w="70"/>
              <w:right w:type="dxa" w:w="140"/>
            </w:tcMar>
          </w:tcPr>
          <w:p>
            <w:pPr>
              <w:jc w:val="center"/>
            </w:pPr>
            <w:r>
              <w:rPr>
                <w:rFonts w:ascii="Arial" w:cs="Arial" w:eastAsia="Arial" w:hAnsi="Arial"/>
                <w:b/>
                <w:bCs/>
                <w:color w:val="DC2626"/>
                <w:sz w:val="18"/>
                <w:szCs w:val="18"/>
              </w:rPr>
              <w:t xml:space="preserve">CRITICAL</w:t>
            </w:r>
          </w:p>
        </w:tc>
        <w:tc>
          <w:tcPr>
            <w:tcW w:type="dxa" w:w="12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Security</w:t>
            </w:r>
          </w:p>
        </w:tc>
      </w:tr>
      <w:tr>
        <w:tc>
          <w:tcPr>
            <w:tcW w:type="dxa" w:w="9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A2B4A"/>
                <w:sz w:val="18"/>
                <w:szCs w:val="18"/>
              </w:rPr>
              <w:t xml:space="preserve">SEC-03</w:t>
            </w:r>
          </w:p>
        </w:tc>
        <w:tc>
          <w:tcPr>
            <w:tcW w:type="dxa" w:w="4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WEBHOOK_VALIDATION defaults to false</w:t>
            </w:r>
          </w:p>
        </w:tc>
        <w:tc>
          <w:tcPr>
            <w:tcW w:type="dxa" w:w="1100"/>
            <w:tcBorders>
              <w:top w:val="single" w:color="DC2626" w:sz="1"/>
              <w:left w:val="single" w:color="DC2626" w:sz="1"/>
              <w:bottom w:val="single" w:color="DC2626" w:sz="1"/>
              <w:right w:val="single" w:color="DC2626" w:sz="1"/>
            </w:tcBorders>
            <w:shd w:fill="FEF2F2" w:val="clear"/>
            <w:tcMar>
              <w:top w:type="dxa" w:w="70"/>
              <w:left w:type="dxa" w:w="140"/>
              <w:bottom w:type="dxa" w:w="70"/>
              <w:right w:type="dxa" w:w="140"/>
            </w:tcMar>
          </w:tcPr>
          <w:p>
            <w:pPr>
              <w:jc w:val="center"/>
            </w:pPr>
            <w:r>
              <w:rPr>
                <w:rFonts w:ascii="Arial" w:cs="Arial" w:eastAsia="Arial" w:hAnsi="Arial"/>
                <w:b/>
                <w:bCs/>
                <w:color w:val="DC2626"/>
                <w:sz w:val="18"/>
                <w:szCs w:val="18"/>
              </w:rPr>
              <w:t xml:space="preserve">CRITICAL</w:t>
            </w:r>
          </w:p>
        </w:tc>
        <w:tc>
          <w:tcPr>
            <w:tcW w:type="dxa" w:w="12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Security</w:t>
            </w:r>
          </w:p>
        </w:tc>
      </w:tr>
      <w:tr>
        <w:tc>
          <w:tcPr>
            <w:tcW w:type="dxa" w:w="9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A2B4A"/>
                <w:sz w:val="18"/>
                <w:szCs w:val="18"/>
              </w:rPr>
              <w:t xml:space="preserve">SEC-04</w:t>
            </w:r>
          </w:p>
        </w:tc>
        <w:tc>
          <w:tcPr>
            <w:tcW w:type="dxa" w:w="4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Open self-registration endpoint (any role)</w:t>
            </w:r>
          </w:p>
        </w:tc>
        <w:tc>
          <w:tcPr>
            <w:tcW w:type="dxa" w:w="1100"/>
            <w:tcBorders>
              <w:top w:val="single" w:color="D97706" w:sz="1"/>
              <w:left w:val="single" w:color="D97706" w:sz="1"/>
              <w:bottom w:val="single" w:color="D97706" w:sz="1"/>
              <w:right w:val="single" w:color="D97706" w:sz="1"/>
            </w:tcBorders>
            <w:shd w:fill="FFFBEB" w:val="clear"/>
            <w:tcMar>
              <w:top w:type="dxa" w:w="70"/>
              <w:left w:type="dxa" w:w="140"/>
              <w:bottom w:type="dxa" w:w="70"/>
              <w:right w:type="dxa" w:w="140"/>
            </w:tcMar>
          </w:tcPr>
          <w:p>
            <w:pPr>
              <w:jc w:val="center"/>
            </w:pPr>
            <w:r>
              <w:rPr>
                <w:rFonts w:ascii="Arial" w:cs="Arial" w:eastAsia="Arial" w:hAnsi="Arial"/>
                <w:b/>
                <w:bCs/>
                <w:color w:val="D97706"/>
                <w:sz w:val="18"/>
                <w:szCs w:val="18"/>
              </w:rPr>
              <w:t xml:space="preserve">HIGH</w:t>
            </w:r>
          </w:p>
        </w:tc>
        <w:tc>
          <w:tcPr>
            <w:tcW w:type="dxa" w:w="12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Security</w:t>
            </w:r>
          </w:p>
        </w:tc>
      </w:tr>
      <w:tr>
        <w:tc>
          <w:tcPr>
            <w:tcW w:type="dxa" w:w="9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A2B4A"/>
                <w:sz w:val="18"/>
                <w:szCs w:val="18"/>
              </w:rPr>
              <w:t xml:space="preserve">SEC-05</w:t>
            </w:r>
          </w:p>
        </w:tc>
        <w:tc>
          <w:tcPr>
            <w:tcW w:type="dxa" w:w="4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Twilio Access Token issued without TwiML app check</w:t>
            </w:r>
          </w:p>
        </w:tc>
        <w:tc>
          <w:tcPr>
            <w:tcW w:type="dxa" w:w="1100"/>
            <w:tcBorders>
              <w:top w:val="single" w:color="D97706" w:sz="1"/>
              <w:left w:val="single" w:color="D97706" w:sz="1"/>
              <w:bottom w:val="single" w:color="D97706" w:sz="1"/>
              <w:right w:val="single" w:color="D97706" w:sz="1"/>
            </w:tcBorders>
            <w:shd w:fill="FFFBEB" w:val="clear"/>
            <w:tcMar>
              <w:top w:type="dxa" w:w="70"/>
              <w:left w:type="dxa" w:w="140"/>
              <w:bottom w:type="dxa" w:w="70"/>
              <w:right w:type="dxa" w:w="140"/>
            </w:tcMar>
          </w:tcPr>
          <w:p>
            <w:pPr>
              <w:jc w:val="center"/>
            </w:pPr>
            <w:r>
              <w:rPr>
                <w:rFonts w:ascii="Arial" w:cs="Arial" w:eastAsia="Arial" w:hAnsi="Arial"/>
                <w:b/>
                <w:bCs/>
                <w:color w:val="D97706"/>
                <w:sz w:val="18"/>
                <w:szCs w:val="18"/>
              </w:rPr>
              <w:t xml:space="preserve">HIGH</w:t>
            </w:r>
          </w:p>
        </w:tc>
        <w:tc>
          <w:tcPr>
            <w:tcW w:type="dxa" w:w="12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Security</w:t>
            </w:r>
          </w:p>
        </w:tc>
      </w:tr>
      <w:tr>
        <w:tc>
          <w:tcPr>
            <w:tcW w:type="dxa" w:w="9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A2B4A"/>
                <w:sz w:val="18"/>
                <w:szCs w:val="18"/>
              </w:rPr>
              <w:t xml:space="preserve">SEC-06</w:t>
            </w:r>
          </w:p>
        </w:tc>
        <w:tc>
          <w:tcPr>
            <w:tcW w:type="dxa" w:w="4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No rate limiting on auth / import endpoints</w:t>
            </w:r>
          </w:p>
        </w:tc>
        <w:tc>
          <w:tcPr>
            <w:tcW w:type="dxa" w:w="1100"/>
            <w:tcBorders>
              <w:top w:val="single" w:color="D97706" w:sz="1"/>
              <w:left w:val="single" w:color="D97706" w:sz="1"/>
              <w:bottom w:val="single" w:color="D97706" w:sz="1"/>
              <w:right w:val="single" w:color="D97706" w:sz="1"/>
            </w:tcBorders>
            <w:shd w:fill="FFFBEB" w:val="clear"/>
            <w:tcMar>
              <w:top w:type="dxa" w:w="70"/>
              <w:left w:type="dxa" w:w="140"/>
              <w:bottom w:type="dxa" w:w="70"/>
              <w:right w:type="dxa" w:w="140"/>
            </w:tcMar>
          </w:tcPr>
          <w:p>
            <w:pPr>
              <w:jc w:val="center"/>
            </w:pPr>
            <w:r>
              <w:rPr>
                <w:rFonts w:ascii="Arial" w:cs="Arial" w:eastAsia="Arial" w:hAnsi="Arial"/>
                <w:b/>
                <w:bCs/>
                <w:color w:val="D97706"/>
                <w:sz w:val="18"/>
                <w:szCs w:val="18"/>
              </w:rPr>
              <w:t xml:space="preserve">HIGH</w:t>
            </w:r>
          </w:p>
        </w:tc>
        <w:tc>
          <w:tcPr>
            <w:tcW w:type="dxa" w:w="12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Security</w:t>
            </w:r>
          </w:p>
        </w:tc>
      </w:tr>
      <w:tr>
        <w:tc>
          <w:tcPr>
            <w:tcW w:type="dxa" w:w="9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A2B4A"/>
                <w:sz w:val="18"/>
                <w:szCs w:val="18"/>
              </w:rPr>
              <w:t xml:space="preserve">SEC-07</w:t>
            </w:r>
          </w:p>
        </w:tc>
        <w:tc>
          <w:tcPr>
            <w:tcW w:type="dxa" w:w="4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File upload: MIME type spoofable (no magic bytes)</w:t>
            </w:r>
          </w:p>
        </w:tc>
        <w:tc>
          <w:tcPr>
            <w:tcW w:type="dxa" w:w="1100"/>
            <w:tcBorders>
              <w:top w:val="single" w:color="D97706" w:sz="1"/>
              <w:left w:val="single" w:color="D97706" w:sz="1"/>
              <w:bottom w:val="single" w:color="D97706" w:sz="1"/>
              <w:right w:val="single" w:color="D97706" w:sz="1"/>
            </w:tcBorders>
            <w:shd w:fill="FFFBEB" w:val="clear"/>
            <w:tcMar>
              <w:top w:type="dxa" w:w="70"/>
              <w:left w:type="dxa" w:w="140"/>
              <w:bottom w:type="dxa" w:w="70"/>
              <w:right w:type="dxa" w:w="140"/>
            </w:tcMar>
          </w:tcPr>
          <w:p>
            <w:pPr>
              <w:jc w:val="center"/>
            </w:pPr>
            <w:r>
              <w:rPr>
                <w:rFonts w:ascii="Arial" w:cs="Arial" w:eastAsia="Arial" w:hAnsi="Arial"/>
                <w:b/>
                <w:bCs/>
                <w:color w:val="D97706"/>
                <w:sz w:val="18"/>
                <w:szCs w:val="18"/>
              </w:rPr>
              <w:t xml:space="preserve">HIGH</w:t>
            </w:r>
          </w:p>
        </w:tc>
        <w:tc>
          <w:tcPr>
            <w:tcW w:type="dxa" w:w="12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Security</w:t>
            </w:r>
          </w:p>
        </w:tc>
      </w:tr>
      <w:tr>
        <w:tc>
          <w:tcPr>
            <w:tcW w:type="dxa" w:w="9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A2B4A"/>
                <w:sz w:val="18"/>
                <w:szCs w:val="18"/>
              </w:rPr>
              <w:t xml:space="preserve">SEC-08</w:t>
            </w:r>
          </w:p>
        </w:tc>
        <w:tc>
          <w:tcPr>
            <w:tcW w:type="dxa" w:w="4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Recording URL stored unprotected in DB</w:t>
            </w:r>
          </w:p>
        </w:tc>
        <w:tc>
          <w:tcPr>
            <w:tcW w:type="dxa" w:w="1100"/>
            <w:tcBorders>
              <w:top w:val="single" w:color="D97706" w:sz="1"/>
              <w:left w:val="single" w:color="D97706" w:sz="1"/>
              <w:bottom w:val="single" w:color="D97706" w:sz="1"/>
              <w:right w:val="single" w:color="D97706" w:sz="1"/>
            </w:tcBorders>
            <w:shd w:fill="FFFBEB" w:val="clear"/>
            <w:tcMar>
              <w:top w:type="dxa" w:w="70"/>
              <w:left w:type="dxa" w:w="140"/>
              <w:bottom w:type="dxa" w:w="70"/>
              <w:right w:type="dxa" w:w="140"/>
            </w:tcMar>
          </w:tcPr>
          <w:p>
            <w:pPr>
              <w:jc w:val="center"/>
            </w:pPr>
            <w:r>
              <w:rPr>
                <w:rFonts w:ascii="Arial" w:cs="Arial" w:eastAsia="Arial" w:hAnsi="Arial"/>
                <w:b/>
                <w:bCs/>
                <w:color w:val="D97706"/>
                <w:sz w:val="18"/>
                <w:szCs w:val="18"/>
              </w:rPr>
              <w:t xml:space="preserve">HIGH</w:t>
            </w:r>
          </w:p>
        </w:tc>
        <w:tc>
          <w:tcPr>
            <w:tcW w:type="dxa" w:w="12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Security</w:t>
            </w:r>
          </w:p>
        </w:tc>
      </w:tr>
      <w:tr>
        <w:tc>
          <w:tcPr>
            <w:tcW w:type="dxa" w:w="9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A2B4A"/>
                <w:sz w:val="18"/>
                <w:szCs w:val="18"/>
              </w:rPr>
              <w:t xml:space="preserve">SEC-09</w:t>
            </w:r>
          </w:p>
        </w:tc>
        <w:tc>
          <w:tcPr>
            <w:tcW w:type="dxa" w:w="4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Personal data (LinkedIn, email) lacks encryption</w:t>
            </w:r>
          </w:p>
        </w:tc>
        <w:tc>
          <w:tcPr>
            <w:tcW w:type="dxa" w:w="1100"/>
            <w:tcBorders>
              <w:top w:val="single" w:color="2563EB" w:sz="1"/>
              <w:left w:val="single" w:color="2563EB" w:sz="1"/>
              <w:bottom w:val="single" w:color="2563EB" w:sz="1"/>
              <w:right w:val="single" w:color="2563EB" w:sz="1"/>
            </w:tcBorders>
            <w:shd w:fill="EFF6FF" w:val="clear"/>
            <w:tcMar>
              <w:top w:type="dxa" w:w="70"/>
              <w:left w:type="dxa" w:w="140"/>
              <w:bottom w:type="dxa" w:w="70"/>
              <w:right w:type="dxa" w:w="140"/>
            </w:tcMar>
          </w:tcPr>
          <w:p>
            <w:pPr>
              <w:jc w:val="center"/>
            </w:pPr>
            <w:r>
              <w:rPr>
                <w:rFonts w:ascii="Arial" w:cs="Arial" w:eastAsia="Arial" w:hAnsi="Arial"/>
                <w:b/>
                <w:bCs/>
                <w:color w:val="2563EB"/>
                <w:sz w:val="18"/>
                <w:szCs w:val="18"/>
              </w:rPr>
              <w:t xml:space="preserve">MEDIUM</w:t>
            </w:r>
          </w:p>
        </w:tc>
        <w:tc>
          <w:tcPr>
            <w:tcW w:type="dxa" w:w="12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Security</w:t>
            </w:r>
          </w:p>
        </w:tc>
      </w:tr>
      <w:tr>
        <w:tc>
          <w:tcPr>
            <w:tcW w:type="dxa" w:w="9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A2B4A"/>
                <w:sz w:val="18"/>
                <w:szCs w:val="18"/>
              </w:rPr>
              <w:t xml:space="preserve">SEC-10</w:t>
            </w:r>
          </w:p>
        </w:tc>
        <w:tc>
          <w:tcPr>
            <w:tcW w:type="dxa" w:w="4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No CSRF protection (cookies not used yet, but planned)</w:t>
            </w:r>
          </w:p>
        </w:tc>
        <w:tc>
          <w:tcPr>
            <w:tcW w:type="dxa" w:w="1100"/>
            <w:tcBorders>
              <w:top w:val="single" w:color="2563EB" w:sz="1"/>
              <w:left w:val="single" w:color="2563EB" w:sz="1"/>
              <w:bottom w:val="single" w:color="2563EB" w:sz="1"/>
              <w:right w:val="single" w:color="2563EB" w:sz="1"/>
            </w:tcBorders>
            <w:shd w:fill="EFF6FF" w:val="clear"/>
            <w:tcMar>
              <w:top w:type="dxa" w:w="70"/>
              <w:left w:type="dxa" w:w="140"/>
              <w:bottom w:type="dxa" w:w="70"/>
              <w:right w:type="dxa" w:w="140"/>
            </w:tcMar>
          </w:tcPr>
          <w:p>
            <w:pPr>
              <w:jc w:val="center"/>
            </w:pPr>
            <w:r>
              <w:rPr>
                <w:rFonts w:ascii="Arial" w:cs="Arial" w:eastAsia="Arial" w:hAnsi="Arial"/>
                <w:b/>
                <w:bCs/>
                <w:color w:val="2563EB"/>
                <w:sz w:val="18"/>
                <w:szCs w:val="18"/>
              </w:rPr>
              <w:t xml:space="preserve">MEDIUM</w:t>
            </w:r>
          </w:p>
        </w:tc>
        <w:tc>
          <w:tcPr>
            <w:tcW w:type="dxa" w:w="12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Security</w:t>
            </w:r>
          </w:p>
        </w:tc>
      </w:tr>
      <w:tr>
        <w:tc>
          <w:tcPr>
            <w:tcW w:type="dxa" w:w="9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A2B4A"/>
                <w:sz w:val="18"/>
                <w:szCs w:val="18"/>
              </w:rPr>
              <w:t xml:space="preserve">SEC-11</w:t>
            </w:r>
          </w:p>
        </w:tc>
        <w:tc>
          <w:tcPr>
            <w:tcW w:type="dxa" w:w="4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CORS origin is a single env var — no wildcard guard</w:t>
            </w:r>
          </w:p>
        </w:tc>
        <w:tc>
          <w:tcPr>
            <w:tcW w:type="dxa" w:w="1100"/>
            <w:tcBorders>
              <w:top w:val="single" w:color="16A34A" w:sz="1"/>
              <w:left w:val="single" w:color="16A34A" w:sz="1"/>
              <w:bottom w:val="single" w:color="16A34A" w:sz="1"/>
              <w:right w:val="single" w:color="16A34A" w:sz="1"/>
            </w:tcBorders>
            <w:shd w:fill="F0FDF4" w:val="clear"/>
            <w:tcMar>
              <w:top w:type="dxa" w:w="70"/>
              <w:left w:type="dxa" w:w="140"/>
              <w:bottom w:type="dxa" w:w="70"/>
              <w:right w:type="dxa" w:w="140"/>
            </w:tcMar>
          </w:tcPr>
          <w:p>
            <w:pPr>
              <w:jc w:val="center"/>
            </w:pPr>
            <w:r>
              <w:rPr>
                <w:rFonts w:ascii="Arial" w:cs="Arial" w:eastAsia="Arial" w:hAnsi="Arial"/>
                <w:b/>
                <w:bCs/>
                <w:color w:val="16A34A"/>
                <w:sz w:val="18"/>
                <w:szCs w:val="18"/>
              </w:rPr>
              <w:t xml:space="preserve">LOW</w:t>
            </w:r>
          </w:p>
        </w:tc>
        <w:tc>
          <w:tcPr>
            <w:tcW w:type="dxa" w:w="12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Security</w:t>
            </w:r>
          </w:p>
        </w:tc>
      </w:tr>
      <w:tr>
        <w:tc>
          <w:tcPr>
            <w:tcW w:type="dxa" w:w="9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A2B4A"/>
                <w:sz w:val="18"/>
                <w:szCs w:val="18"/>
              </w:rPr>
              <w:t xml:space="preserve">ARC-01</w:t>
            </w:r>
          </w:p>
        </w:tc>
        <w:tc>
          <w:tcPr>
            <w:tcW w:type="dxa" w:w="4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No global JwtAuthGuard — per-controller @UseGuards</w:t>
            </w:r>
          </w:p>
        </w:tc>
        <w:tc>
          <w:tcPr>
            <w:tcW w:type="dxa" w:w="1100"/>
            <w:tcBorders>
              <w:top w:val="single" w:color="D97706" w:sz="1"/>
              <w:left w:val="single" w:color="D97706" w:sz="1"/>
              <w:bottom w:val="single" w:color="D97706" w:sz="1"/>
              <w:right w:val="single" w:color="D97706" w:sz="1"/>
            </w:tcBorders>
            <w:shd w:fill="FFFBEB" w:val="clear"/>
            <w:tcMar>
              <w:top w:type="dxa" w:w="70"/>
              <w:left w:type="dxa" w:w="140"/>
              <w:bottom w:type="dxa" w:w="70"/>
              <w:right w:type="dxa" w:w="140"/>
            </w:tcMar>
          </w:tcPr>
          <w:p>
            <w:pPr>
              <w:jc w:val="center"/>
            </w:pPr>
            <w:r>
              <w:rPr>
                <w:rFonts w:ascii="Arial" w:cs="Arial" w:eastAsia="Arial" w:hAnsi="Arial"/>
                <w:b/>
                <w:bCs/>
                <w:color w:val="D97706"/>
                <w:sz w:val="18"/>
                <w:szCs w:val="18"/>
              </w:rPr>
              <w:t xml:space="preserve">HIGH</w:t>
            </w:r>
          </w:p>
        </w:tc>
        <w:tc>
          <w:tcPr>
            <w:tcW w:type="dxa" w:w="12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Architecture</w:t>
            </w:r>
          </w:p>
        </w:tc>
      </w:tr>
      <w:tr>
        <w:tc>
          <w:tcPr>
            <w:tcW w:type="dxa" w:w="9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A2B4A"/>
                <w:sz w:val="18"/>
                <w:szCs w:val="18"/>
              </w:rPr>
              <w:t xml:space="preserve">ARC-02</w:t>
            </w:r>
          </w:p>
        </w:tc>
        <w:tc>
          <w:tcPr>
            <w:tcW w:type="dxa" w:w="4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GET /calls/lead/:leadId — no ownership check</w:t>
            </w:r>
          </w:p>
        </w:tc>
        <w:tc>
          <w:tcPr>
            <w:tcW w:type="dxa" w:w="1100"/>
            <w:tcBorders>
              <w:top w:val="single" w:color="D97706" w:sz="1"/>
              <w:left w:val="single" w:color="D97706" w:sz="1"/>
              <w:bottom w:val="single" w:color="D97706" w:sz="1"/>
              <w:right w:val="single" w:color="D97706" w:sz="1"/>
            </w:tcBorders>
            <w:shd w:fill="FFFBEB" w:val="clear"/>
            <w:tcMar>
              <w:top w:type="dxa" w:w="70"/>
              <w:left w:type="dxa" w:w="140"/>
              <w:bottom w:type="dxa" w:w="70"/>
              <w:right w:type="dxa" w:w="140"/>
            </w:tcMar>
          </w:tcPr>
          <w:p>
            <w:pPr>
              <w:jc w:val="center"/>
            </w:pPr>
            <w:r>
              <w:rPr>
                <w:rFonts w:ascii="Arial" w:cs="Arial" w:eastAsia="Arial" w:hAnsi="Arial"/>
                <w:b/>
                <w:bCs/>
                <w:color w:val="D97706"/>
                <w:sz w:val="18"/>
                <w:szCs w:val="18"/>
              </w:rPr>
              <w:t xml:space="preserve">HIGH</w:t>
            </w:r>
          </w:p>
        </w:tc>
        <w:tc>
          <w:tcPr>
            <w:tcW w:type="dxa" w:w="12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Architecture</w:t>
            </w:r>
          </w:p>
        </w:tc>
      </w:tr>
      <w:tr>
        <w:tc>
          <w:tcPr>
            <w:tcW w:type="dxa" w:w="9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A2B4A"/>
                <w:sz w:val="18"/>
                <w:szCs w:val="18"/>
              </w:rPr>
              <w:t xml:space="preserve">ARC-03</w:t>
            </w:r>
          </w:p>
        </w:tc>
        <w:tc>
          <w:tcPr>
            <w:tcW w:type="dxa" w:w="4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GET /imports/:id — no ownership check</w:t>
            </w:r>
          </w:p>
        </w:tc>
        <w:tc>
          <w:tcPr>
            <w:tcW w:type="dxa" w:w="1100"/>
            <w:tcBorders>
              <w:top w:val="single" w:color="D97706" w:sz="1"/>
              <w:left w:val="single" w:color="D97706" w:sz="1"/>
              <w:bottom w:val="single" w:color="D97706" w:sz="1"/>
              <w:right w:val="single" w:color="D97706" w:sz="1"/>
            </w:tcBorders>
            <w:shd w:fill="FFFBEB" w:val="clear"/>
            <w:tcMar>
              <w:top w:type="dxa" w:w="70"/>
              <w:left w:type="dxa" w:w="140"/>
              <w:bottom w:type="dxa" w:w="70"/>
              <w:right w:type="dxa" w:w="140"/>
            </w:tcMar>
          </w:tcPr>
          <w:p>
            <w:pPr>
              <w:jc w:val="center"/>
            </w:pPr>
            <w:r>
              <w:rPr>
                <w:rFonts w:ascii="Arial" w:cs="Arial" w:eastAsia="Arial" w:hAnsi="Arial"/>
                <w:b/>
                <w:bCs/>
                <w:color w:val="D97706"/>
                <w:sz w:val="18"/>
                <w:szCs w:val="18"/>
              </w:rPr>
              <w:t xml:space="preserve">HIGH</w:t>
            </w:r>
          </w:p>
        </w:tc>
        <w:tc>
          <w:tcPr>
            <w:tcW w:type="dxa" w:w="12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Architecture</w:t>
            </w:r>
          </w:p>
        </w:tc>
      </w:tr>
      <w:tr>
        <w:tc>
          <w:tcPr>
            <w:tcW w:type="dxa" w:w="9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A2B4A"/>
                <w:sz w:val="18"/>
                <w:szCs w:val="18"/>
              </w:rPr>
              <w:t xml:space="preserve">ARC-04</w:t>
            </w:r>
          </w:p>
        </w:tc>
        <w:tc>
          <w:tcPr>
            <w:tcW w:type="dxa" w:w="4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Worker &amp; API share DB; no read replica / pool limit</w:t>
            </w:r>
          </w:p>
        </w:tc>
        <w:tc>
          <w:tcPr>
            <w:tcW w:type="dxa" w:w="1100"/>
            <w:tcBorders>
              <w:top w:val="single" w:color="2563EB" w:sz="1"/>
              <w:left w:val="single" w:color="2563EB" w:sz="1"/>
              <w:bottom w:val="single" w:color="2563EB" w:sz="1"/>
              <w:right w:val="single" w:color="2563EB" w:sz="1"/>
            </w:tcBorders>
            <w:shd w:fill="EFF6FF" w:val="clear"/>
            <w:tcMar>
              <w:top w:type="dxa" w:w="70"/>
              <w:left w:type="dxa" w:w="140"/>
              <w:bottom w:type="dxa" w:w="70"/>
              <w:right w:type="dxa" w:w="140"/>
            </w:tcMar>
          </w:tcPr>
          <w:p>
            <w:pPr>
              <w:jc w:val="center"/>
            </w:pPr>
            <w:r>
              <w:rPr>
                <w:rFonts w:ascii="Arial" w:cs="Arial" w:eastAsia="Arial" w:hAnsi="Arial"/>
                <w:b/>
                <w:bCs/>
                <w:color w:val="2563EB"/>
                <w:sz w:val="18"/>
                <w:szCs w:val="18"/>
              </w:rPr>
              <w:t xml:space="preserve">MEDIUM</w:t>
            </w:r>
          </w:p>
        </w:tc>
        <w:tc>
          <w:tcPr>
            <w:tcW w:type="dxa" w:w="12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Architecture</w:t>
            </w:r>
          </w:p>
        </w:tc>
      </w:tr>
      <w:tr>
        <w:tc>
          <w:tcPr>
            <w:tcW w:type="dxa" w:w="9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A2B4A"/>
                <w:sz w:val="18"/>
                <w:szCs w:val="18"/>
              </w:rPr>
              <w:t xml:space="preserve">ARC-05</w:t>
            </w:r>
          </w:p>
        </w:tc>
        <w:tc>
          <w:tcPr>
            <w:tcW w:type="dxa" w:w="4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No API Gateway / reverse proxy in production docs</w:t>
            </w:r>
          </w:p>
        </w:tc>
        <w:tc>
          <w:tcPr>
            <w:tcW w:type="dxa" w:w="1100"/>
            <w:tcBorders>
              <w:top w:val="single" w:color="2563EB" w:sz="1"/>
              <w:left w:val="single" w:color="2563EB" w:sz="1"/>
              <w:bottom w:val="single" w:color="2563EB" w:sz="1"/>
              <w:right w:val="single" w:color="2563EB" w:sz="1"/>
            </w:tcBorders>
            <w:shd w:fill="EFF6FF" w:val="clear"/>
            <w:tcMar>
              <w:top w:type="dxa" w:w="70"/>
              <w:left w:type="dxa" w:w="140"/>
              <w:bottom w:type="dxa" w:w="70"/>
              <w:right w:type="dxa" w:w="140"/>
            </w:tcMar>
          </w:tcPr>
          <w:p>
            <w:pPr>
              <w:jc w:val="center"/>
            </w:pPr>
            <w:r>
              <w:rPr>
                <w:rFonts w:ascii="Arial" w:cs="Arial" w:eastAsia="Arial" w:hAnsi="Arial"/>
                <w:b/>
                <w:bCs/>
                <w:color w:val="2563EB"/>
                <w:sz w:val="18"/>
                <w:szCs w:val="18"/>
              </w:rPr>
              <w:t xml:space="preserve">MEDIUM</w:t>
            </w:r>
          </w:p>
        </w:tc>
        <w:tc>
          <w:tcPr>
            <w:tcW w:type="dxa" w:w="12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Architecture</w:t>
            </w:r>
          </w:p>
        </w:tc>
      </w:tr>
      <w:tr>
        <w:tc>
          <w:tcPr>
            <w:tcW w:type="dxa" w:w="9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A2B4A"/>
                <w:sz w:val="18"/>
                <w:szCs w:val="18"/>
              </w:rPr>
              <w:t xml:space="preserve">ARC-06</w:t>
            </w:r>
          </w:p>
        </w:tc>
        <w:tc>
          <w:tcPr>
            <w:tcW w:type="dxa" w:w="4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WEBHOOK_BASE_URL read via process.env (not ConfigSvc)</w:t>
            </w:r>
          </w:p>
        </w:tc>
        <w:tc>
          <w:tcPr>
            <w:tcW w:type="dxa" w:w="1100"/>
            <w:tcBorders>
              <w:top w:val="single" w:color="16A34A" w:sz="1"/>
              <w:left w:val="single" w:color="16A34A" w:sz="1"/>
              <w:bottom w:val="single" w:color="16A34A" w:sz="1"/>
              <w:right w:val="single" w:color="16A34A" w:sz="1"/>
            </w:tcBorders>
            <w:shd w:fill="F0FDF4" w:val="clear"/>
            <w:tcMar>
              <w:top w:type="dxa" w:w="70"/>
              <w:left w:type="dxa" w:w="140"/>
              <w:bottom w:type="dxa" w:w="70"/>
              <w:right w:type="dxa" w:w="140"/>
            </w:tcMar>
          </w:tcPr>
          <w:p>
            <w:pPr>
              <w:jc w:val="center"/>
            </w:pPr>
            <w:r>
              <w:rPr>
                <w:rFonts w:ascii="Arial" w:cs="Arial" w:eastAsia="Arial" w:hAnsi="Arial"/>
                <w:b/>
                <w:bCs/>
                <w:color w:val="16A34A"/>
                <w:sz w:val="18"/>
                <w:szCs w:val="18"/>
              </w:rPr>
              <w:t xml:space="preserve">LOW</w:t>
            </w:r>
          </w:p>
        </w:tc>
        <w:tc>
          <w:tcPr>
            <w:tcW w:type="dxa" w:w="12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Architecture</w:t>
            </w:r>
          </w:p>
        </w:tc>
      </w:tr>
      <w:tr>
        <w:tc>
          <w:tcPr>
            <w:tcW w:type="dxa" w:w="9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A2B4A"/>
                <w:sz w:val="18"/>
                <w:szCs w:val="18"/>
              </w:rPr>
              <w:t xml:space="preserve">ARC-07</w:t>
            </w:r>
          </w:p>
        </w:tc>
        <w:tc>
          <w:tcPr>
            <w:tcW w:type="dxa" w:w="4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No OpenAPI / Swagger documentation generated</w:t>
            </w:r>
          </w:p>
        </w:tc>
        <w:tc>
          <w:tcPr>
            <w:tcW w:type="dxa" w:w="1100"/>
            <w:tcBorders>
              <w:top w:val="single" w:color="16A34A" w:sz="1"/>
              <w:left w:val="single" w:color="16A34A" w:sz="1"/>
              <w:bottom w:val="single" w:color="16A34A" w:sz="1"/>
              <w:right w:val="single" w:color="16A34A" w:sz="1"/>
            </w:tcBorders>
            <w:shd w:fill="F0FDF4" w:val="clear"/>
            <w:tcMar>
              <w:top w:type="dxa" w:w="70"/>
              <w:left w:type="dxa" w:w="140"/>
              <w:bottom w:type="dxa" w:w="70"/>
              <w:right w:type="dxa" w:w="140"/>
            </w:tcMar>
          </w:tcPr>
          <w:p>
            <w:pPr>
              <w:jc w:val="center"/>
            </w:pPr>
            <w:r>
              <w:rPr>
                <w:rFonts w:ascii="Arial" w:cs="Arial" w:eastAsia="Arial" w:hAnsi="Arial"/>
                <w:b/>
                <w:bCs/>
                <w:color w:val="16A34A"/>
                <w:sz w:val="18"/>
                <w:szCs w:val="18"/>
              </w:rPr>
              <w:t xml:space="preserve">LOW</w:t>
            </w:r>
          </w:p>
        </w:tc>
        <w:tc>
          <w:tcPr>
            <w:tcW w:type="dxa" w:w="12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Architecture</w:t>
            </w:r>
          </w:p>
        </w:tc>
      </w:tr>
      <w:tr>
        <w:tc>
          <w:tcPr>
            <w:tcW w:type="dxa" w:w="9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A2B4A"/>
                <w:sz w:val="18"/>
                <w:szCs w:val="18"/>
              </w:rPr>
              <w:t xml:space="preserve">SOL-01</w:t>
            </w:r>
          </w:p>
        </w:tc>
        <w:tc>
          <w:tcPr>
            <w:tcW w:type="dxa" w:w="4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DispositionsService: leadStatusMap uses loose strings</w:t>
            </w:r>
          </w:p>
        </w:tc>
        <w:tc>
          <w:tcPr>
            <w:tcW w:type="dxa" w:w="1100"/>
            <w:tcBorders>
              <w:top w:val="single" w:color="2563EB" w:sz="1"/>
              <w:left w:val="single" w:color="2563EB" w:sz="1"/>
              <w:bottom w:val="single" w:color="2563EB" w:sz="1"/>
              <w:right w:val="single" w:color="2563EB" w:sz="1"/>
            </w:tcBorders>
            <w:shd w:fill="EFF6FF" w:val="clear"/>
            <w:tcMar>
              <w:top w:type="dxa" w:w="70"/>
              <w:left w:type="dxa" w:w="140"/>
              <w:bottom w:type="dxa" w:w="70"/>
              <w:right w:type="dxa" w:w="140"/>
            </w:tcMar>
          </w:tcPr>
          <w:p>
            <w:pPr>
              <w:jc w:val="center"/>
            </w:pPr>
            <w:r>
              <w:rPr>
                <w:rFonts w:ascii="Arial" w:cs="Arial" w:eastAsia="Arial" w:hAnsi="Arial"/>
                <w:b/>
                <w:bCs/>
                <w:color w:val="2563EB"/>
                <w:sz w:val="18"/>
                <w:szCs w:val="18"/>
              </w:rPr>
              <w:t xml:space="preserve">MEDIUM</w:t>
            </w:r>
          </w:p>
        </w:tc>
        <w:tc>
          <w:tcPr>
            <w:tcW w:type="dxa" w:w="12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SOLID</w:t>
            </w:r>
          </w:p>
        </w:tc>
      </w:tr>
      <w:tr>
        <w:tc>
          <w:tcPr>
            <w:tcW w:type="dxa" w:w="9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A2B4A"/>
                <w:sz w:val="18"/>
                <w:szCs w:val="18"/>
              </w:rPr>
              <w:t xml:space="preserve">SOL-02</w:t>
            </w:r>
          </w:p>
        </w:tc>
        <w:tc>
          <w:tcPr>
            <w:tcW w:type="dxa" w:w="4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LeadsService.update uses any-typed data object</w:t>
            </w:r>
          </w:p>
        </w:tc>
        <w:tc>
          <w:tcPr>
            <w:tcW w:type="dxa" w:w="1100"/>
            <w:tcBorders>
              <w:top w:val="single" w:color="16A34A" w:sz="1"/>
              <w:left w:val="single" w:color="16A34A" w:sz="1"/>
              <w:bottom w:val="single" w:color="16A34A" w:sz="1"/>
              <w:right w:val="single" w:color="16A34A" w:sz="1"/>
            </w:tcBorders>
            <w:shd w:fill="F0FDF4" w:val="clear"/>
            <w:tcMar>
              <w:top w:type="dxa" w:w="70"/>
              <w:left w:type="dxa" w:w="140"/>
              <w:bottom w:type="dxa" w:w="70"/>
              <w:right w:type="dxa" w:w="140"/>
            </w:tcMar>
          </w:tcPr>
          <w:p>
            <w:pPr>
              <w:jc w:val="center"/>
            </w:pPr>
            <w:r>
              <w:rPr>
                <w:rFonts w:ascii="Arial" w:cs="Arial" w:eastAsia="Arial" w:hAnsi="Arial"/>
                <w:b/>
                <w:bCs/>
                <w:color w:val="16A34A"/>
                <w:sz w:val="18"/>
                <w:szCs w:val="18"/>
              </w:rPr>
              <w:t xml:space="preserve">LOW</w:t>
            </w:r>
          </w:p>
        </w:tc>
        <w:tc>
          <w:tcPr>
            <w:tcW w:type="dxa" w:w="12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SOLID</w:t>
            </w:r>
          </w:p>
        </w:tc>
      </w:tr>
      <w:tr>
        <w:tc>
          <w:tcPr>
            <w:tcW w:type="dxa" w:w="9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A2B4A"/>
                <w:sz w:val="18"/>
                <w:szCs w:val="18"/>
              </w:rPr>
              <w:t xml:space="preserve">SOL-03</w:t>
            </w:r>
          </w:p>
        </w:tc>
        <w:tc>
          <w:tcPr>
            <w:tcW w:type="dxa" w:w="4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CallsService.handleStatusUpdate: updateData typed any</w:t>
            </w:r>
          </w:p>
        </w:tc>
        <w:tc>
          <w:tcPr>
            <w:tcW w:type="dxa" w:w="1100"/>
            <w:tcBorders>
              <w:top w:val="single" w:color="16A34A" w:sz="1"/>
              <w:left w:val="single" w:color="16A34A" w:sz="1"/>
              <w:bottom w:val="single" w:color="16A34A" w:sz="1"/>
              <w:right w:val="single" w:color="16A34A" w:sz="1"/>
            </w:tcBorders>
            <w:shd w:fill="F0FDF4" w:val="clear"/>
            <w:tcMar>
              <w:top w:type="dxa" w:w="70"/>
              <w:left w:type="dxa" w:w="140"/>
              <w:bottom w:type="dxa" w:w="70"/>
              <w:right w:type="dxa" w:w="140"/>
            </w:tcMar>
          </w:tcPr>
          <w:p>
            <w:pPr>
              <w:jc w:val="center"/>
            </w:pPr>
            <w:r>
              <w:rPr>
                <w:rFonts w:ascii="Arial" w:cs="Arial" w:eastAsia="Arial" w:hAnsi="Arial"/>
                <w:b/>
                <w:bCs/>
                <w:color w:val="16A34A"/>
                <w:sz w:val="18"/>
                <w:szCs w:val="18"/>
              </w:rPr>
              <w:t xml:space="preserve">LOW</w:t>
            </w:r>
          </w:p>
        </w:tc>
        <w:tc>
          <w:tcPr>
            <w:tcW w:type="dxa" w:w="12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SOLID</w:t>
            </w:r>
          </w:p>
        </w:tc>
      </w:tr>
      <w:tr>
        <w:tc>
          <w:tcPr>
            <w:tcW w:type="dxa" w:w="9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A2B4A"/>
                <w:sz w:val="18"/>
                <w:szCs w:val="18"/>
              </w:rPr>
              <w:t xml:space="preserve">SCA-01</w:t>
            </w:r>
          </w:p>
        </w:tc>
        <w:tc>
          <w:tcPr>
            <w:tcW w:type="dxa" w:w="4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Single PostgreSQL instance — no HA or read replica</w:t>
            </w:r>
          </w:p>
        </w:tc>
        <w:tc>
          <w:tcPr>
            <w:tcW w:type="dxa" w:w="1100"/>
            <w:tcBorders>
              <w:top w:val="single" w:color="D97706" w:sz="1"/>
              <w:left w:val="single" w:color="D97706" w:sz="1"/>
              <w:bottom w:val="single" w:color="D97706" w:sz="1"/>
              <w:right w:val="single" w:color="D97706" w:sz="1"/>
            </w:tcBorders>
            <w:shd w:fill="FFFBEB" w:val="clear"/>
            <w:tcMar>
              <w:top w:type="dxa" w:w="70"/>
              <w:left w:type="dxa" w:w="140"/>
              <w:bottom w:type="dxa" w:w="70"/>
              <w:right w:type="dxa" w:w="140"/>
            </w:tcMar>
          </w:tcPr>
          <w:p>
            <w:pPr>
              <w:jc w:val="center"/>
            </w:pPr>
            <w:r>
              <w:rPr>
                <w:rFonts w:ascii="Arial" w:cs="Arial" w:eastAsia="Arial" w:hAnsi="Arial"/>
                <w:b/>
                <w:bCs/>
                <w:color w:val="D97706"/>
                <w:sz w:val="18"/>
                <w:szCs w:val="18"/>
              </w:rPr>
              <w:t xml:space="preserve">HIGH</w:t>
            </w:r>
          </w:p>
        </w:tc>
        <w:tc>
          <w:tcPr>
            <w:tcW w:type="dxa" w:w="12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Scalability</w:t>
            </w:r>
          </w:p>
        </w:tc>
      </w:tr>
      <w:tr>
        <w:tc>
          <w:tcPr>
            <w:tcW w:type="dxa" w:w="9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A2B4A"/>
                <w:sz w:val="18"/>
                <w:szCs w:val="18"/>
              </w:rPr>
              <w:t xml:space="preserve">SCA-02</w:t>
            </w:r>
          </w:p>
        </w:tc>
        <w:tc>
          <w:tcPr>
            <w:tcW w:type="dxa" w:w="4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Redis single-node — BullMQ/WS SPOF</w:t>
            </w:r>
          </w:p>
        </w:tc>
        <w:tc>
          <w:tcPr>
            <w:tcW w:type="dxa" w:w="1100"/>
            <w:tcBorders>
              <w:top w:val="single" w:color="D97706" w:sz="1"/>
              <w:left w:val="single" w:color="D97706" w:sz="1"/>
              <w:bottom w:val="single" w:color="D97706" w:sz="1"/>
              <w:right w:val="single" w:color="D97706" w:sz="1"/>
            </w:tcBorders>
            <w:shd w:fill="FFFBEB" w:val="clear"/>
            <w:tcMar>
              <w:top w:type="dxa" w:w="70"/>
              <w:left w:type="dxa" w:w="140"/>
              <w:bottom w:type="dxa" w:w="70"/>
              <w:right w:type="dxa" w:w="140"/>
            </w:tcMar>
          </w:tcPr>
          <w:p>
            <w:pPr>
              <w:jc w:val="center"/>
            </w:pPr>
            <w:r>
              <w:rPr>
                <w:rFonts w:ascii="Arial" w:cs="Arial" w:eastAsia="Arial" w:hAnsi="Arial"/>
                <w:b/>
                <w:bCs/>
                <w:color w:val="D97706"/>
                <w:sz w:val="18"/>
                <w:szCs w:val="18"/>
              </w:rPr>
              <w:t xml:space="preserve">HIGH</w:t>
            </w:r>
          </w:p>
        </w:tc>
        <w:tc>
          <w:tcPr>
            <w:tcW w:type="dxa" w:w="12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Scalability</w:t>
            </w:r>
          </w:p>
        </w:tc>
      </w:tr>
      <w:tr>
        <w:tc>
          <w:tcPr>
            <w:tcW w:type="dxa" w:w="9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A2B4A"/>
                <w:sz w:val="18"/>
                <w:szCs w:val="18"/>
              </w:rPr>
              <w:t xml:space="preserve">SCA-03</w:t>
            </w:r>
          </w:p>
        </w:tc>
        <w:tc>
          <w:tcPr>
            <w:tcW w:type="dxa" w:w="4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No pagination limit cap — unbounded limit query param</w:t>
            </w:r>
          </w:p>
        </w:tc>
        <w:tc>
          <w:tcPr>
            <w:tcW w:type="dxa" w:w="1100"/>
            <w:tcBorders>
              <w:top w:val="single" w:color="2563EB" w:sz="1"/>
              <w:left w:val="single" w:color="2563EB" w:sz="1"/>
              <w:bottom w:val="single" w:color="2563EB" w:sz="1"/>
              <w:right w:val="single" w:color="2563EB" w:sz="1"/>
            </w:tcBorders>
            <w:shd w:fill="EFF6FF" w:val="clear"/>
            <w:tcMar>
              <w:top w:type="dxa" w:w="70"/>
              <w:left w:type="dxa" w:w="140"/>
              <w:bottom w:type="dxa" w:w="70"/>
              <w:right w:type="dxa" w:w="140"/>
            </w:tcMar>
          </w:tcPr>
          <w:p>
            <w:pPr>
              <w:jc w:val="center"/>
            </w:pPr>
            <w:r>
              <w:rPr>
                <w:rFonts w:ascii="Arial" w:cs="Arial" w:eastAsia="Arial" w:hAnsi="Arial"/>
                <w:b/>
                <w:bCs/>
                <w:color w:val="2563EB"/>
                <w:sz w:val="18"/>
                <w:szCs w:val="18"/>
              </w:rPr>
              <w:t xml:space="preserve">MEDIUM</w:t>
            </w:r>
          </w:p>
        </w:tc>
        <w:tc>
          <w:tcPr>
            <w:tcW w:type="dxa" w:w="12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Scalability</w:t>
            </w:r>
          </w:p>
        </w:tc>
      </w:tr>
      <w:tr>
        <w:tc>
          <w:tcPr>
            <w:tcW w:type="dxa" w:w="9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A2B4A"/>
                <w:sz w:val="18"/>
                <w:szCs w:val="18"/>
              </w:rPr>
              <w:t xml:space="preserve">SCA-04</w:t>
            </w:r>
          </w:p>
        </w:tc>
        <w:tc>
          <w:tcPr>
            <w:tcW w:type="dxa" w:w="4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No DB connection pool configuration exposed</w:t>
            </w:r>
          </w:p>
        </w:tc>
        <w:tc>
          <w:tcPr>
            <w:tcW w:type="dxa" w:w="1100"/>
            <w:tcBorders>
              <w:top w:val="single" w:color="2563EB" w:sz="1"/>
              <w:left w:val="single" w:color="2563EB" w:sz="1"/>
              <w:bottom w:val="single" w:color="2563EB" w:sz="1"/>
              <w:right w:val="single" w:color="2563EB" w:sz="1"/>
            </w:tcBorders>
            <w:shd w:fill="EFF6FF" w:val="clear"/>
            <w:tcMar>
              <w:top w:type="dxa" w:w="70"/>
              <w:left w:type="dxa" w:w="140"/>
              <w:bottom w:type="dxa" w:w="70"/>
              <w:right w:type="dxa" w:w="140"/>
            </w:tcMar>
          </w:tcPr>
          <w:p>
            <w:pPr>
              <w:jc w:val="center"/>
            </w:pPr>
            <w:r>
              <w:rPr>
                <w:rFonts w:ascii="Arial" w:cs="Arial" w:eastAsia="Arial" w:hAnsi="Arial"/>
                <w:b/>
                <w:bCs/>
                <w:color w:val="2563EB"/>
                <w:sz w:val="18"/>
                <w:szCs w:val="18"/>
              </w:rPr>
              <w:t xml:space="preserve">MEDIUM</w:t>
            </w:r>
          </w:p>
        </w:tc>
        <w:tc>
          <w:tcPr>
            <w:tcW w:type="dxa" w:w="12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Scalability</w:t>
            </w:r>
          </w:p>
        </w:tc>
      </w:tr>
      <w:tr>
        <w:tc>
          <w:tcPr>
            <w:tcW w:type="dxa" w:w="9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A2B4A"/>
                <w:sz w:val="18"/>
                <w:szCs w:val="18"/>
              </w:rPr>
              <w:t xml:space="preserve">SCA-05</w:t>
            </w:r>
          </w:p>
        </w:tc>
        <w:tc>
          <w:tcPr>
            <w:tcW w:type="dxa" w:w="4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WebSocket rooms held in-process — no multi-instance</w:t>
            </w:r>
          </w:p>
        </w:tc>
        <w:tc>
          <w:tcPr>
            <w:tcW w:type="dxa" w:w="1100"/>
            <w:tcBorders>
              <w:top w:val="single" w:color="2563EB" w:sz="1"/>
              <w:left w:val="single" w:color="2563EB" w:sz="1"/>
              <w:bottom w:val="single" w:color="2563EB" w:sz="1"/>
              <w:right w:val="single" w:color="2563EB" w:sz="1"/>
            </w:tcBorders>
            <w:shd w:fill="EFF6FF" w:val="clear"/>
            <w:tcMar>
              <w:top w:type="dxa" w:w="70"/>
              <w:left w:type="dxa" w:w="140"/>
              <w:bottom w:type="dxa" w:w="70"/>
              <w:right w:type="dxa" w:w="140"/>
            </w:tcMar>
          </w:tcPr>
          <w:p>
            <w:pPr>
              <w:jc w:val="center"/>
            </w:pPr>
            <w:r>
              <w:rPr>
                <w:rFonts w:ascii="Arial" w:cs="Arial" w:eastAsia="Arial" w:hAnsi="Arial"/>
                <w:b/>
                <w:bCs/>
                <w:color w:val="2563EB"/>
                <w:sz w:val="18"/>
                <w:szCs w:val="18"/>
              </w:rPr>
              <w:t xml:space="preserve">MEDIUM</w:t>
            </w:r>
          </w:p>
        </w:tc>
        <w:tc>
          <w:tcPr>
            <w:tcW w:type="dxa" w:w="12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Scalability</w:t>
            </w:r>
          </w:p>
        </w:tc>
      </w:tr>
      <w:tr>
        <w:tc>
          <w:tcPr>
            <w:tcW w:type="dxa" w:w="9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A2B4A"/>
                <w:sz w:val="18"/>
                <w:szCs w:val="18"/>
              </w:rPr>
              <w:t xml:space="preserve">SCA-06</w:t>
            </w:r>
          </w:p>
        </w:tc>
        <w:tc>
          <w:tcPr>
            <w:tcW w:type="dxa" w:w="4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CSV row data stored twice (rows + job payload removed)</w:t>
            </w:r>
          </w:p>
        </w:tc>
        <w:tc>
          <w:tcPr>
            <w:tcW w:type="dxa" w:w="1100"/>
            <w:tcBorders>
              <w:top w:val="single" w:color="16A34A" w:sz="1"/>
              <w:left w:val="single" w:color="16A34A" w:sz="1"/>
              <w:bottom w:val="single" w:color="16A34A" w:sz="1"/>
              <w:right w:val="single" w:color="16A34A" w:sz="1"/>
            </w:tcBorders>
            <w:shd w:fill="F0FDF4" w:val="clear"/>
            <w:tcMar>
              <w:top w:type="dxa" w:w="70"/>
              <w:left w:type="dxa" w:w="140"/>
              <w:bottom w:type="dxa" w:w="70"/>
              <w:right w:type="dxa" w:w="140"/>
            </w:tcMar>
          </w:tcPr>
          <w:p>
            <w:pPr>
              <w:jc w:val="center"/>
            </w:pPr>
            <w:r>
              <w:rPr>
                <w:rFonts w:ascii="Arial" w:cs="Arial" w:eastAsia="Arial" w:hAnsi="Arial"/>
                <w:b/>
                <w:bCs/>
                <w:color w:val="16A34A"/>
                <w:sz w:val="18"/>
                <w:szCs w:val="18"/>
              </w:rPr>
              <w:t xml:space="preserve">LOW</w:t>
            </w:r>
          </w:p>
        </w:tc>
        <w:tc>
          <w:tcPr>
            <w:tcW w:type="dxa" w:w="12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Scalability</w:t>
            </w:r>
          </w:p>
        </w:tc>
      </w:tr>
    </w:tbl>
    <w:p>
      <w:r>
        <w:br w:type="page"/>
      </w:r>
    </w:p>
    <w:p>
      <w:pPr>
        <w:pStyle w:val="Heading1"/>
        <w:spacing w:before="320" w:after="160"/>
      </w:pPr>
      <w:r>
        <w:rPr>
          <w:rFonts w:ascii="Arial" w:cs="Arial" w:eastAsia="Arial" w:hAnsi="Arial"/>
          <w:b/>
          <w:bCs/>
          <w:color w:val="1A2B4A"/>
          <w:sz w:val="32"/>
          <w:szCs w:val="32"/>
        </w:rPr>
        <w:t xml:space="preserve">3. Security Findings</w:t>
      </w:r>
    </w:p>
    <w:p>
      <w:pPr>
        <w:pStyle w:val="Heading2"/>
        <w:pBdr>
          <w:bottom w:val="single" w:color="2563EB" w:sz="4" w:space="4"/>
        </w:pBdr>
        <w:spacing w:before="280" w:after="120"/>
      </w:pPr>
      <w:r>
        <w:rPr>
          <w:rFonts w:ascii="Arial" w:cs="Arial" w:eastAsia="Arial" w:hAnsi="Arial"/>
          <w:b/>
          <w:bCs/>
          <w:color w:val="1A2B4A"/>
          <w:sz w:val="26"/>
          <w:szCs w:val="26"/>
        </w:rPr>
        <w:t xml:space="preserve">3.1  Authentication &amp;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6"/>
              <w:left w:val="single" w:color="DC2626" w:sz="8"/>
              <w:bottom w:val="none" w:color="FFFFFF" w:sz="0"/>
              <w:right w:val="none" w:color="FFFFFF" w:sz="0"/>
            </w:tcBorders>
            <w:shd w:fill="FEF2F2" w:val="clear"/>
            <w:tcMar>
              <w:top w:type="dxa" w:w="100"/>
              <w:left w:type="dxa" w:w="200"/>
              <w:bottom w:type="dxa" w:w="80"/>
              <w:right w:type="dxa" w:w="200"/>
            </w:tcMar>
          </w:tcPr>
          <w:p>
            <w:pPr>
              <w:spacing w:before="0" w:after="40"/>
            </w:pPr>
            <w:r>
              <w:rPr>
                <w:rFonts w:ascii="Arial" w:cs="Arial" w:eastAsia="Arial" w:hAnsi="Arial"/>
                <w:b/>
                <w:bCs/>
                <w:color w:val="DC2626"/>
                <w:sz w:val="22"/>
                <w:szCs w:val="22"/>
              </w:rPr>
              <w:t xml:space="preserve">[SEC-01] </w:t>
            </w:r>
            <w:r>
              <w:rPr>
                <w:rFonts w:ascii="Arial" w:cs="Arial" w:eastAsia="Arial" w:hAnsi="Arial"/>
                <w:b/>
                <w:bCs/>
                <w:color w:val="1A2B4A"/>
                <w:sz w:val="22"/>
                <w:szCs w:val="22"/>
              </w:rPr>
              <w:t xml:space="preserve">JWT Stored in localStorage — XSS Exposure</w:t>
            </w:r>
            <w:r>
              <w:rPr>
                <w:rFonts w:ascii="Arial" w:cs="Arial" w:eastAsia="Arial" w:hAnsi="Arial"/>
                <w:b/>
                <w:bCs/>
                <w:color w:val="DC2626"/>
                <w:sz w:val="18"/>
                <w:szCs w:val="18"/>
              </w:rPr>
              <w:t xml:space="preserve">   CRITICAL</w:t>
            </w:r>
          </w:p>
          <w:p>
            <w:r>
              <w:rPr>
                <w:rFonts w:ascii="Arial" w:cs="Arial" w:eastAsia="Arial" w:hAnsi="Arial"/>
                <w:i/>
                <w:iCs/>
                <w:color w:val="475569"/>
                <w:sz w:val="18"/>
                <w:szCs w:val="18"/>
              </w:rPr>
              <w:t xml:space="preserve">Security · Authentication</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The access token is persisted in localStorage (auth.store.ts: localStorage.setItem("signalhunt_token", accessToken)). Any XSS vulnerability in the Next.js app — or in a third-party script — can silently exfiltrate the token, impersonating the user indefinitely until expiry (24 h default). The README acknowledges this as a known trade-off ("Production should migrate to httpOnly cookies").</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auth.store.ts lines 29-31; api-client.ts request interceptor reads localStorage directly. The token is also written to localStorage.signalhunt_user alongside the user object.</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Replace with httpOnly, Secure, SameSite=Strict cookie issuance from the /auth/login endpoint. The API already supports CORS with credentials:true. Remove all localStorage.setItem calls for token storage. Add CSRF protection (double-submit cookie or synchroniser token) for state-changing requests.</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Frontend + 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1 (before production data ingestion)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6"/>
              <w:left w:val="single" w:color="DC2626" w:sz="8"/>
              <w:bottom w:val="none" w:color="FFFFFF" w:sz="0"/>
              <w:right w:val="none" w:color="FFFFFF" w:sz="0"/>
            </w:tcBorders>
            <w:shd w:fill="FEF2F2" w:val="clear"/>
            <w:tcMar>
              <w:top w:type="dxa" w:w="100"/>
              <w:left w:type="dxa" w:w="200"/>
              <w:bottom w:type="dxa" w:w="80"/>
              <w:right w:type="dxa" w:w="200"/>
            </w:tcMar>
          </w:tcPr>
          <w:p>
            <w:pPr>
              <w:spacing w:before="0" w:after="40"/>
            </w:pPr>
            <w:r>
              <w:rPr>
                <w:rFonts w:ascii="Arial" w:cs="Arial" w:eastAsia="Arial" w:hAnsi="Arial"/>
                <w:b/>
                <w:bCs/>
                <w:color w:val="DC2626"/>
                <w:sz w:val="22"/>
                <w:szCs w:val="22"/>
              </w:rPr>
              <w:t xml:space="preserve">[SEC-02] </w:t>
            </w:r>
            <w:r>
              <w:rPr>
                <w:rFonts w:ascii="Arial" w:cs="Arial" w:eastAsia="Arial" w:hAnsi="Arial"/>
                <w:b/>
                <w:bCs/>
                <w:color w:val="1A2B4A"/>
                <w:sz w:val="22"/>
                <w:szCs w:val="22"/>
              </w:rPr>
              <w:t xml:space="preserve">WebSocket Connection Authenticated Only by userId Query Parameter</w:t>
            </w:r>
            <w:r>
              <w:rPr>
                <w:rFonts w:ascii="Arial" w:cs="Arial" w:eastAsia="Arial" w:hAnsi="Arial"/>
                <w:b/>
                <w:bCs/>
                <w:color w:val="DC2626"/>
                <w:sz w:val="18"/>
                <w:szCs w:val="18"/>
              </w:rPr>
              <w:t xml:space="preserve">   CRITICAL</w:t>
            </w:r>
          </w:p>
          <w:p>
            <w:r>
              <w:rPr>
                <w:rFonts w:ascii="Arial" w:cs="Arial" w:eastAsia="Arial" w:hAnsi="Arial"/>
                <w:i/>
                <w:iCs/>
                <w:color w:val="475569"/>
                <w:sz w:val="18"/>
                <w:szCs w:val="18"/>
              </w:rPr>
              <w:t xml:space="preserve">Security · Authentication</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calls.gateway.ts extracts the agent identity purely from client.handshake.query.userId. Any unauthenticated client that knows or guesses a valid UUID can join the target agent's WebSocket room (agent:{userId}) and receive real-time call status events including call recordings. The gateway's own TODO comment confirms this: "TODO: In production, validate JWT from handshake auth headers."</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calls.gateway.ts handleConnection(): const userId = client.handshake.query.userId as string — no token verification, no DB lookup, no role check. use-socket.ts sends query: { userId: user.id } without auth token.</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Verify the Bearer token passed in handshake.auth.token. Extract userId from the verified JWT payload (do not trust the query parameter). Reject connections that lack a valid token. Example: const token = client.handshake.auth.token; const payload = this.jwtService.verify(token); client.join(`agent:${payload.sub}`).</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1</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6"/>
              <w:left w:val="single" w:color="DC2626" w:sz="8"/>
              <w:bottom w:val="none" w:color="FFFFFF" w:sz="0"/>
              <w:right w:val="none" w:color="FFFFFF" w:sz="0"/>
            </w:tcBorders>
            <w:shd w:fill="FEF2F2" w:val="clear"/>
            <w:tcMar>
              <w:top w:type="dxa" w:w="100"/>
              <w:left w:type="dxa" w:w="200"/>
              <w:bottom w:type="dxa" w:w="80"/>
              <w:right w:type="dxa" w:w="200"/>
            </w:tcMar>
          </w:tcPr>
          <w:p>
            <w:pPr>
              <w:spacing w:before="0" w:after="40"/>
            </w:pPr>
            <w:r>
              <w:rPr>
                <w:rFonts w:ascii="Arial" w:cs="Arial" w:eastAsia="Arial" w:hAnsi="Arial"/>
                <w:b/>
                <w:bCs/>
                <w:color w:val="DC2626"/>
                <w:sz w:val="22"/>
                <w:szCs w:val="22"/>
              </w:rPr>
              <w:t xml:space="preserve">[SEC-03] </w:t>
            </w:r>
            <w:r>
              <w:rPr>
                <w:rFonts w:ascii="Arial" w:cs="Arial" w:eastAsia="Arial" w:hAnsi="Arial"/>
                <w:b/>
                <w:bCs/>
                <w:color w:val="1A2B4A"/>
                <w:sz w:val="22"/>
                <w:szCs w:val="22"/>
              </w:rPr>
              <w:t xml:space="preserve">Webhook Signature Validation Disabled by Default</w:t>
            </w:r>
            <w:r>
              <w:rPr>
                <w:rFonts w:ascii="Arial" w:cs="Arial" w:eastAsia="Arial" w:hAnsi="Arial"/>
                <w:b/>
                <w:bCs/>
                <w:color w:val="DC2626"/>
                <w:sz w:val="18"/>
                <w:szCs w:val="18"/>
              </w:rPr>
              <w:t xml:space="preserve">   CRITICAL</w:t>
            </w:r>
          </w:p>
          <w:p>
            <w:r>
              <w:rPr>
                <w:rFonts w:ascii="Arial" w:cs="Arial" w:eastAsia="Arial" w:hAnsi="Arial"/>
                <w:i/>
                <w:iCs/>
                <w:color w:val="475569"/>
                <w:sz w:val="18"/>
                <w:szCs w:val="18"/>
              </w:rPr>
              <w:t xml:space="preserve">Security · Input Validation</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WEBHOOK_VALIDATION defaults to false in .env.example and the WebhookGuard skips validation when WEBHOOK_VALIDATION !== "true". In this state, any internet-accessible actor can POST forged Twilio status/recording webhooks to corrupt call records, inject fake COMPLETED statuses (suppressing agent follow-up), or inject arbitrary recordingUrl values. The guard also only enforces validation when NODE_ENV==="development" which means a staging environment with NODE_ENV unset would also skip validation.</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webhooks.guard.ts: if (NODE_ENV === "development" &amp;&amp; WEBHOOK_VALIDATION === "false") return true. Environment variable table in README shows WEBHOOK_VALIDATION default is false.</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Change the default to WEBHOOK_VALIDATION=true. Invert the guard logic: validate unless explicitly opted out (never opt out in production). Remove the NODE_ENV condition — validation should be active in all environments that receive real Twilio traffic. Consider raising a startup error if TELEPHONY_PROVIDER=twilio but WEBHOOK_VALIDATION is not true.</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 DevOps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1 (immediate before going live with Twilio)</w:t>
            </w:r>
          </w:p>
        </w:tc>
      </w:tr>
    </w:tbl>
    <w:p>
      <w:pPr>
        <w:spacing w:before="100" w:after="0"/>
      </w:pPr>
      <w:r>
        <w:t xml:space="preserve"/>
      </w:r>
    </w:p>
    <w:p>
      <w:pPr>
        <w:pStyle w:val="Heading2"/>
        <w:pBdr>
          <w:bottom w:val="single" w:color="2563EB" w:sz="4" w:space="4"/>
        </w:pBdr>
        <w:spacing w:before="280" w:after="120"/>
      </w:pPr>
      <w:r>
        <w:rPr>
          <w:rFonts w:ascii="Arial" w:cs="Arial" w:eastAsia="Arial" w:hAnsi="Arial"/>
          <w:b/>
          <w:bCs/>
          <w:color w:val="1A2B4A"/>
          <w:sz w:val="26"/>
          <w:szCs w:val="26"/>
        </w:rPr>
        <w:t xml:space="preserve">3.2  Authorisation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8"/>
              <w:bottom w:val="none" w:color="FFFFFF" w:sz="0"/>
              <w:right w:val="none" w:color="FFFFFF" w:sz="0"/>
            </w:tcBorders>
            <w:shd w:fill="FFFBEB" w:val="clear"/>
            <w:tcMar>
              <w:top w:type="dxa" w:w="100"/>
              <w:left w:type="dxa" w:w="200"/>
              <w:bottom w:type="dxa" w:w="80"/>
              <w:right w:type="dxa" w:w="200"/>
            </w:tcMar>
          </w:tcPr>
          <w:p>
            <w:pPr>
              <w:spacing w:before="0" w:after="40"/>
            </w:pPr>
            <w:r>
              <w:rPr>
                <w:rFonts w:ascii="Arial" w:cs="Arial" w:eastAsia="Arial" w:hAnsi="Arial"/>
                <w:b/>
                <w:bCs/>
                <w:color w:val="D97706"/>
                <w:sz w:val="22"/>
                <w:szCs w:val="22"/>
              </w:rPr>
              <w:t xml:space="preserve">[SEC-04] </w:t>
            </w:r>
            <w:r>
              <w:rPr>
                <w:rFonts w:ascii="Arial" w:cs="Arial" w:eastAsia="Arial" w:hAnsi="Arial"/>
                <w:b/>
                <w:bCs/>
                <w:color w:val="1A2B4A"/>
                <w:sz w:val="22"/>
                <w:szCs w:val="22"/>
              </w:rPr>
              <w:t xml:space="preserve">Open Self-Registration Endpoint — Any User Can Register as ADMIN</w:t>
            </w:r>
            <w:r>
              <w:rPr>
                <w:rFonts w:ascii="Arial" w:cs="Arial" w:eastAsia="Arial" w:hAnsi="Arial"/>
                <w:b/>
                <w:bCs/>
                <w:color w:val="D97706"/>
                <w:sz w:val="18"/>
                <w:szCs w:val="18"/>
              </w:rPr>
              <w:t xml:space="preserve">   HIGH</w:t>
            </w:r>
          </w:p>
          <w:p>
            <w:r>
              <w:rPr>
                <w:rFonts w:ascii="Arial" w:cs="Arial" w:eastAsia="Arial" w:hAnsi="Arial"/>
                <w:i/>
                <w:iCs/>
                <w:color w:val="475569"/>
                <w:sz w:val="18"/>
                <w:szCs w:val="18"/>
              </w:rPr>
              <w:t xml:space="preserve">Security · Authorisation</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POST /api/v1/auth/register is marked @SetMetadata("isPublic", true) and accepts a role field from the request body. RegisterDto validates role as @IsEnum(UserRole) with a default of BDR, but an unauthenticated caller can POST { role: "ADMIN" } and become an admin. The README mentions "Only ADMIN can register other admins (enforced at controller level)" — but no such controller-level enforcement exists in the code.</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auth.controller.ts register() has no @UseGuards(RolesGuard) or @Roles(UserRole.ADMIN). RegisterDto.role defaults to BDR but accepts ADMIN via enum validation.</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Either (a) remove the public register endpoint and replace with an admin-invite flow, or (b) apply @UseGuards(JwtAuthGuard, RolesGuard) + @Roles(UserRole.ADMIN) to the register endpoint, or (c) force role = UserRole.BDR server-side regardless of payload. Option (a) is recommended for a B2B SaaS product.</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1</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8"/>
              <w:bottom w:val="none" w:color="FFFFFF" w:sz="0"/>
              <w:right w:val="none" w:color="FFFFFF" w:sz="0"/>
            </w:tcBorders>
            <w:shd w:fill="FFFBEB" w:val="clear"/>
            <w:tcMar>
              <w:top w:type="dxa" w:w="100"/>
              <w:left w:type="dxa" w:w="200"/>
              <w:bottom w:type="dxa" w:w="80"/>
              <w:right w:type="dxa" w:w="200"/>
            </w:tcMar>
          </w:tcPr>
          <w:p>
            <w:pPr>
              <w:spacing w:before="0" w:after="40"/>
            </w:pPr>
            <w:r>
              <w:rPr>
                <w:rFonts w:ascii="Arial" w:cs="Arial" w:eastAsia="Arial" w:hAnsi="Arial"/>
                <w:b/>
                <w:bCs/>
                <w:color w:val="D97706"/>
                <w:sz w:val="22"/>
                <w:szCs w:val="22"/>
              </w:rPr>
              <w:t xml:space="preserve">[SEC-05] </w:t>
            </w:r>
            <w:r>
              <w:rPr>
                <w:rFonts w:ascii="Arial" w:cs="Arial" w:eastAsia="Arial" w:hAnsi="Arial"/>
                <w:b/>
                <w:bCs/>
                <w:color w:val="1A2B4A"/>
                <w:sz w:val="22"/>
                <w:szCs w:val="22"/>
              </w:rPr>
              <w:t xml:space="preserve">Twilio Access Token Issued Without TwiML App Validation</w:t>
            </w:r>
            <w:r>
              <w:rPr>
                <w:rFonts w:ascii="Arial" w:cs="Arial" w:eastAsia="Arial" w:hAnsi="Arial"/>
                <w:b/>
                <w:bCs/>
                <w:color w:val="D97706"/>
                <w:sz w:val="18"/>
                <w:szCs w:val="18"/>
              </w:rPr>
              <w:t xml:space="preserve">   HIGH</w:t>
            </w:r>
          </w:p>
          <w:p>
            <w:r>
              <w:rPr>
                <w:rFonts w:ascii="Arial" w:cs="Arial" w:eastAsia="Arial" w:hAnsi="Arial"/>
                <w:i/>
                <w:iCs/>
                <w:color w:val="475569"/>
                <w:sz w:val="18"/>
                <w:szCs w:val="18"/>
              </w:rPr>
              <w:t xml:space="preserve">Security · Authorisation</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GET /api/v1/calls/token returns a Twilio Access Token scoped to any agentId from the JWT. TwilioProvider.generateAccessToken does not validate that TWILIO_TWIML_APP_SID is populated or that the agent has an assigned phone number. A BDR without an assigned number could obtain a token and attempt calls outside the system.</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calls.controller.ts getAccessToken() calls callsService.generateAccessToken(agentId) with no precondition checks. twilio.provider.ts generateAccessToken() does not verify twimlAppSid is non-empty.</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Before issuing the token, verify the agent has an assignedPhoneNumber. If TWILIO_TWIML_APP_SID is empty at startup, throw a configuration error rather than issuing unusable tokens. Consider scoping token grants to the specific outgoing phone number identity.</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2</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8"/>
              <w:bottom w:val="none" w:color="FFFFFF" w:sz="0"/>
              <w:right w:val="none" w:color="FFFFFF" w:sz="0"/>
            </w:tcBorders>
            <w:shd w:fill="FFFBEB" w:val="clear"/>
            <w:tcMar>
              <w:top w:type="dxa" w:w="100"/>
              <w:left w:type="dxa" w:w="200"/>
              <w:bottom w:type="dxa" w:w="80"/>
              <w:right w:type="dxa" w:w="200"/>
            </w:tcMar>
          </w:tcPr>
          <w:p>
            <w:pPr>
              <w:spacing w:before="0" w:after="40"/>
            </w:pPr>
            <w:r>
              <w:rPr>
                <w:rFonts w:ascii="Arial" w:cs="Arial" w:eastAsia="Arial" w:hAnsi="Arial"/>
                <w:b/>
                <w:bCs/>
                <w:color w:val="D97706"/>
                <w:sz w:val="22"/>
                <w:szCs w:val="22"/>
              </w:rPr>
              <w:t xml:space="preserve">[SEC-06] </w:t>
            </w:r>
            <w:r>
              <w:rPr>
                <w:rFonts w:ascii="Arial" w:cs="Arial" w:eastAsia="Arial" w:hAnsi="Arial"/>
                <w:b/>
                <w:bCs/>
                <w:color w:val="1A2B4A"/>
                <w:sz w:val="22"/>
                <w:szCs w:val="22"/>
              </w:rPr>
              <w:t xml:space="preserve">No Rate Limiting on Authentication or Import Endpoints</w:t>
            </w:r>
            <w:r>
              <w:rPr>
                <w:rFonts w:ascii="Arial" w:cs="Arial" w:eastAsia="Arial" w:hAnsi="Arial"/>
                <w:b/>
                <w:bCs/>
                <w:color w:val="D97706"/>
                <w:sz w:val="18"/>
                <w:szCs w:val="18"/>
              </w:rPr>
              <w:t xml:space="preserve">   HIGH</w:t>
            </w:r>
          </w:p>
          <w:p>
            <w:r>
              <w:rPr>
                <w:rFonts w:ascii="Arial" w:cs="Arial" w:eastAsia="Arial" w:hAnsi="Arial"/>
                <w:i/>
                <w:iCs/>
                <w:color w:val="475569"/>
                <w:sz w:val="18"/>
                <w:szCs w:val="18"/>
              </w:rPr>
              <w:t xml:space="preserve">Security · Availability</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There is no rate limiting anywhere in the application. The /auth/login endpoint is vulnerable to password-spray and credential-stuffing attacks. The /imports/upload endpoint (10 MB files) has no per-user upload frequency limit, enabling resource exhaustion through repeated large file uploads. BullMQ retries (3 attempts, exponential backoff) mitigate worker impact but not the API tier.</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main.ts has no ThrottlerModule. app.module.ts imports no rate-limit middleware. No RateLimit decorator found anywhere in the codebase.</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Install @nestjs/throttler. Apply a global throttler guard with sensible defaults (e.g., 60 req/min general; 10 req/min on /auth; 5 uploads/10 min on /imports/upload). Use Redis store (ThrottlerStorageRedisService) for consistency across API instances.</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2</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8"/>
              <w:bottom w:val="none" w:color="FFFFFF" w:sz="0"/>
              <w:right w:val="none" w:color="FFFFFF" w:sz="0"/>
            </w:tcBorders>
            <w:shd w:fill="FFFBEB" w:val="clear"/>
            <w:tcMar>
              <w:top w:type="dxa" w:w="100"/>
              <w:left w:type="dxa" w:w="200"/>
              <w:bottom w:type="dxa" w:w="80"/>
              <w:right w:type="dxa" w:w="200"/>
            </w:tcMar>
          </w:tcPr>
          <w:p>
            <w:pPr>
              <w:spacing w:before="0" w:after="40"/>
            </w:pPr>
            <w:r>
              <w:rPr>
                <w:rFonts w:ascii="Arial" w:cs="Arial" w:eastAsia="Arial" w:hAnsi="Arial"/>
                <w:b/>
                <w:bCs/>
                <w:color w:val="D97706"/>
                <w:sz w:val="22"/>
                <w:szCs w:val="22"/>
              </w:rPr>
              <w:t xml:space="preserve">[SEC-07] </w:t>
            </w:r>
            <w:r>
              <w:rPr>
                <w:rFonts w:ascii="Arial" w:cs="Arial" w:eastAsia="Arial" w:hAnsi="Arial"/>
                <w:b/>
                <w:bCs/>
                <w:color w:val="1A2B4A"/>
                <w:sz w:val="22"/>
                <w:szCs w:val="22"/>
              </w:rPr>
              <w:t xml:space="preserve">File Upload Validates Only MIME Type — Magic Bytes Not Checked</w:t>
            </w:r>
            <w:r>
              <w:rPr>
                <w:rFonts w:ascii="Arial" w:cs="Arial" w:eastAsia="Arial" w:hAnsi="Arial"/>
                <w:b/>
                <w:bCs/>
                <w:color w:val="D97706"/>
                <w:sz w:val="18"/>
                <w:szCs w:val="18"/>
              </w:rPr>
              <w:t xml:space="preserve">   HIGH</w:t>
            </w:r>
          </w:p>
          <w:p>
            <w:r>
              <w:rPr>
                <w:rFonts w:ascii="Arial" w:cs="Arial" w:eastAsia="Arial" w:hAnsi="Arial"/>
                <w:i/>
                <w:iCs/>
                <w:color w:val="475569"/>
                <w:sz w:val="18"/>
                <w:szCs w:val="18"/>
              </w:rPr>
              <w:t xml:space="preserve">Security · Input Validation</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The imports controller validates uploaded files via mimetype (declared by the client or inferred by Multer from the Content-Type header). An attacker can rename a malicious file (e.g., a JavaScript file) with a .csv extension, and Multer will pass it through if the Content-Type header is spoofed. The file buffer is then passed to the xlsx parser which processes it without a secondary validation step.</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imports.controller.ts fileFilter checks file.mimetype. imports.service.ts uploadFile() also checks allowedMimes including application/octet-stream — this catch-all already bypasses MIME validation for generic binary content.</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After Multer receives the file buffer, validate the actual magic bytes using the file-type npm package before parsing. Remove application/octet-stream from allowed MIME types or only allow it when the file-type check passes for CSV/XLSX signatures. Set a reasonable row-count cap to prevent DoS via extremely wide spreadsheets.</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2</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8"/>
              <w:bottom w:val="none" w:color="FFFFFF" w:sz="0"/>
              <w:right w:val="none" w:color="FFFFFF" w:sz="0"/>
            </w:tcBorders>
            <w:shd w:fill="FFFBEB" w:val="clear"/>
            <w:tcMar>
              <w:top w:type="dxa" w:w="100"/>
              <w:left w:type="dxa" w:w="200"/>
              <w:bottom w:type="dxa" w:w="80"/>
              <w:right w:type="dxa" w:w="200"/>
            </w:tcMar>
          </w:tcPr>
          <w:p>
            <w:pPr>
              <w:spacing w:before="0" w:after="40"/>
            </w:pPr>
            <w:r>
              <w:rPr>
                <w:rFonts w:ascii="Arial" w:cs="Arial" w:eastAsia="Arial" w:hAnsi="Arial"/>
                <w:b/>
                <w:bCs/>
                <w:color w:val="D97706"/>
                <w:sz w:val="22"/>
                <w:szCs w:val="22"/>
              </w:rPr>
              <w:t xml:space="preserve">[SEC-08] </w:t>
            </w:r>
            <w:r>
              <w:rPr>
                <w:rFonts w:ascii="Arial" w:cs="Arial" w:eastAsia="Arial" w:hAnsi="Arial"/>
                <w:b/>
                <w:bCs/>
                <w:color w:val="1A2B4A"/>
                <w:sz w:val="22"/>
                <w:szCs w:val="22"/>
              </w:rPr>
              <w:t xml:space="preserve">Call Recordings Stored and Served via Direct Twilio URLs</w:t>
            </w:r>
            <w:r>
              <w:rPr>
                <w:rFonts w:ascii="Arial" w:cs="Arial" w:eastAsia="Arial" w:hAnsi="Arial"/>
                <w:b/>
                <w:bCs/>
                <w:color w:val="D97706"/>
                <w:sz w:val="18"/>
                <w:szCs w:val="18"/>
              </w:rPr>
              <w:t xml:space="preserve">   HIGH</w:t>
            </w:r>
          </w:p>
          <w:p>
            <w:r>
              <w:rPr>
                <w:rFonts w:ascii="Arial" w:cs="Arial" w:eastAsia="Arial" w:hAnsi="Arial"/>
                <w:i/>
                <w:iCs/>
                <w:color w:val="475569"/>
                <w:sz w:val="18"/>
                <w:szCs w:val="18"/>
              </w:rPr>
              <w:t xml:space="preserve">Security · Data Exposure</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Recording URLs (e.g., https://api.twilio.com/.../Recordings/{SID}.mp3) are stored directly in the calls.recordingUrl column and returned to any client who can read call records. Twilio recording URLs are authenticated via HTTP Basic Auth with account credentials, but the URL itself is predictable if the RecordingSid is known. Additionally, the recording URL is pushed to the frontend via WebSocket without re-validation of the recipient.</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calls.service.ts handleRecordingComplete() stores event.recordingUrl directly. calls.gateway.ts sendCallEvent() emits recordingUrl to the agent room without further access control. call-response.dto.ts exposes recordingUrl in API responses.</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Create a backend proxy endpoint (GET /api/v1/calls/:id/recording) that validates ownership, then streams or redirects with a time-limited signed URL from Twilio. Never expose raw Twilio recording URLs in API responses. Consider deleting recordings from Twilio and storing in your own S3-compatible bucket under controlled access.</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3</w:t>
            </w:r>
          </w:p>
        </w:tc>
      </w:tr>
    </w:tbl>
    <w:p>
      <w:pPr>
        <w:spacing w:before="100" w:after="0"/>
      </w:pPr>
      <w:r>
        <w:t xml:space="preserve"/>
      </w:r>
    </w:p>
    <w:p>
      <w:pPr>
        <w:pStyle w:val="Heading2"/>
        <w:pBdr>
          <w:bottom w:val="single" w:color="2563EB" w:sz="4" w:space="4"/>
        </w:pBdr>
        <w:spacing w:before="280" w:after="120"/>
      </w:pPr>
      <w:r>
        <w:rPr>
          <w:rFonts w:ascii="Arial" w:cs="Arial" w:eastAsia="Arial" w:hAnsi="Arial"/>
          <w:b/>
          <w:bCs/>
          <w:color w:val="1A2B4A"/>
          <w:sz w:val="26"/>
          <w:szCs w:val="26"/>
        </w:rPr>
        <w:t xml:space="preserve">3.3  Data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8"/>
              <w:bottom w:val="none" w:color="FFFFFF" w:sz="0"/>
              <w:right w:val="none" w:color="FFFFFF" w:sz="0"/>
            </w:tcBorders>
            <w:shd w:fill="EFF6FF" w:val="clear"/>
            <w:tcMar>
              <w:top w:type="dxa" w:w="100"/>
              <w:left w:type="dxa" w:w="200"/>
              <w:bottom w:type="dxa" w:w="80"/>
              <w:right w:type="dxa" w:w="200"/>
            </w:tcMar>
          </w:tcPr>
          <w:p>
            <w:pPr>
              <w:spacing w:before="0" w:after="40"/>
            </w:pPr>
            <w:r>
              <w:rPr>
                <w:rFonts w:ascii="Arial" w:cs="Arial" w:eastAsia="Arial" w:hAnsi="Arial"/>
                <w:b/>
                <w:bCs/>
                <w:color w:val="2563EB"/>
                <w:sz w:val="22"/>
                <w:szCs w:val="22"/>
              </w:rPr>
              <w:t xml:space="preserve">[SEC-09] </w:t>
            </w:r>
            <w:r>
              <w:rPr>
                <w:rFonts w:ascii="Arial" w:cs="Arial" w:eastAsia="Arial" w:hAnsi="Arial"/>
                <w:b/>
                <w:bCs/>
                <w:color w:val="1A2B4A"/>
                <w:sz w:val="22"/>
                <w:szCs w:val="22"/>
              </w:rPr>
              <w:t xml:space="preserve">PII Fields Stored Unencrypted in Plain Text</w:t>
            </w:r>
            <w:r>
              <w:rPr>
                <w:rFonts w:ascii="Arial" w:cs="Arial" w:eastAsia="Arial" w:hAnsi="Arial"/>
                <w:b/>
                <w:bCs/>
                <w:color w:val="2563EB"/>
                <w:sz w:val="18"/>
                <w:szCs w:val="18"/>
              </w:rPr>
              <w:t xml:space="preserve">   MEDIUM</w:t>
            </w:r>
          </w:p>
          <w:p>
            <w:r>
              <w:rPr>
                <w:rFonts w:ascii="Arial" w:cs="Arial" w:eastAsia="Arial" w:hAnsi="Arial"/>
                <w:i/>
                <w:iCs/>
                <w:color w:val="475569"/>
                <w:sz w:val="18"/>
                <w:szCs w:val="18"/>
              </w:rPr>
              <w:t xml:space="preserve">Security · Data Privacy</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The leads table stores sensitive personal data fields (email, personalLinkedin, contactName, phoneNumber) and the users table stores email and fullName, all as plain VARCHAR in PostgreSQL without column-level encryption. For a platform subject to GDPR (European prospects are explicitly supported — GB, DE, NL, FR, etc.) this presents a compliance risk if the database is compromised.</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prisma/schema.prisma: email String?, personalLinkedin String?, phoneNumber String — all plain text. No Prisma middleware applying encryption is present in prisma.service.ts.</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Implement column-level encryption for high-sensitivity PII fields (email, personalLinkedin, phoneNumber) using a Prisma middleware or a field-level encryption library. At minimum, enable PostgreSQL TDE (Transparent Data Encryption) at rest and ensure all DB connections use TLS (sslmode=require in DATABASE_URL). Document your GDPR data retention policy and add a data-deletion endpoint to support right-to-erasure requests.</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 DBA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3</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8"/>
              <w:bottom w:val="none" w:color="FFFFFF" w:sz="0"/>
              <w:right w:val="none" w:color="FFFFFF" w:sz="0"/>
            </w:tcBorders>
            <w:shd w:fill="EFF6FF" w:val="clear"/>
            <w:tcMar>
              <w:top w:type="dxa" w:w="100"/>
              <w:left w:type="dxa" w:w="200"/>
              <w:bottom w:type="dxa" w:w="80"/>
              <w:right w:type="dxa" w:w="200"/>
            </w:tcMar>
          </w:tcPr>
          <w:p>
            <w:pPr>
              <w:spacing w:before="0" w:after="40"/>
            </w:pPr>
            <w:r>
              <w:rPr>
                <w:rFonts w:ascii="Arial" w:cs="Arial" w:eastAsia="Arial" w:hAnsi="Arial"/>
                <w:b/>
                <w:bCs/>
                <w:color w:val="2563EB"/>
                <w:sz w:val="22"/>
                <w:szCs w:val="22"/>
              </w:rPr>
              <w:t xml:space="preserve">[SEC-10] </w:t>
            </w:r>
            <w:r>
              <w:rPr>
                <w:rFonts w:ascii="Arial" w:cs="Arial" w:eastAsia="Arial" w:hAnsi="Arial"/>
                <w:b/>
                <w:bCs/>
                <w:color w:val="1A2B4A"/>
                <w:sz w:val="22"/>
                <w:szCs w:val="22"/>
              </w:rPr>
              <w:t xml:space="preserve">No CSRF Protection Planned for Cookie Migration</w:t>
            </w:r>
            <w:r>
              <w:rPr>
                <w:rFonts w:ascii="Arial" w:cs="Arial" w:eastAsia="Arial" w:hAnsi="Arial"/>
                <w:b/>
                <w:bCs/>
                <w:color w:val="2563EB"/>
                <w:sz w:val="18"/>
                <w:szCs w:val="18"/>
              </w:rPr>
              <w:t xml:space="preserve">   MEDIUM</w:t>
            </w:r>
          </w:p>
          <w:p>
            <w:r>
              <w:rPr>
                <w:rFonts w:ascii="Arial" w:cs="Arial" w:eastAsia="Arial" w:hAnsi="Arial"/>
                <w:i/>
                <w:iCs/>
                <w:color w:val="475569"/>
                <w:sz w:val="18"/>
                <w:szCs w:val="18"/>
              </w:rPr>
              <w:t xml:space="preserve">Security · Authentication</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The README explicitly flags the plan to migrate from localStorage to httpOnly cookies. Once cookies are used, every state-changing request becomes susceptible to CSRF unless protection is implemented simultaneously. There is no CSRF middleware or token implementation in the current codebase.</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main.ts: no CSRF middleware (e.g., csurf). No X-CSRF-Token header handling in api-client.ts.</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When implementing the cookie migration (SEC-01), add the @nestjs/csrf package or implement the synchroniser token pattern. The axios interceptor in api-client.ts should be extended to read and forward the CSRF token on all non-GET requests.</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Frontend + 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1 (alongside SEC-01)</w:t>
            </w:r>
          </w:p>
        </w:tc>
      </w:tr>
    </w:tbl>
    <w:p>
      <w:pPr>
        <w:spacing w:before="100" w:after="0"/>
      </w:pPr>
      <w:r>
        <w:t xml:space="preserve"/>
      </w:r>
    </w:p>
    <w:p>
      <w:r>
        <w:br w:type="page"/>
      </w:r>
    </w:p>
    <w:p>
      <w:pPr>
        <w:pStyle w:val="Heading1"/>
        <w:spacing w:before="320" w:after="160"/>
      </w:pPr>
      <w:r>
        <w:rPr>
          <w:rFonts w:ascii="Arial" w:cs="Arial" w:eastAsia="Arial" w:hAnsi="Arial"/>
          <w:b/>
          <w:bCs/>
          <w:color w:val="1A2B4A"/>
          <w:sz w:val="32"/>
          <w:szCs w:val="32"/>
        </w:rPr>
        <w:t xml:space="preserve">4. Architecture Quality Findings</w:t>
      </w:r>
    </w:p>
    <w:p>
      <w:pPr>
        <w:pStyle w:val="Heading2"/>
        <w:pBdr>
          <w:bottom w:val="single" w:color="2563EB" w:sz="4" w:space="4"/>
        </w:pBdr>
        <w:spacing w:before="280" w:after="120"/>
      </w:pPr>
      <w:r>
        <w:rPr>
          <w:rFonts w:ascii="Arial" w:cs="Arial" w:eastAsia="Arial" w:hAnsi="Arial"/>
          <w:b/>
          <w:bCs/>
          <w:color w:val="1A2B4A"/>
          <w:sz w:val="26"/>
          <w:szCs w:val="26"/>
        </w:rPr>
        <w:t xml:space="preserve">4.1  Strengths</w:t>
      </w:r>
    </w:p>
    <w:p>
      <w:pPr>
        <w:spacing w:before="80" w:after="100"/>
      </w:pPr>
      <w:r>
        <w:rPr>
          <w:rFonts w:ascii="Arial" w:cs="Arial" w:eastAsia="Arial" w:hAnsi="Arial"/>
          <w:color w:val="1E293B"/>
          <w:sz w:val="20"/>
          <w:szCs w:val="20"/>
        </w:rPr>
        <w:t xml:space="preserve">The following architectural patterns represent genuine best practices correctly implemented and should be preserved:</w:t>
      </w:r>
    </w:p>
    <w:p>
      <w:pPr>
        <w:pStyle w:val="ListParagraph"/>
        <w:numPr>
          <w:ilvl w:val="0"/>
          <w:numId w:val="2"/>
        </w:numPr>
        <w:spacing w:before="40" w:after="60"/>
        <w:ind w:left="720" w:hanging="360"/>
      </w:pPr>
      <w:r>
        <w:rPr>
          <w:rFonts w:ascii="Arial" w:cs="Arial" w:eastAsia="Arial" w:hAnsi="Arial"/>
          <w:b/>
          <w:bCs/>
          <w:color w:val="1E293B"/>
          <w:sz w:val="20"/>
          <w:szCs w:val="20"/>
        </w:rPr>
        <w:t xml:space="preserve">Telephony provider abstraction: </w:t>
      </w:r>
      <w:r>
        <w:rPr>
          <w:rFonts w:ascii="Arial" w:cs="Arial" w:eastAsia="Arial" w:hAnsi="Arial"/>
          <w:color w:val="1E293B"/>
          <w:sz w:val="20"/>
          <w:szCs w:val="20"/>
        </w:rPr>
        <w:t xml:space="preserve">The TelephonyProvider interface + DI factory correctly isolates Twilio/Telnyx/Mock implementations. No business logic imports from "twilio" directly.</w:t>
      </w:r>
    </w:p>
    <w:p>
      <w:pPr>
        <w:pStyle w:val="ListParagraph"/>
        <w:numPr>
          <w:ilvl w:val="0"/>
          <w:numId w:val="2"/>
        </w:numPr>
        <w:spacing w:before="40" w:after="60"/>
        <w:ind w:left="720" w:hanging="360"/>
      </w:pPr>
      <w:r>
        <w:rPr>
          <w:rFonts w:ascii="Arial" w:cs="Arial" w:eastAsia="Arial" w:hAnsi="Arial"/>
          <w:b/>
          <w:bCs/>
          <w:color w:val="1E293B"/>
          <w:sz w:val="20"/>
          <w:szCs w:val="20"/>
        </w:rPr>
        <w:t xml:space="preserve">Serialize interceptor: </w:t>
      </w:r>
      <w:r>
        <w:rPr>
          <w:rFonts w:ascii="Arial" w:cs="Arial" w:eastAsia="Arial" w:hAnsi="Arial"/>
          <w:color w:val="1E293B"/>
          <w:sz w:val="20"/>
          <w:szCs w:val="20"/>
        </w:rPr>
        <w:t xml:space="preserve">The @Serialize(Dto) pattern on all controller endpoints reliably strips sensitive fields (e.g., passwordHash) from responses using class-transformer.</w:t>
      </w:r>
    </w:p>
    <w:p>
      <w:pPr>
        <w:pStyle w:val="ListParagraph"/>
        <w:numPr>
          <w:ilvl w:val="0"/>
          <w:numId w:val="2"/>
        </w:numPr>
        <w:spacing w:before="40" w:after="60"/>
        <w:ind w:left="720" w:hanging="360"/>
      </w:pPr>
      <w:r>
        <w:rPr>
          <w:rFonts w:ascii="Arial" w:cs="Arial" w:eastAsia="Arial" w:hAnsi="Arial"/>
          <w:b/>
          <w:bCs/>
          <w:color w:val="1E293B"/>
          <w:sz w:val="20"/>
          <w:szCs w:val="20"/>
        </w:rPr>
        <w:t xml:space="preserve">Webhook route exclusion from versioning: </w:t>
      </w:r>
      <w:r>
        <w:rPr>
          <w:rFonts w:ascii="Arial" w:cs="Arial" w:eastAsia="Arial" w:hAnsi="Arial"/>
          <w:color w:val="1E293B"/>
          <w:sz w:val="20"/>
          <w:szCs w:val="20"/>
        </w:rPr>
        <w:t xml:space="preserve">The setGlobalPrefix exclude list correctly prevents version prefix changes from silently breaking externally configured Twilio webhook URLs.</w:t>
      </w:r>
    </w:p>
    <w:p>
      <w:pPr>
        <w:pStyle w:val="ListParagraph"/>
        <w:numPr>
          <w:ilvl w:val="0"/>
          <w:numId w:val="2"/>
        </w:numPr>
        <w:spacing w:before="40" w:after="60"/>
        <w:ind w:left="720" w:hanging="360"/>
      </w:pPr>
      <w:r>
        <w:rPr>
          <w:rFonts w:ascii="Arial" w:cs="Arial" w:eastAsia="Arial" w:hAnsi="Arial"/>
          <w:b/>
          <w:bCs/>
          <w:color w:val="1E293B"/>
          <w:sz w:val="20"/>
          <w:szCs w:val="20"/>
        </w:rPr>
        <w:t xml:space="preserve">BullMQ worker isolation: </w:t>
      </w:r>
      <w:r>
        <w:rPr>
          <w:rFonts w:ascii="Arial" w:cs="Arial" w:eastAsia="Arial" w:hAnsi="Arial"/>
          <w:color w:val="1E293B"/>
          <w:sz w:val="20"/>
          <w:szCs w:val="20"/>
        </w:rPr>
        <w:t xml:space="preserve">The CSV import worker runs in a separate process (worker.ts), preventing large file parsing from blocking the HTTP event loop.</w:t>
      </w:r>
    </w:p>
    <w:p>
      <w:pPr>
        <w:pStyle w:val="ListParagraph"/>
        <w:numPr>
          <w:ilvl w:val="0"/>
          <w:numId w:val="2"/>
        </w:numPr>
        <w:spacing w:before="40" w:after="60"/>
        <w:ind w:left="720" w:hanging="360"/>
      </w:pPr>
      <w:r>
        <w:rPr>
          <w:rFonts w:ascii="Arial" w:cs="Arial" w:eastAsia="Arial" w:hAnsi="Arial"/>
          <w:b/>
          <w:bCs/>
          <w:color w:val="1E293B"/>
          <w:sz w:val="20"/>
          <w:szCs w:val="20"/>
        </w:rPr>
        <w:t xml:space="preserve">Stale call cleanup: </w:t>
      </w:r>
      <w:r>
        <w:rPr>
          <w:rFonts w:ascii="Arial" w:cs="Arial" w:eastAsia="Arial" w:hAnsi="Arial"/>
          <w:color w:val="1E293B"/>
          <w:sz w:val="20"/>
          <w:szCs w:val="20"/>
        </w:rPr>
        <w:t xml:space="preserve">CallsService.cleanupStaleCalls() proactively cancels stuck calls before new call attempts, preventing a common dialer ghost-state problem.</w:t>
      </w:r>
    </w:p>
    <w:p>
      <w:pPr>
        <w:pStyle w:val="ListParagraph"/>
        <w:numPr>
          <w:ilvl w:val="0"/>
          <w:numId w:val="2"/>
        </w:numPr>
        <w:spacing w:before="40" w:after="60"/>
        <w:ind w:left="720" w:hanging="360"/>
      </w:pPr>
      <w:r>
        <w:rPr>
          <w:rFonts w:ascii="Arial" w:cs="Arial" w:eastAsia="Arial" w:hAnsi="Arial"/>
          <w:b/>
          <w:bCs/>
          <w:color w:val="1E293B"/>
          <w:sz w:val="20"/>
          <w:szCs w:val="20"/>
        </w:rPr>
        <w:t xml:space="preserve">Paginated lead queries: </w:t>
      </w:r>
      <w:r>
        <w:rPr>
          <w:rFonts w:ascii="Arial" w:cs="Arial" w:eastAsia="Arial" w:hAnsi="Arial"/>
          <w:color w:val="1E293B"/>
          <w:sz w:val="20"/>
          <w:szCs w:val="20"/>
        </w:rPr>
        <w:t xml:space="preserve">findAll() uses Promise.all([findMany, count]) for efficient parallel pagination queries.</w:t>
      </w:r>
    </w:p>
    <w:p>
      <w:pPr>
        <w:spacing w:before="80" w:after="0"/>
      </w:pPr>
      <w:r>
        <w:t xml:space="preserve"/>
      </w:r>
    </w:p>
    <w:p>
      <w:pPr>
        <w:pStyle w:val="Heading2"/>
        <w:pBdr>
          <w:bottom w:val="single" w:color="2563EB" w:sz="4" w:space="4"/>
        </w:pBdr>
        <w:spacing w:before="280" w:after="120"/>
      </w:pPr>
      <w:r>
        <w:rPr>
          <w:rFonts w:ascii="Arial" w:cs="Arial" w:eastAsia="Arial" w:hAnsi="Arial"/>
          <w:b/>
          <w:bCs/>
          <w:color w:val="1A2B4A"/>
          <w:sz w:val="26"/>
          <w:szCs w:val="26"/>
        </w:rPr>
        <w:t xml:space="preserve">4.2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8"/>
              <w:bottom w:val="none" w:color="FFFFFF" w:sz="0"/>
              <w:right w:val="none" w:color="FFFFFF" w:sz="0"/>
            </w:tcBorders>
            <w:shd w:fill="FFFBEB" w:val="clear"/>
            <w:tcMar>
              <w:top w:type="dxa" w:w="100"/>
              <w:left w:type="dxa" w:w="200"/>
              <w:bottom w:type="dxa" w:w="80"/>
              <w:right w:type="dxa" w:w="200"/>
            </w:tcMar>
          </w:tcPr>
          <w:p>
            <w:pPr>
              <w:spacing w:before="0" w:after="40"/>
            </w:pPr>
            <w:r>
              <w:rPr>
                <w:rFonts w:ascii="Arial" w:cs="Arial" w:eastAsia="Arial" w:hAnsi="Arial"/>
                <w:b/>
                <w:bCs/>
                <w:color w:val="D97706"/>
                <w:sz w:val="22"/>
                <w:szCs w:val="22"/>
              </w:rPr>
              <w:t xml:space="preserve">[ARC-01] </w:t>
            </w:r>
            <w:r>
              <w:rPr>
                <w:rFonts w:ascii="Arial" w:cs="Arial" w:eastAsia="Arial" w:hAnsi="Arial"/>
                <w:b/>
                <w:bCs/>
                <w:color w:val="1A2B4A"/>
                <w:sz w:val="22"/>
                <w:szCs w:val="22"/>
              </w:rPr>
              <w:t xml:space="preserve">JwtAuthGuard Applied Per-Controller Rather Than Globally</w:t>
            </w:r>
            <w:r>
              <w:rPr>
                <w:rFonts w:ascii="Arial" w:cs="Arial" w:eastAsia="Arial" w:hAnsi="Arial"/>
                <w:b/>
                <w:bCs/>
                <w:color w:val="D97706"/>
                <w:sz w:val="18"/>
                <w:szCs w:val="18"/>
              </w:rPr>
              <w:t xml:space="preserve">   HIGH</w:t>
            </w:r>
          </w:p>
          <w:p>
            <w:r>
              <w:rPr>
                <w:rFonts w:ascii="Arial" w:cs="Arial" w:eastAsia="Arial" w:hAnsi="Arial"/>
                <w:i/>
                <w:iCs/>
                <w:color w:val="475569"/>
                <w:sz w:val="18"/>
                <w:szCs w:val="18"/>
              </w:rPr>
              <w:t xml:space="preserve">Architecture · Security Posture</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Every controller individually applies @UseGuards(JwtAuthGuard). If a developer adds a new controller and forgets this decorator, that controller is fully unauthenticated. NestJS supports global guards via APP_GUARD, which would make authentication the default and require explicit @SetMetadata("isPublic", true) opt-out — a safer posture.</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calls.controller.ts, leads.controller.ts, imports.controller.ts, dispositions.controller.ts, users.controller.ts each have @UseGuards(JwtAuthGuard). No APP_GUARD registration found in app.module.ts.</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Register JwtAuthGuard as a global guard in app.module.ts: { provide: APP_GUARD, useClass: JwtAuthGuard }. Remove individual @UseGuards(JwtAuthGuard) from controllers. Keep @SetMetadata("isPublic", true) on public routes and WebhooksController.</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2</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8"/>
              <w:bottom w:val="none" w:color="FFFFFF" w:sz="0"/>
              <w:right w:val="none" w:color="FFFFFF" w:sz="0"/>
            </w:tcBorders>
            <w:shd w:fill="FFFBEB" w:val="clear"/>
            <w:tcMar>
              <w:top w:type="dxa" w:w="100"/>
              <w:left w:type="dxa" w:w="200"/>
              <w:bottom w:type="dxa" w:w="80"/>
              <w:right w:type="dxa" w:w="200"/>
            </w:tcMar>
          </w:tcPr>
          <w:p>
            <w:pPr>
              <w:spacing w:before="0" w:after="40"/>
            </w:pPr>
            <w:r>
              <w:rPr>
                <w:rFonts w:ascii="Arial" w:cs="Arial" w:eastAsia="Arial" w:hAnsi="Arial"/>
                <w:b/>
                <w:bCs/>
                <w:color w:val="D97706"/>
                <w:sz w:val="22"/>
                <w:szCs w:val="22"/>
              </w:rPr>
              <w:t xml:space="preserve">[ARC-02] </w:t>
            </w:r>
            <w:r>
              <w:rPr>
                <w:rFonts w:ascii="Arial" w:cs="Arial" w:eastAsia="Arial" w:hAnsi="Arial"/>
                <w:b/>
                <w:bCs/>
                <w:color w:val="1A2B4A"/>
                <w:sz w:val="22"/>
                <w:szCs w:val="22"/>
              </w:rPr>
              <w:t xml:space="preserve">GET /calls/lead/:leadId Has No Ownership Enforcement</w:t>
            </w:r>
            <w:r>
              <w:rPr>
                <w:rFonts w:ascii="Arial" w:cs="Arial" w:eastAsia="Arial" w:hAnsi="Arial"/>
                <w:b/>
                <w:bCs/>
                <w:color w:val="D97706"/>
                <w:sz w:val="18"/>
                <w:szCs w:val="18"/>
              </w:rPr>
              <w:t xml:space="preserve">   HIGH</w:t>
            </w:r>
          </w:p>
          <w:p>
            <w:r>
              <w:rPr>
                <w:rFonts w:ascii="Arial" w:cs="Arial" w:eastAsia="Arial" w:hAnsi="Arial"/>
                <w:i/>
                <w:iCs/>
                <w:color w:val="475569"/>
                <w:sz w:val="18"/>
                <w:szCs w:val="18"/>
              </w:rPr>
              <w:t xml:space="preserve">Architecture · Access Control</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CallsController.getCallHistory() calls callsService.getCallHistory(leadId) which fetches all calls for any lead by ID. There is no check that the requesting user owns the lead or is an ADMIN. A BDR can retrieve the full call history (including recording URLs) of any other BDR's lead by guessing or obtaining a UUID.</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calls.controller.ts getCallHistory(): no user ownership validation before delegating to service. calls.service.ts getCallHistory(): WHERE clause is only { leadId } with no agentId or ownerId filter.</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Pass the current user (id, role) to getCallHistory(). For BDRs, add a JOIN or sub-query to verify lead.ownerId === agentId. For ADMINs, allow unrestricted access. Alternatively, use the existing LeadsService.findById() as a prerequisite ownership check.</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2</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8"/>
              <w:bottom w:val="none" w:color="FFFFFF" w:sz="0"/>
              <w:right w:val="none" w:color="FFFFFF" w:sz="0"/>
            </w:tcBorders>
            <w:shd w:fill="FFFBEB" w:val="clear"/>
            <w:tcMar>
              <w:top w:type="dxa" w:w="100"/>
              <w:left w:type="dxa" w:w="200"/>
              <w:bottom w:type="dxa" w:w="80"/>
              <w:right w:type="dxa" w:w="200"/>
            </w:tcMar>
          </w:tcPr>
          <w:p>
            <w:pPr>
              <w:spacing w:before="0" w:after="40"/>
            </w:pPr>
            <w:r>
              <w:rPr>
                <w:rFonts w:ascii="Arial" w:cs="Arial" w:eastAsia="Arial" w:hAnsi="Arial"/>
                <w:b/>
                <w:bCs/>
                <w:color w:val="D97706"/>
                <w:sz w:val="22"/>
                <w:szCs w:val="22"/>
              </w:rPr>
              <w:t xml:space="preserve">[ARC-03] </w:t>
            </w:r>
            <w:r>
              <w:rPr>
                <w:rFonts w:ascii="Arial" w:cs="Arial" w:eastAsia="Arial" w:hAnsi="Arial"/>
                <w:b/>
                <w:bCs/>
                <w:color w:val="1A2B4A"/>
                <w:sz w:val="22"/>
                <w:szCs w:val="22"/>
              </w:rPr>
              <w:t xml:space="preserve">GET /imports/:id Has No Ownership Enforcement</w:t>
            </w:r>
            <w:r>
              <w:rPr>
                <w:rFonts w:ascii="Arial" w:cs="Arial" w:eastAsia="Arial" w:hAnsi="Arial"/>
                <w:b/>
                <w:bCs/>
                <w:color w:val="D97706"/>
                <w:sz w:val="18"/>
                <w:szCs w:val="18"/>
              </w:rPr>
              <w:t xml:space="preserve">   HIGH</w:t>
            </w:r>
          </w:p>
          <w:p>
            <w:r>
              <w:rPr>
                <w:rFonts w:ascii="Arial" w:cs="Arial" w:eastAsia="Arial" w:hAnsi="Arial"/>
                <w:i/>
                <w:iCs/>
                <w:color w:val="475569"/>
                <w:sz w:val="18"/>
                <w:szCs w:val="18"/>
              </w:rPr>
              <w:t xml:space="preserve">Architecture · Access Control</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ImportsController.getStatus() calls importsService.getImportStatus(importId) which finds any CsvImport by ID without checking uploadedBy. Any authenticated user (BDR or ADMIN) can poll the status of any import by guessing UUIDs.</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imports.controller.ts getStatus(): passes only importId. imports.service.ts getImportStatus(): WHERE clause is only { id: importId }.</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Add the current user (id, role) as a parameter to getImportStatus(). Filter by uploadedBy: userId for BDRs. Raise a NotFoundException (not a ForbiddenException) to avoid leaking the existence of other users' imports.</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2</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8"/>
              <w:bottom w:val="none" w:color="FFFFFF" w:sz="0"/>
              <w:right w:val="none" w:color="FFFFFF" w:sz="0"/>
            </w:tcBorders>
            <w:shd w:fill="EFF6FF" w:val="clear"/>
            <w:tcMar>
              <w:top w:type="dxa" w:w="100"/>
              <w:left w:type="dxa" w:w="200"/>
              <w:bottom w:type="dxa" w:w="80"/>
              <w:right w:type="dxa" w:w="200"/>
            </w:tcMar>
          </w:tcPr>
          <w:p>
            <w:pPr>
              <w:spacing w:before="0" w:after="40"/>
            </w:pPr>
            <w:r>
              <w:rPr>
                <w:rFonts w:ascii="Arial" w:cs="Arial" w:eastAsia="Arial" w:hAnsi="Arial"/>
                <w:b/>
                <w:bCs/>
                <w:color w:val="2563EB"/>
                <w:sz w:val="22"/>
                <w:szCs w:val="22"/>
              </w:rPr>
              <w:t xml:space="preserve">[ARC-04] </w:t>
            </w:r>
            <w:r>
              <w:rPr>
                <w:rFonts w:ascii="Arial" w:cs="Arial" w:eastAsia="Arial" w:hAnsi="Arial"/>
                <w:b/>
                <w:bCs/>
                <w:color w:val="1A2B4A"/>
                <w:sz w:val="22"/>
                <w:szCs w:val="22"/>
              </w:rPr>
              <w:t xml:space="preserve">Worker and API Share DB Without Connection Pool Limits</w:t>
            </w:r>
            <w:r>
              <w:rPr>
                <w:rFonts w:ascii="Arial" w:cs="Arial" w:eastAsia="Arial" w:hAnsi="Arial"/>
                <w:b/>
                <w:bCs/>
                <w:color w:val="2563EB"/>
                <w:sz w:val="18"/>
                <w:szCs w:val="18"/>
              </w:rPr>
              <w:t xml:space="preserve">   MEDIUM</w:t>
            </w:r>
          </w:p>
          <w:p>
            <w:r>
              <w:rPr>
                <w:rFonts w:ascii="Arial" w:cs="Arial" w:eastAsia="Arial" w:hAnsi="Arial"/>
                <w:i/>
                <w:iCs/>
                <w:color w:val="475569"/>
                <w:sz w:val="18"/>
                <w:szCs w:val="18"/>
              </w:rPr>
              <w:t xml:space="preserve">Architecture · Resilience</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Both the API process and the worker process instantiate PrismaService independently, each creating its own connection pool. Prisma's default pool size is min(cpuCount+1, 10) per instance. With a large CSV import batch running (50-row batches with createMany), the worker can exhaust its pool while the API struggles to serve HTTP requests. There are no pool_max constraints in DATABASE_URL.</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prisma.service.ts: extends PrismaClient with no datasource configuration override. worker.ts bootstraps a full AppModule including PrismaModule. DATABASE_URL in README does not include connection_limit parameter.</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Set explicit pool limits in DATABASE_URL (e.g., ?connection_limit=10&amp;pool_timeout=10 for the worker, higher for the API). Consider a read replica datasource for read-heavy operations (lead list, call history). Add a pg_stat_activity monitor to track connection saturation.</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DevOps + 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3</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8"/>
              <w:bottom w:val="none" w:color="FFFFFF" w:sz="0"/>
              <w:right w:val="none" w:color="FFFFFF" w:sz="0"/>
            </w:tcBorders>
            <w:shd w:fill="EFF6FF" w:val="clear"/>
            <w:tcMar>
              <w:top w:type="dxa" w:w="100"/>
              <w:left w:type="dxa" w:w="200"/>
              <w:bottom w:type="dxa" w:w="80"/>
              <w:right w:type="dxa" w:w="200"/>
            </w:tcMar>
          </w:tcPr>
          <w:p>
            <w:pPr>
              <w:spacing w:before="0" w:after="40"/>
            </w:pPr>
            <w:r>
              <w:rPr>
                <w:rFonts w:ascii="Arial" w:cs="Arial" w:eastAsia="Arial" w:hAnsi="Arial"/>
                <w:b/>
                <w:bCs/>
                <w:color w:val="2563EB"/>
                <w:sz w:val="22"/>
                <w:szCs w:val="22"/>
              </w:rPr>
              <w:t xml:space="preserve">[ARC-05] </w:t>
            </w:r>
            <w:r>
              <w:rPr>
                <w:rFonts w:ascii="Arial" w:cs="Arial" w:eastAsia="Arial" w:hAnsi="Arial"/>
                <w:b/>
                <w:bCs/>
                <w:color w:val="1A2B4A"/>
                <w:sz w:val="22"/>
                <w:szCs w:val="22"/>
              </w:rPr>
              <w:t xml:space="preserve">No Reverse Proxy / API Gateway Documented for Production</w:t>
            </w:r>
            <w:r>
              <w:rPr>
                <w:rFonts w:ascii="Arial" w:cs="Arial" w:eastAsia="Arial" w:hAnsi="Arial"/>
                <w:b/>
                <w:bCs/>
                <w:color w:val="2563EB"/>
                <w:sz w:val="18"/>
                <w:szCs w:val="18"/>
              </w:rPr>
              <w:t xml:space="preserve">   MEDIUM</w:t>
            </w:r>
          </w:p>
          <w:p>
            <w:r>
              <w:rPr>
                <w:rFonts w:ascii="Arial" w:cs="Arial" w:eastAsia="Arial" w:hAnsi="Arial"/>
                <w:i/>
                <w:iCs/>
                <w:color w:val="475569"/>
                <w:sz w:val="18"/>
                <w:szCs w:val="18"/>
              </w:rPr>
              <w:t xml:space="preserve">Architecture · Production Readiness</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The API server (NestJS on port 4000) is the only documented deployment target. There is no nginx, Caddy, Traefik, or cloud load balancer configuration. This means the Node.js process is directly internet-facing: no TLS termination at edge, no HTTP/2, no static asset caching, and no DDoS-layer protection outside the application itself.</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README setup instructions only document docker-compose for DB + Redis; API runs directly with npm run dev:api. No Dockerfile or production deployment manifest found.</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Add a production deployment guide with a reverse proxy (nginx or Traefik) in front of the API for TLS termination, rate limiting at the edge, and connection draining. Add Dockerfiles for the API and worker processes. Document horizontal scaling strategy (multiple API instances + Redis adapter for WebSocket, shared BullMQ queue).</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DevOps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3</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8"/>
              <w:bottom w:val="none" w:color="FFFFFF" w:sz="0"/>
              <w:right w:val="none" w:color="FFFFFF" w:sz="0"/>
            </w:tcBorders>
            <w:shd w:fill="F0FDF4" w:val="clear"/>
            <w:tcMar>
              <w:top w:type="dxa" w:w="100"/>
              <w:left w:type="dxa" w:w="200"/>
              <w:bottom w:type="dxa" w:w="80"/>
              <w:right w:type="dxa" w:w="200"/>
            </w:tcMar>
          </w:tcPr>
          <w:p>
            <w:pPr>
              <w:spacing w:before="0" w:after="40"/>
            </w:pPr>
            <w:r>
              <w:rPr>
                <w:rFonts w:ascii="Arial" w:cs="Arial" w:eastAsia="Arial" w:hAnsi="Arial"/>
                <w:b/>
                <w:bCs/>
                <w:color w:val="16A34A"/>
                <w:sz w:val="22"/>
                <w:szCs w:val="22"/>
              </w:rPr>
              <w:t xml:space="preserve">[ARC-06] </w:t>
            </w:r>
            <w:r>
              <w:rPr>
                <w:rFonts w:ascii="Arial" w:cs="Arial" w:eastAsia="Arial" w:hAnsi="Arial"/>
                <w:b/>
                <w:bCs/>
                <w:color w:val="1A2B4A"/>
                <w:sz w:val="22"/>
                <w:szCs w:val="22"/>
              </w:rPr>
              <w:t xml:space="preserve">WEBHOOK_BASE_URL Read via process.env Rather Than ConfigService</w:t>
            </w:r>
            <w:r>
              <w:rPr>
                <w:rFonts w:ascii="Arial" w:cs="Arial" w:eastAsia="Arial" w:hAnsi="Arial"/>
                <w:b/>
                <w:bCs/>
                <w:color w:val="16A34A"/>
                <w:sz w:val="18"/>
                <w:szCs w:val="18"/>
              </w:rPr>
              <w:t xml:space="preserve">   LOW</w:t>
            </w:r>
          </w:p>
          <w:p>
            <w:r>
              <w:rPr>
                <w:rFonts w:ascii="Arial" w:cs="Arial" w:eastAsia="Arial" w:hAnsi="Arial"/>
                <w:i/>
                <w:iCs/>
                <w:color w:val="475569"/>
                <w:sz w:val="18"/>
                <w:szCs w:val="18"/>
              </w:rPr>
              <w:t xml:space="preserve">Architecture · Consistency</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webhooks.controller.ts reads process.env.WEBHOOK_BASE_URL directly inside the handleVoice() request handler, bypassing the NestJS ConfigService. This is inconsistent with the rest of the codebase and makes the URL unavailable to unit tests that mock ConfigService.</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webhooks.controller.ts handleVoice(): `${process.env.WEBHOOK_BASE_URL}/api/webhooks/twilio/recording`</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Inject ConfigService into WebhooksController and use configService.get("WEBHOOK_BASE_URL") consistently.</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4</w:t>
            </w:r>
          </w:p>
        </w:tc>
      </w:tr>
    </w:tbl>
    <w:p>
      <w:pPr>
        <w:spacing w:before="100" w:after="0"/>
      </w:pPr>
      <w:r>
        <w:t xml:space="preserve"/>
      </w:r>
    </w:p>
    <w:p>
      <w:r>
        <w:br w:type="page"/>
      </w:r>
    </w:p>
    <w:p>
      <w:pPr>
        <w:pStyle w:val="Heading1"/>
        <w:spacing w:before="320" w:after="160"/>
      </w:pPr>
      <w:r>
        <w:rPr>
          <w:rFonts w:ascii="Arial" w:cs="Arial" w:eastAsia="Arial" w:hAnsi="Arial"/>
          <w:b/>
          <w:bCs/>
          <w:color w:val="1A2B4A"/>
          <w:sz w:val="32"/>
          <w:szCs w:val="32"/>
        </w:rPr>
        <w:t xml:space="preserve">5. SOLID Principles Assessment</w:t>
      </w:r>
    </w:p>
    <w:p>
      <w:pPr>
        <w:spacing w:before="80" w:after="100"/>
      </w:pPr>
      <w:r>
        <w:rPr>
          <w:rFonts w:ascii="Arial" w:cs="Arial" w:eastAsia="Arial" w:hAnsi="Arial"/>
          <w:color w:val="1E293B"/>
          <w:sz w:val="20"/>
          <w:szCs w:val="20"/>
        </w:rPr>
        <w:t xml:space="preserve">Overall SOLID adherence is good. The domain-per-module structure, DI-based telephony provider pattern, serialisation interceptor, and DTO-based input validation demonstrate solid OOP discipline. The issues below are code-quality observations, not design flaws.</w:t>
      </w:r>
    </w:p>
    <w:p>
      <w:pPr>
        <w:spacing w:before="60" w:after="0"/>
      </w:pPr>
      <w:r>
        <w:t xml:space="preserve"/>
      </w:r>
    </w:p>
    <w:p>
      <w:pPr>
        <w:pStyle w:val="Heading2"/>
        <w:pBdr>
          <w:bottom w:val="single" w:color="2563EB" w:sz="4" w:space="4"/>
        </w:pBdr>
        <w:spacing w:before="280" w:after="120"/>
      </w:pPr>
      <w:r>
        <w:rPr>
          <w:rFonts w:ascii="Arial" w:cs="Arial" w:eastAsia="Arial" w:hAnsi="Arial"/>
          <w:b/>
          <w:bCs/>
          <w:color w:val="1A2B4A"/>
          <w:sz w:val="26"/>
          <w:szCs w:val="26"/>
        </w:rPr>
        <w:t xml:space="preserve">5.1  Strengths</w:t>
      </w:r>
    </w:p>
    <w:p>
      <w:pPr>
        <w:pStyle w:val="ListParagraph"/>
        <w:numPr>
          <w:ilvl w:val="0"/>
          <w:numId w:val="2"/>
        </w:numPr>
        <w:spacing w:before="40" w:after="60"/>
        <w:ind w:left="720" w:hanging="360"/>
      </w:pPr>
      <w:r>
        <w:rPr>
          <w:rFonts w:ascii="Arial" w:cs="Arial" w:eastAsia="Arial" w:hAnsi="Arial"/>
          <w:b/>
          <w:bCs/>
          <w:color w:val="1E293B"/>
          <w:sz w:val="20"/>
          <w:szCs w:val="20"/>
        </w:rPr>
        <w:t xml:space="preserve">Single Responsibility: </w:t>
      </w:r>
      <w:r>
        <w:rPr>
          <w:rFonts w:ascii="Arial" w:cs="Arial" w:eastAsia="Arial" w:hAnsi="Arial"/>
          <w:color w:val="1E293B"/>
          <w:sz w:val="20"/>
          <w:szCs w:val="20"/>
        </w:rPr>
        <w:t xml:space="preserve">Controllers are genuinely thin (validate → delegate → return). Business logic is correctly isolated in services. PrismaService wraps only DB lifecycle. CallsGateway delegates all business logic to CallsService.</w:t>
      </w:r>
    </w:p>
    <w:p>
      <w:pPr>
        <w:pStyle w:val="ListParagraph"/>
        <w:numPr>
          <w:ilvl w:val="0"/>
          <w:numId w:val="2"/>
        </w:numPr>
        <w:spacing w:before="40" w:after="60"/>
        <w:ind w:left="720" w:hanging="360"/>
      </w:pPr>
      <w:r>
        <w:rPr>
          <w:rFonts w:ascii="Arial" w:cs="Arial" w:eastAsia="Arial" w:hAnsi="Arial"/>
          <w:b/>
          <w:bCs/>
          <w:color w:val="1E293B"/>
          <w:sz w:val="20"/>
          <w:szCs w:val="20"/>
        </w:rPr>
        <w:t xml:space="preserve">Open/Closed: </w:t>
      </w:r>
      <w:r>
        <w:rPr>
          <w:rFonts w:ascii="Arial" w:cs="Arial" w:eastAsia="Arial" w:hAnsi="Arial"/>
          <w:color w:val="1E293B"/>
          <w:sz w:val="20"/>
          <w:szCs w:val="20"/>
        </w:rPr>
        <w:t xml:space="preserve">TelephonyProvider interface allows adding new providers (Telnyx is already stubbed) without modifying CallsService or WebhooksController.</w:t>
      </w:r>
    </w:p>
    <w:p>
      <w:pPr>
        <w:pStyle w:val="ListParagraph"/>
        <w:numPr>
          <w:ilvl w:val="0"/>
          <w:numId w:val="2"/>
        </w:numPr>
        <w:spacing w:before="40" w:after="60"/>
        <w:ind w:left="720" w:hanging="360"/>
      </w:pPr>
      <w:r>
        <w:rPr>
          <w:rFonts w:ascii="Arial" w:cs="Arial" w:eastAsia="Arial" w:hAnsi="Arial"/>
          <w:b/>
          <w:bCs/>
          <w:color w:val="1E293B"/>
          <w:sz w:val="20"/>
          <w:szCs w:val="20"/>
        </w:rPr>
        <w:t xml:space="preserve">Liskov Substitution: </w:t>
      </w:r>
      <w:r>
        <w:rPr>
          <w:rFonts w:ascii="Arial" w:cs="Arial" w:eastAsia="Arial" w:hAnsi="Arial"/>
          <w:color w:val="1E293B"/>
          <w:sz w:val="20"/>
          <w:szCs w:val="20"/>
        </w:rPr>
        <w:t xml:space="preserve">TwilioProvider, TelnyxProvider, and MockTelephonyProvider all implement the same TelephonyProvider interface. Mock can substitute Twilio in all test contexts.</w:t>
      </w:r>
    </w:p>
    <w:p>
      <w:pPr>
        <w:pStyle w:val="ListParagraph"/>
        <w:numPr>
          <w:ilvl w:val="0"/>
          <w:numId w:val="2"/>
        </w:numPr>
        <w:spacing w:before="40" w:after="60"/>
        <w:ind w:left="720" w:hanging="360"/>
      </w:pPr>
      <w:r>
        <w:rPr>
          <w:rFonts w:ascii="Arial" w:cs="Arial" w:eastAsia="Arial" w:hAnsi="Arial"/>
          <w:b/>
          <w:bCs/>
          <w:color w:val="1E293B"/>
          <w:sz w:val="20"/>
          <w:szCs w:val="20"/>
        </w:rPr>
        <w:t xml:space="preserve">Interface Segregation: </w:t>
      </w:r>
      <w:r>
        <w:rPr>
          <w:rFonts w:ascii="Arial" w:cs="Arial" w:eastAsia="Arial" w:hAnsi="Arial"/>
          <w:color w:val="1E293B"/>
          <w:sz w:val="20"/>
          <w:szCs w:val="20"/>
        </w:rPr>
        <w:t xml:space="preserve">TelephonyProvider is a focused interface (makeCall, endCall, generateCallResponse, parseStatusWebhook, parseRecordingWebhook, validateWebhookSignature, generateAccessToken, getRecordingUrl). No God interface.</w:t>
      </w:r>
    </w:p>
    <w:p>
      <w:pPr>
        <w:pStyle w:val="ListParagraph"/>
        <w:numPr>
          <w:ilvl w:val="0"/>
          <w:numId w:val="2"/>
        </w:numPr>
        <w:spacing w:before="40" w:after="60"/>
        <w:ind w:left="720" w:hanging="360"/>
      </w:pPr>
      <w:r>
        <w:rPr>
          <w:rFonts w:ascii="Arial" w:cs="Arial" w:eastAsia="Arial" w:hAnsi="Arial"/>
          <w:b/>
          <w:bCs/>
          <w:color w:val="1E293B"/>
          <w:sz w:val="20"/>
          <w:szCs w:val="20"/>
        </w:rPr>
        <w:t xml:space="preserve">Dependency Inversion: </w:t>
      </w:r>
      <w:r>
        <w:rPr>
          <w:rFonts w:ascii="Arial" w:cs="Arial" w:eastAsia="Arial" w:hAnsi="Arial"/>
          <w:color w:val="1E293B"/>
          <w:sz w:val="20"/>
          <w:szCs w:val="20"/>
        </w:rPr>
        <w:t xml:space="preserve">All services depend on abstractions (interfaces, tokens) injected by NestJS DI. PrismaService is injected, not instantiated. TelephonyProvider is injected via @Inject(TELEPHONY_PROVIDER).</w:t>
      </w:r>
    </w:p>
    <w:p>
      <w:pPr>
        <w:spacing w:before="80" w:after="0"/>
      </w:pPr>
      <w:r>
        <w:t xml:space="preserve"/>
      </w:r>
    </w:p>
    <w:p>
      <w:pPr>
        <w:pStyle w:val="Heading2"/>
        <w:pBdr>
          <w:bottom w:val="single" w:color="2563EB" w:sz="4" w:space="4"/>
        </w:pBdr>
        <w:spacing w:before="280" w:after="120"/>
      </w:pPr>
      <w:r>
        <w:rPr>
          <w:rFonts w:ascii="Arial" w:cs="Arial" w:eastAsia="Arial" w:hAnsi="Arial"/>
          <w:b/>
          <w:bCs/>
          <w:color w:val="1A2B4A"/>
          <w:sz w:val="26"/>
          <w:szCs w:val="26"/>
        </w:rPr>
        <w:t xml:space="preserve">5.2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8"/>
              <w:bottom w:val="none" w:color="FFFFFF" w:sz="0"/>
              <w:right w:val="none" w:color="FFFFFF" w:sz="0"/>
            </w:tcBorders>
            <w:shd w:fill="EFF6FF" w:val="clear"/>
            <w:tcMar>
              <w:top w:type="dxa" w:w="100"/>
              <w:left w:type="dxa" w:w="200"/>
              <w:bottom w:type="dxa" w:w="80"/>
              <w:right w:type="dxa" w:w="200"/>
            </w:tcMar>
          </w:tcPr>
          <w:p>
            <w:pPr>
              <w:spacing w:before="0" w:after="40"/>
            </w:pPr>
            <w:r>
              <w:rPr>
                <w:rFonts w:ascii="Arial" w:cs="Arial" w:eastAsia="Arial" w:hAnsi="Arial"/>
                <w:b/>
                <w:bCs/>
                <w:color w:val="2563EB"/>
                <w:sz w:val="22"/>
                <w:szCs w:val="22"/>
              </w:rPr>
              <w:t xml:space="preserve">[SOL-01] </w:t>
            </w:r>
            <w:r>
              <w:rPr>
                <w:rFonts w:ascii="Arial" w:cs="Arial" w:eastAsia="Arial" w:hAnsi="Arial"/>
                <w:b/>
                <w:bCs/>
                <w:color w:val="1A2B4A"/>
                <w:sz w:val="22"/>
                <w:szCs w:val="22"/>
              </w:rPr>
              <w:t xml:space="preserve">DispositionsService Uses Loose String Map for Lead Status Mapping</w:t>
            </w:r>
            <w:r>
              <w:rPr>
                <w:rFonts w:ascii="Arial" w:cs="Arial" w:eastAsia="Arial" w:hAnsi="Arial"/>
                <w:b/>
                <w:bCs/>
                <w:color w:val="2563EB"/>
                <w:sz w:val="18"/>
                <w:szCs w:val="18"/>
              </w:rPr>
              <w:t xml:space="preserve">   MEDIUM</w:t>
            </w:r>
          </w:p>
          <w:p>
            <w:r>
              <w:rPr>
                <w:rFonts w:ascii="Arial" w:cs="Arial" w:eastAsia="Arial" w:hAnsi="Arial"/>
                <w:i/>
                <w:iCs/>
                <w:color w:val="475569"/>
                <w:sz w:val="18"/>
                <w:szCs w:val="18"/>
              </w:rPr>
              <w:t xml:space="preserve">SOLID · Type Safety</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DispositionsService.create() uses a Record&lt;string, string&gt; leadStatusMap to convert DispositionType enums to LeadStatus values. The dto.type is cast to string before lookup. If a new DispositionType is added to the Prisma enum without updating this map, it will silently fall through to LeadStatus.CONTACTED rather than failing at compile time.</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dispositions.service.ts: const leadStatusMap: Record&lt;string, string&gt; = { INTERESTED: "INTERESTED", ... }. const dtoType = dto.type as string; const leadUpdateData = { status: leadStatusMap[dtoType] || LeadStatus.CONTACTED }.</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Replace with a type-safe Record&lt;DispositionType, LeadStatus&gt;. TypeScript will then produce a compile error if a new DispositionType is added without a corresponding entry. Use the Prisma-generated DispositionType and LeadStatus enums directly: const leadStatusMap: Partial&lt;Record&lt;DispositionType, LeadStatus&gt;&gt; = { [DispositionType.INTERESTED]: LeadStatus.INTERESTED, ... }.</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4</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8"/>
              <w:bottom w:val="none" w:color="FFFFFF" w:sz="0"/>
              <w:right w:val="none" w:color="FFFFFF" w:sz="0"/>
            </w:tcBorders>
            <w:shd w:fill="F0FDF4" w:val="clear"/>
            <w:tcMar>
              <w:top w:type="dxa" w:w="100"/>
              <w:left w:type="dxa" w:w="200"/>
              <w:bottom w:type="dxa" w:w="80"/>
              <w:right w:type="dxa" w:w="200"/>
            </w:tcMar>
          </w:tcPr>
          <w:p>
            <w:pPr>
              <w:spacing w:before="0" w:after="40"/>
            </w:pPr>
            <w:r>
              <w:rPr>
                <w:rFonts w:ascii="Arial" w:cs="Arial" w:eastAsia="Arial" w:hAnsi="Arial"/>
                <w:b/>
                <w:bCs/>
                <w:color w:val="16A34A"/>
                <w:sz w:val="22"/>
                <w:szCs w:val="22"/>
              </w:rPr>
              <w:t xml:space="preserve">[SOL-02] </w:t>
            </w:r>
            <w:r>
              <w:rPr>
                <w:rFonts w:ascii="Arial" w:cs="Arial" w:eastAsia="Arial" w:hAnsi="Arial"/>
                <w:b/>
                <w:bCs/>
                <w:color w:val="1A2B4A"/>
                <w:sz w:val="22"/>
                <w:szCs w:val="22"/>
              </w:rPr>
              <w:t xml:space="preserve">LeadsService.update Uses any-Typed Data Object</w:t>
            </w:r>
            <w:r>
              <w:rPr>
                <w:rFonts w:ascii="Arial" w:cs="Arial" w:eastAsia="Arial" w:hAnsi="Arial"/>
                <w:b/>
                <w:bCs/>
                <w:color w:val="16A34A"/>
                <w:sz w:val="18"/>
                <w:szCs w:val="18"/>
              </w:rPr>
              <w:t xml:space="preserve">   LOW</w:t>
            </w:r>
          </w:p>
          <w:p>
            <w:r>
              <w:rPr>
                <w:rFonts w:ascii="Arial" w:cs="Arial" w:eastAsia="Arial" w:hAnsi="Arial"/>
                <w:i/>
                <w:iCs/>
                <w:color w:val="475569"/>
                <w:sz w:val="18"/>
                <w:szCs w:val="18"/>
              </w:rPr>
              <w:t xml:space="preserve">SOLID · Type Safety</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The update method builds a data: any object before passing it to prisma.lead.update(). This bypasses Prisma's type-safe update input and could allow unintended fields to be set on the lead record.</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leads.service.ts update(): const data: any = { ...dto }. If a future UpdateLeadDto gains a field that maps to a sensitive DB column, it will be written without explicit intent.</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Replace with const data: Prisma.LeadUpdateInput = { ...dto }. If conditional field setting is needed (e.g., status when isWrongNumber), use a typed builder object.</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4</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8"/>
              <w:bottom w:val="none" w:color="FFFFFF" w:sz="0"/>
              <w:right w:val="none" w:color="FFFFFF" w:sz="0"/>
            </w:tcBorders>
            <w:shd w:fill="F0FDF4" w:val="clear"/>
            <w:tcMar>
              <w:top w:type="dxa" w:w="100"/>
              <w:left w:type="dxa" w:w="200"/>
              <w:bottom w:type="dxa" w:w="80"/>
              <w:right w:type="dxa" w:w="200"/>
            </w:tcMar>
          </w:tcPr>
          <w:p>
            <w:pPr>
              <w:spacing w:before="0" w:after="40"/>
            </w:pPr>
            <w:r>
              <w:rPr>
                <w:rFonts w:ascii="Arial" w:cs="Arial" w:eastAsia="Arial" w:hAnsi="Arial"/>
                <w:b/>
                <w:bCs/>
                <w:color w:val="16A34A"/>
                <w:sz w:val="22"/>
                <w:szCs w:val="22"/>
              </w:rPr>
              <w:t xml:space="preserve">[SOL-03] </w:t>
            </w:r>
            <w:r>
              <w:rPr>
                <w:rFonts w:ascii="Arial" w:cs="Arial" w:eastAsia="Arial" w:hAnsi="Arial"/>
                <w:b/>
                <w:bCs/>
                <w:color w:val="1A2B4A"/>
                <w:sz w:val="22"/>
                <w:szCs w:val="22"/>
              </w:rPr>
              <w:t xml:space="preserve">CallsService.handleStatusUpdate Uses any-Typed Update Object</w:t>
            </w:r>
            <w:r>
              <w:rPr>
                <w:rFonts w:ascii="Arial" w:cs="Arial" w:eastAsia="Arial" w:hAnsi="Arial"/>
                <w:b/>
                <w:bCs/>
                <w:color w:val="16A34A"/>
                <w:sz w:val="18"/>
                <w:szCs w:val="18"/>
              </w:rPr>
              <w:t xml:space="preserve">   LOW</w:t>
            </w:r>
          </w:p>
          <w:p>
            <w:r>
              <w:rPr>
                <w:rFonts w:ascii="Arial" w:cs="Arial" w:eastAsia="Arial" w:hAnsi="Arial"/>
                <w:i/>
                <w:iCs/>
                <w:color w:val="475569"/>
                <w:sz w:val="18"/>
                <w:szCs w:val="18"/>
              </w:rPr>
              <w:t xml:space="preserve">SOLID · Type Safety</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handleStatusUpdate() builds const updateData: any = {} and conditionally adds fields. While the intent is clear, any-typing loses Prisma's compile-time check that only valid Call fields are set.</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calls.service.ts handleStatusUpdate(): const updateData: any = { status: event.status }.</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Declare as Prisma.CallUpdateInput. Use a conditional spread pattern to maintain type safety: const updateData: Prisma.CallUpdateInput = { status: event.status, ...(condition ? { answeredAt: ... } : {}) }.</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4</w:t>
            </w:r>
          </w:p>
        </w:tc>
      </w:tr>
    </w:tbl>
    <w:p>
      <w:pPr>
        <w:spacing w:before="100" w:after="0"/>
      </w:pPr>
      <w:r>
        <w:t xml:space="preserve"/>
      </w:r>
    </w:p>
    <w:p>
      <w:r>
        <w:br w:type="page"/>
      </w:r>
    </w:p>
    <w:p>
      <w:pPr>
        <w:pStyle w:val="Heading1"/>
        <w:spacing w:before="320" w:after="160"/>
      </w:pPr>
      <w:r>
        <w:rPr>
          <w:rFonts w:ascii="Arial" w:cs="Arial" w:eastAsia="Arial" w:hAnsi="Arial"/>
          <w:b/>
          <w:bCs/>
          <w:color w:val="1A2B4A"/>
          <w:sz w:val="32"/>
          <w:szCs w:val="32"/>
        </w:rPr>
        <w:t xml:space="preserve">6. Scalability Assessment</w:t>
      </w:r>
    </w:p>
    <w:p>
      <w:pPr>
        <w:pStyle w:val="Heading2"/>
        <w:pBdr>
          <w:bottom w:val="single" w:color="2563EB" w:sz="4" w:space="4"/>
        </w:pBdr>
        <w:spacing w:before="280" w:after="120"/>
      </w:pPr>
      <w:r>
        <w:rPr>
          <w:rFonts w:ascii="Arial" w:cs="Arial" w:eastAsia="Arial" w:hAnsi="Arial"/>
          <w:b/>
          <w:bCs/>
          <w:color w:val="1A2B4A"/>
          <w:sz w:val="26"/>
          <w:szCs w:val="26"/>
        </w:rPr>
        <w:t xml:space="preserve">6.1  Current State</w:t>
      </w:r>
    </w:p>
    <w:p>
      <w:pPr>
        <w:spacing w:before="80" w:after="100"/>
      </w:pPr>
      <w:r>
        <w:rPr>
          <w:rFonts w:ascii="Arial" w:cs="Arial" w:eastAsia="Arial" w:hAnsi="Arial"/>
          <w:color w:val="1E293B"/>
          <w:sz w:val="20"/>
          <w:szCs w:val="20"/>
        </w:rPr>
        <w:t xml:space="preserve">The architecture is well-suited for a single-tenant early-stage deployment (tens of concurrent agents, thousands of leads). The BullMQ worker separation is a correct design choice for I/O-heavy CSV processing. The WebSocket room pattern (per-agent rooms) scales horizontally in theory, but the current implementation is in-process only.</w:t>
      </w:r>
    </w:p>
    <w:p>
      <w:pPr>
        <w:spacing w:before="60" w:after="0"/>
      </w:pPr>
      <w:r>
        <w:t xml:space="preserve"/>
      </w:r>
    </w:p>
    <w:p>
      <w:pPr>
        <w:pStyle w:val="Heading2"/>
        <w:pBdr>
          <w:bottom w:val="single" w:color="2563EB" w:sz="4" w:space="4"/>
        </w:pBdr>
        <w:spacing w:before="280" w:after="120"/>
      </w:pPr>
      <w:r>
        <w:rPr>
          <w:rFonts w:ascii="Arial" w:cs="Arial" w:eastAsia="Arial" w:hAnsi="Arial"/>
          <w:b/>
          <w:bCs/>
          <w:color w:val="1A2B4A"/>
          <w:sz w:val="26"/>
          <w:szCs w:val="26"/>
        </w:rPr>
        <w:t xml:space="preserve">6.2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8"/>
              <w:bottom w:val="none" w:color="FFFFFF" w:sz="0"/>
              <w:right w:val="none" w:color="FFFFFF" w:sz="0"/>
            </w:tcBorders>
            <w:shd w:fill="FFFBEB" w:val="clear"/>
            <w:tcMar>
              <w:top w:type="dxa" w:w="100"/>
              <w:left w:type="dxa" w:w="200"/>
              <w:bottom w:type="dxa" w:w="80"/>
              <w:right w:type="dxa" w:w="200"/>
            </w:tcMar>
          </w:tcPr>
          <w:p>
            <w:pPr>
              <w:spacing w:before="0" w:after="40"/>
            </w:pPr>
            <w:r>
              <w:rPr>
                <w:rFonts w:ascii="Arial" w:cs="Arial" w:eastAsia="Arial" w:hAnsi="Arial"/>
                <w:b/>
                <w:bCs/>
                <w:color w:val="D97706"/>
                <w:sz w:val="22"/>
                <w:szCs w:val="22"/>
              </w:rPr>
              <w:t xml:space="preserve">[SCA-01] </w:t>
            </w:r>
            <w:r>
              <w:rPr>
                <w:rFonts w:ascii="Arial" w:cs="Arial" w:eastAsia="Arial" w:hAnsi="Arial"/>
                <w:b/>
                <w:bCs/>
                <w:color w:val="1A2B4A"/>
                <w:sz w:val="22"/>
                <w:szCs w:val="22"/>
              </w:rPr>
              <w:t xml:space="preserve">PostgreSQL Single Instance — No High-Availability or Read Replica</w:t>
            </w:r>
            <w:r>
              <w:rPr>
                <w:rFonts w:ascii="Arial" w:cs="Arial" w:eastAsia="Arial" w:hAnsi="Arial"/>
                <w:b/>
                <w:bCs/>
                <w:color w:val="D97706"/>
                <w:sz w:val="18"/>
                <w:szCs w:val="18"/>
              </w:rPr>
              <w:t xml:space="preserve">   HIGH</w:t>
            </w:r>
          </w:p>
          <w:p>
            <w:r>
              <w:rPr>
                <w:rFonts w:ascii="Arial" w:cs="Arial" w:eastAsia="Arial" w:hAnsi="Arial"/>
                <w:i/>
                <w:iCs/>
                <w:color w:val="475569"/>
                <w:sz w:val="18"/>
                <w:szCs w:val="18"/>
              </w:rPr>
              <w:t xml:space="preserve">Scalability · Database</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PostgreSQL runs as a single Docker container. There is no replication, failover, or read replica configuration. Lead list queries, call history fetches, and import status polls all hit the same primary instance. For a dialer with many concurrent agents, read-heavy operations (GET /leads with search + pagination) will contend with write-heavy telephony webhook updates.</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docker-compose.yml defines a single postgres:16 service. DATABASE_URL in README points to a single host. No replica datasource in prisma.service.ts.</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For production: provision PostgreSQL with a managed service (RDS, Cloud SQL, Supabase) with a read replica. Configure Prisma with a datasource for read operations (use the replica for findMany, count). For Docker-based deployments, use Patroni or pg_auto_failover for HA.</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DevOps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3</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8"/>
              <w:bottom w:val="none" w:color="FFFFFF" w:sz="0"/>
              <w:right w:val="none" w:color="FFFFFF" w:sz="0"/>
            </w:tcBorders>
            <w:shd w:fill="FFFBEB" w:val="clear"/>
            <w:tcMar>
              <w:top w:type="dxa" w:w="100"/>
              <w:left w:type="dxa" w:w="200"/>
              <w:bottom w:type="dxa" w:w="80"/>
              <w:right w:type="dxa" w:w="200"/>
            </w:tcMar>
          </w:tcPr>
          <w:p>
            <w:pPr>
              <w:spacing w:before="0" w:after="40"/>
            </w:pPr>
            <w:r>
              <w:rPr>
                <w:rFonts w:ascii="Arial" w:cs="Arial" w:eastAsia="Arial" w:hAnsi="Arial"/>
                <w:b/>
                <w:bCs/>
                <w:color w:val="D97706"/>
                <w:sz w:val="22"/>
                <w:szCs w:val="22"/>
              </w:rPr>
              <w:t xml:space="preserve">[SCA-02] </w:t>
            </w:r>
            <w:r>
              <w:rPr>
                <w:rFonts w:ascii="Arial" w:cs="Arial" w:eastAsia="Arial" w:hAnsi="Arial"/>
                <w:b/>
                <w:bCs/>
                <w:color w:val="1A2B4A"/>
                <w:sz w:val="22"/>
                <w:szCs w:val="22"/>
              </w:rPr>
              <w:t xml:space="preserve">Redis Single Node — BullMQ and WebSocket SPOF</w:t>
            </w:r>
            <w:r>
              <w:rPr>
                <w:rFonts w:ascii="Arial" w:cs="Arial" w:eastAsia="Arial" w:hAnsi="Arial"/>
                <w:b/>
                <w:bCs/>
                <w:color w:val="D97706"/>
                <w:sz w:val="18"/>
                <w:szCs w:val="18"/>
              </w:rPr>
              <w:t xml:space="preserve">   HIGH</w:t>
            </w:r>
          </w:p>
          <w:p>
            <w:r>
              <w:rPr>
                <w:rFonts w:ascii="Arial" w:cs="Arial" w:eastAsia="Arial" w:hAnsi="Arial"/>
                <w:i/>
                <w:iCs/>
                <w:color w:val="475569"/>
                <w:sz w:val="18"/>
                <w:szCs w:val="18"/>
              </w:rPr>
              <w:t xml:space="preserve">Scalability · Queue / Real-Time</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Redis runs as a single Docker container serving both BullMQ job queues and (when the Redis WS adapter is added) Socket.io room state. A Redis failure would simultaneously halt CSV import processing and prevent any real-time call status updates from reaching agents — directly impacting active calls.</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docker-compose.yml defines a single redis:7 service. BullMQ.forRootAsync in app.module.ts points to a single REDIS_URL. No Sentinel or Cluster configuration.</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Use Redis Sentinel (for HA with automatic failover) or Redis Cluster (for horizontal scalability). Configure BullMQ and the Socket.io Redis adapter to use the sentinel/cluster connection URL. For cloud deployments, use ElastiCache with Multi-AZ replication.</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DevOps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3</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8"/>
              <w:bottom w:val="none" w:color="FFFFFF" w:sz="0"/>
              <w:right w:val="none" w:color="FFFFFF" w:sz="0"/>
            </w:tcBorders>
            <w:shd w:fill="EFF6FF" w:val="clear"/>
            <w:tcMar>
              <w:top w:type="dxa" w:w="100"/>
              <w:left w:type="dxa" w:w="200"/>
              <w:bottom w:type="dxa" w:w="80"/>
              <w:right w:type="dxa" w:w="200"/>
            </w:tcMar>
          </w:tcPr>
          <w:p>
            <w:pPr>
              <w:spacing w:before="0" w:after="40"/>
            </w:pPr>
            <w:r>
              <w:rPr>
                <w:rFonts w:ascii="Arial" w:cs="Arial" w:eastAsia="Arial" w:hAnsi="Arial"/>
                <w:b/>
                <w:bCs/>
                <w:color w:val="2563EB"/>
                <w:sz w:val="22"/>
                <w:szCs w:val="22"/>
              </w:rPr>
              <w:t xml:space="preserve">[SCA-03] </w:t>
            </w:r>
            <w:r>
              <w:rPr>
                <w:rFonts w:ascii="Arial" w:cs="Arial" w:eastAsia="Arial" w:hAnsi="Arial"/>
                <w:b/>
                <w:bCs/>
                <w:color w:val="1A2B4A"/>
                <w:sz w:val="22"/>
                <w:szCs w:val="22"/>
              </w:rPr>
              <w:t xml:space="preserve">Pagination limit Parameter Has No Maximum Cap</w:t>
            </w:r>
            <w:r>
              <w:rPr>
                <w:rFonts w:ascii="Arial" w:cs="Arial" w:eastAsia="Arial" w:hAnsi="Arial"/>
                <w:b/>
                <w:bCs/>
                <w:color w:val="2563EB"/>
                <w:sz w:val="18"/>
                <w:szCs w:val="18"/>
              </w:rPr>
              <w:t xml:space="preserve">   MEDIUM</w:t>
            </w:r>
          </w:p>
          <w:p>
            <w:r>
              <w:rPr>
                <w:rFonts w:ascii="Arial" w:cs="Arial" w:eastAsia="Arial" w:hAnsi="Arial"/>
                <w:i/>
                <w:iCs/>
                <w:color w:val="475569"/>
                <w:sz w:val="18"/>
                <w:szCs w:val="18"/>
              </w:rPr>
              <w:t xml:space="preserve">Scalability · API</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LeadFilterDto defines limit with @Min(1) but no @Max(). A client can request limit=100000 which would attempt to load all leads into memory in a single Prisma query, potentially causing OOM on the API process and a full table scan on PostgreSQL.</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leads/dto/lead-filter.dto.ts: @IsInt() @Min(1) limit?: number = 25. No @Max() decorator. leads.service.ts findAll() passes take: limit directly to prisma.lead.findMany().</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Add @Max(100) to the limit field in LeadFilterDto. Set a server-side cap in LeadsService as a defense-in-depth: take: Math.min(limit, 100).</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2</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8"/>
              <w:bottom w:val="none" w:color="FFFFFF" w:sz="0"/>
              <w:right w:val="none" w:color="FFFFFF" w:sz="0"/>
            </w:tcBorders>
            <w:shd w:fill="EFF6FF" w:val="clear"/>
            <w:tcMar>
              <w:top w:type="dxa" w:w="100"/>
              <w:left w:type="dxa" w:w="200"/>
              <w:bottom w:type="dxa" w:w="80"/>
              <w:right w:type="dxa" w:w="200"/>
            </w:tcMar>
          </w:tcPr>
          <w:p>
            <w:pPr>
              <w:spacing w:before="0" w:after="40"/>
            </w:pPr>
            <w:r>
              <w:rPr>
                <w:rFonts w:ascii="Arial" w:cs="Arial" w:eastAsia="Arial" w:hAnsi="Arial"/>
                <w:b/>
                <w:bCs/>
                <w:color w:val="2563EB"/>
                <w:sz w:val="22"/>
                <w:szCs w:val="22"/>
              </w:rPr>
              <w:t xml:space="preserve">[SCA-04] </w:t>
            </w:r>
            <w:r>
              <w:rPr>
                <w:rFonts w:ascii="Arial" w:cs="Arial" w:eastAsia="Arial" w:hAnsi="Arial"/>
                <w:b/>
                <w:bCs/>
                <w:color w:val="1A2B4A"/>
                <w:sz w:val="22"/>
                <w:szCs w:val="22"/>
              </w:rPr>
              <w:t xml:space="preserve">No DB Connection Pool Configuration</w:t>
            </w:r>
            <w:r>
              <w:rPr>
                <w:rFonts w:ascii="Arial" w:cs="Arial" w:eastAsia="Arial" w:hAnsi="Arial"/>
                <w:b/>
                <w:bCs/>
                <w:color w:val="2563EB"/>
                <w:sz w:val="18"/>
                <w:szCs w:val="18"/>
              </w:rPr>
              <w:t xml:space="preserve">   MEDIUM</w:t>
            </w:r>
          </w:p>
          <w:p>
            <w:r>
              <w:rPr>
                <w:rFonts w:ascii="Arial" w:cs="Arial" w:eastAsia="Arial" w:hAnsi="Arial"/>
                <w:i/>
                <w:iCs/>
                <w:color w:val="475569"/>
                <w:sz w:val="18"/>
                <w:szCs w:val="18"/>
              </w:rPr>
              <w:t xml:space="preserve">Scalability · Database</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Prisma's default connection pool behaviour varies by deployment: in serverless environments it can spawn too many connections, in long-lived processes it may be under-provisioned. Neither DATABASE_URL nor PrismaService configures explicit pool limits.</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prisma.service.ts extends PrismaClient with no datasources override. README DATABASE_URL example has no pool parameters.</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Add connection_limit and pool_timeout to DATABASE_URL for production. Expose these as environment variables. Monitor pg_stat_activity in production to tune the pool size. For serverless or frequent process restarts, use Prisma Accelerate or PgBouncer.</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DevOps + 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3</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8"/>
              <w:bottom w:val="none" w:color="FFFFFF" w:sz="0"/>
              <w:right w:val="none" w:color="FFFFFF" w:sz="0"/>
            </w:tcBorders>
            <w:shd w:fill="EFF6FF" w:val="clear"/>
            <w:tcMar>
              <w:top w:type="dxa" w:w="100"/>
              <w:left w:type="dxa" w:w="200"/>
              <w:bottom w:type="dxa" w:w="80"/>
              <w:right w:type="dxa" w:w="200"/>
            </w:tcMar>
          </w:tcPr>
          <w:p>
            <w:pPr>
              <w:spacing w:before="0" w:after="40"/>
            </w:pPr>
            <w:r>
              <w:rPr>
                <w:rFonts w:ascii="Arial" w:cs="Arial" w:eastAsia="Arial" w:hAnsi="Arial"/>
                <w:b/>
                <w:bCs/>
                <w:color w:val="2563EB"/>
                <w:sz w:val="22"/>
                <w:szCs w:val="22"/>
              </w:rPr>
              <w:t xml:space="preserve">[SCA-05] </w:t>
            </w:r>
            <w:r>
              <w:rPr>
                <w:rFonts w:ascii="Arial" w:cs="Arial" w:eastAsia="Arial" w:hAnsi="Arial"/>
                <w:b/>
                <w:bCs/>
                <w:color w:val="1A2B4A"/>
                <w:sz w:val="22"/>
                <w:szCs w:val="22"/>
              </w:rPr>
              <w:t xml:space="preserve">WebSocket Rooms Are In-Process — Breaks Horizontal Scaling</w:t>
            </w:r>
            <w:r>
              <w:rPr>
                <w:rFonts w:ascii="Arial" w:cs="Arial" w:eastAsia="Arial" w:hAnsi="Arial"/>
                <w:b/>
                <w:bCs/>
                <w:color w:val="2563EB"/>
                <w:sz w:val="18"/>
                <w:szCs w:val="18"/>
              </w:rPr>
              <w:t xml:space="preserve">   MEDIUM</w:t>
            </w:r>
          </w:p>
          <w:p>
            <w:r>
              <w:rPr>
                <w:rFonts w:ascii="Arial" w:cs="Arial" w:eastAsia="Arial" w:hAnsi="Arial"/>
                <w:i/>
                <w:iCs/>
                <w:color w:val="475569"/>
                <w:sz w:val="18"/>
                <w:szCs w:val="18"/>
              </w:rPr>
              <w:t xml:space="preserve">Scalability · Real-Time</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Socket.io rooms (agent:{userId}) are maintained in the NestJS process's in-memory room state. If multiple API instances run behind a load balancer, a Twilio webhook may arrive at Instance A while the agent's WebSocket connection is held on Instance B. The sendCallStatus() call will silently fail to reach the agent.</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calls.gateway.ts uses @WebSocketServer() server — the default in-process Socket.io server. No Redis adapter import found in calls.module.ts or app.module.ts.</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Install @socket.io/redis-adapter and configure the Socket.io server to use it in main.ts. The adapter broadcasts events across all instances via Redis Pub/Sub, ensuring agent rooms are reachable regardless of which instance receives the webhook.</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API Engineers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3</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8"/>
              <w:bottom w:val="none" w:color="FFFFFF" w:sz="0"/>
              <w:right w:val="none" w:color="FFFFFF" w:sz="0"/>
            </w:tcBorders>
            <w:shd w:fill="F0FDF4" w:val="clear"/>
            <w:tcMar>
              <w:top w:type="dxa" w:w="100"/>
              <w:left w:type="dxa" w:w="200"/>
              <w:bottom w:type="dxa" w:w="80"/>
              <w:right w:type="dxa" w:w="200"/>
            </w:tcMar>
          </w:tcPr>
          <w:p>
            <w:pPr>
              <w:spacing w:before="0" w:after="40"/>
            </w:pPr>
            <w:r>
              <w:rPr>
                <w:rFonts w:ascii="Arial" w:cs="Arial" w:eastAsia="Arial" w:hAnsi="Arial"/>
                <w:b/>
                <w:bCs/>
                <w:color w:val="16A34A"/>
                <w:sz w:val="22"/>
                <w:szCs w:val="22"/>
              </w:rPr>
              <w:t xml:space="preserve">[SCA-06] </w:t>
            </w:r>
            <w:r>
              <w:rPr>
                <w:rFonts w:ascii="Arial" w:cs="Arial" w:eastAsia="Arial" w:hAnsi="Arial"/>
                <w:b/>
                <w:bCs/>
                <w:color w:val="1A2B4A"/>
                <w:sz w:val="22"/>
                <w:szCs w:val="22"/>
              </w:rPr>
              <w:t xml:space="preserve">CSV Import Formerly Passed Full Row Data via Redis — Now Fixed</w:t>
            </w:r>
            <w:r>
              <w:rPr>
                <w:rFonts w:ascii="Arial" w:cs="Arial" w:eastAsia="Arial" w:hAnsi="Arial"/>
                <w:b/>
                <w:bCs/>
                <w:color w:val="16A34A"/>
                <w:sz w:val="18"/>
                <w:szCs w:val="18"/>
              </w:rPr>
              <w:t xml:space="preserve">   LOW</w:t>
            </w:r>
          </w:p>
          <w:p>
            <w:r>
              <w:rPr>
                <w:rFonts w:ascii="Arial" w:cs="Arial" w:eastAsia="Arial" w:hAnsi="Arial"/>
                <w:i/>
                <w:iCs/>
                <w:color w:val="475569"/>
                <w:sz w:val="18"/>
                <w:szCs w:val="18"/>
              </w:rPr>
              <w:t xml:space="preserve">Scalability · Queue</w:t>
            </w:r>
          </w:p>
        </w:tc>
      </w:tr>
      <w:tr>
        <w:tc>
          <w:tcPr>
            <w:tcBorders>
              <w:top w:val="single" w:color="CBD5E1" w:sz="1"/>
              <w:left w:val="single" w:color="CBD5E1" w:sz="1"/>
              <w:bottom w:val="single" w:color="CBD5E1" w:sz="1"/>
              <w:right w:val="single" w:color="CBD5E1" w:sz="1"/>
            </w:tcBorders>
            <w:tcMar>
              <w:top w:type="dxa" w:w="120"/>
              <w:left w:type="dxa" w:w="200"/>
              <w:bottom w:type="dxa" w:w="120"/>
              <w:right w:type="dxa" w:w="200"/>
            </w:tcMar>
          </w:tcPr>
          <w:p>
            <w:pPr>
              <w:spacing w:before="80" w:after="100"/>
            </w:pPr>
            <w:r>
              <w:rPr>
                <w:rFonts w:ascii="Arial" w:cs="Arial" w:eastAsia="Arial" w:hAnsi="Arial"/>
                <w:b/>
                <w:bCs/>
                <w:color w:val="1E293B"/>
                <w:sz w:val="20"/>
                <w:szCs w:val="20"/>
              </w:rPr>
              <w:t xml:space="preserve">Description:  </w:t>
            </w:r>
            <w:r>
              <w:rPr>
                <w:rFonts w:ascii="Arial" w:cs="Arial" w:eastAsia="Arial" w:hAnsi="Arial"/>
                <w:color w:val="1E293B"/>
                <w:sz w:val="20"/>
                <w:szCs w:val="20"/>
              </w:rPr>
              <w:t xml:space="preserve">The README's original design described passing { importId, rows: ParsedRow[] } in the BullMQ job payload, which would serialise thousands of rows into Redis. The current implementation correctly stores rows in the csv_import_rows table and passes only { importId, ownerId } (~80 bytes) in the job. This is well-designed. The only minor concern is that the README in Section 9 still describes the old payload shape, which may mislead future contributors.</w:t>
            </w:r>
          </w:p>
          <w:p>
            <w:pPr>
              <w:spacing w:before="80" w:after="100"/>
            </w:pPr>
            <w:r>
              <w:rPr>
                <w:rFonts w:ascii="Arial" w:cs="Arial" w:eastAsia="Arial" w:hAnsi="Arial"/>
                <w:b/>
                <w:bCs/>
                <w:color w:val="1E293B"/>
                <w:sz w:val="20"/>
                <w:szCs w:val="20"/>
              </w:rPr>
              <w:t xml:space="preserve">Evidence:  </w:t>
            </w:r>
            <w:r>
              <w:rPr>
                <w:rFonts w:ascii="Arial" w:cs="Arial" w:eastAsia="Arial" w:hAnsi="Arial"/>
                <w:color w:val="1E293B"/>
                <w:sz w:val="20"/>
                <w:szCs w:val="20"/>
              </w:rPr>
              <w:t xml:space="preserve">imports.processor.ts ImportJobData: { importId: string; ownerId: string }. README Section 9 still shows Job payload: { importId, rows: ParsedRow[], ownerId }.</w:t>
            </w:r>
          </w:p>
          <w:p>
            <w:pPr>
              <w:spacing w:before="80" w:after="100"/>
            </w:pPr>
            <w:r>
              <w:rPr>
                <w:rFonts w:ascii="Arial" w:cs="Arial" w:eastAsia="Arial" w:hAnsi="Arial"/>
                <w:b/>
                <w:bCs/>
                <w:color w:val="1E293B"/>
                <w:sz w:val="20"/>
                <w:szCs w:val="20"/>
              </w:rPr>
              <w:t xml:space="preserve">Recommendation:  </w:t>
            </w:r>
            <w:r>
              <w:rPr>
                <w:rFonts w:ascii="Arial" w:cs="Arial" w:eastAsia="Arial" w:hAnsi="Arial"/>
                <w:color w:val="1E293B"/>
                <w:sz w:val="20"/>
                <w:szCs w:val="20"/>
              </w:rPr>
              <w:t xml:space="preserve">Update README Section 9 to reflect the current lightweight job payload. Consider adding a JSDoc comment on ImportJobData explaining why rows are not included.</w:t>
            </w:r>
          </w:p>
          <w:p>
            <w:pPr>
              <w:spacing w:before="60" w:after="0"/>
            </w:pPr>
            <w:r>
              <w:rPr>
                <w:rFonts w:ascii="Arial" w:cs="Arial" w:eastAsia="Arial" w:hAnsi="Arial"/>
                <w:b/>
                <w:bCs/>
                <w:color w:val="1E293B"/>
                <w:sz w:val="20"/>
                <w:szCs w:val="20"/>
              </w:rPr>
              <w:t xml:space="preserve">Owner: </w:t>
            </w:r>
            <w:r>
              <w:rPr>
                <w:rFonts w:ascii="Arial" w:cs="Arial" w:eastAsia="Arial" w:hAnsi="Arial"/>
                <w:color w:val="1E293B"/>
                <w:sz w:val="20"/>
                <w:szCs w:val="20"/>
              </w:rPr>
              <w:t xml:space="preserve">Engineering (documentation)  </w:t>
            </w:r>
            <w:r>
              <w:rPr>
                <w:rFonts w:ascii="Arial" w:cs="Arial" w:eastAsia="Arial" w:hAnsi="Arial"/>
                <w:b/>
                <w:bCs/>
                <w:color w:val="1E293B"/>
                <w:sz w:val="20"/>
                <w:szCs w:val="20"/>
              </w:rPr>
              <w:t xml:space="preserve">  Timeline: </w:t>
            </w:r>
            <w:r>
              <w:rPr>
                <w:rFonts w:ascii="Arial" w:cs="Arial" w:eastAsia="Arial" w:hAnsi="Arial"/>
                <w:color w:val="1E293B"/>
                <w:sz w:val="20"/>
                <w:szCs w:val="20"/>
              </w:rPr>
              <w:t xml:space="preserve">Sprint 4</w:t>
            </w:r>
          </w:p>
        </w:tc>
      </w:tr>
    </w:tbl>
    <w:p>
      <w:pPr>
        <w:spacing w:before="100" w:after="0"/>
      </w:pPr>
      <w:r>
        <w:t xml:space="preserve"/>
      </w:r>
    </w:p>
    <w:p>
      <w:r>
        <w:br w:type="page"/>
      </w:r>
    </w:p>
    <w:p>
      <w:pPr>
        <w:pStyle w:val="Heading1"/>
        <w:spacing w:before="320" w:after="160"/>
      </w:pPr>
      <w:r>
        <w:rPr>
          <w:rFonts w:ascii="Arial" w:cs="Arial" w:eastAsia="Arial" w:hAnsi="Arial"/>
          <w:b/>
          <w:bCs/>
          <w:color w:val="1A2B4A"/>
          <w:sz w:val="32"/>
          <w:szCs w:val="32"/>
        </w:rPr>
        <w:t xml:space="preserve">7. Prioritised Action Plan</w:t>
      </w:r>
    </w:p>
    <w:p>
      <w:pPr>
        <w:spacing w:before="80" w:after="100"/>
      </w:pPr>
      <w:r>
        <w:rPr>
          <w:rFonts w:ascii="Arial" w:cs="Arial" w:eastAsia="Arial" w:hAnsi="Arial"/>
          <w:color w:val="1E293B"/>
          <w:sz w:val="20"/>
          <w:szCs w:val="20"/>
        </w:rPr>
        <w:t xml:space="preserve">P0 = Must fix before production data is loaded. P1 = Must fix within Sprint 1-2. P2 = Infrastructure — plan within 2 sprints. P3 = Code quality — rolling improvements.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
        <w:gridCol w:w="5200"/>
        <w:gridCol w:w="1660"/>
        <w:gridCol w:w="1100"/>
      </w:tblGrid>
      <w:tr>
        <w:trPr>
          <w:tblHeader/>
        </w:trPr>
        <w:tc>
          <w:tcPr>
            <w:tcW w:type="dxa" w:w="4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w:t>
            </w:r>
          </w:p>
        </w:tc>
        <w:tc>
          <w:tcPr>
            <w:tcW w:type="dxa" w:w="5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Priority</w:t>
            </w:r>
          </w:p>
        </w:tc>
        <w:tc>
          <w:tcPr>
            <w:tcW w:type="dxa" w:w="52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Action</w:t>
            </w:r>
          </w:p>
        </w:tc>
        <w:tc>
          <w:tcPr>
            <w:tcW w:type="dxa" w:w="166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Owner</w:t>
            </w:r>
          </w:p>
        </w:tc>
        <w:tc>
          <w:tcPr>
            <w:tcW w:type="dxa" w:w="11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Sprint</w:t>
            </w:r>
          </w:p>
        </w:tc>
      </w:tr>
      <w:tr>
        <w:tc>
          <w:tcPr>
            <w:tcW w:type="dxa" w:w="4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1</w:t>
            </w:r>
          </w:p>
        </w:tc>
        <w:tc>
          <w:tcPr>
            <w:tcW w:type="dxa" w:w="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DC2626"/>
                <w:sz w:val="18"/>
                <w:szCs w:val="18"/>
              </w:rPr>
              <w:t xml:space="preserve">P0</w:t>
            </w:r>
          </w:p>
        </w:tc>
        <w:tc>
          <w:tcPr>
            <w:tcW w:type="dxa" w:w="5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Migrate JWT to httpOnly cookies + SameSite=Strict</w:t>
            </w:r>
          </w:p>
        </w:tc>
        <w:tc>
          <w:tcPr>
            <w:tcW w:type="dxa" w:w="16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Frontend + API</w:t>
            </w:r>
          </w:p>
        </w:tc>
        <w:tc>
          <w:tcPr>
            <w:tcW w:type="dxa" w:w="11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1</w:t>
            </w:r>
          </w:p>
        </w:tc>
      </w:tr>
      <w:tr>
        <w:tc>
          <w:tcPr>
            <w:tcW w:type="dxa" w:w="4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2</w:t>
            </w:r>
          </w:p>
        </w:tc>
        <w:tc>
          <w:tcPr>
            <w:tcW w:type="dxa" w:w="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DC2626"/>
                <w:sz w:val="18"/>
                <w:szCs w:val="18"/>
              </w:rPr>
              <w:t xml:space="preserve">P0</w:t>
            </w:r>
          </w:p>
        </w:tc>
        <w:tc>
          <w:tcPr>
            <w:tcW w:type="dxa" w:w="5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Add JWT validation to WebSocket handshake (handshake.auth.token)</w:t>
            </w:r>
          </w:p>
        </w:tc>
        <w:tc>
          <w:tcPr>
            <w:tcW w:type="dxa" w:w="16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API</w:t>
            </w:r>
          </w:p>
        </w:tc>
        <w:tc>
          <w:tcPr>
            <w:tcW w:type="dxa" w:w="11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1</w:t>
            </w:r>
          </w:p>
        </w:tc>
      </w:tr>
      <w:tr>
        <w:tc>
          <w:tcPr>
            <w:tcW w:type="dxa" w:w="4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3</w:t>
            </w:r>
          </w:p>
        </w:tc>
        <w:tc>
          <w:tcPr>
            <w:tcW w:type="dxa" w:w="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DC2626"/>
                <w:sz w:val="18"/>
                <w:szCs w:val="18"/>
              </w:rPr>
              <w:t xml:space="preserve">P0</w:t>
            </w:r>
          </w:p>
        </w:tc>
        <w:tc>
          <w:tcPr>
            <w:tcW w:type="dxa" w:w="5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Set WEBHOOK_VALIDATION=true in all non-dev environments by default</w:t>
            </w:r>
          </w:p>
        </w:tc>
        <w:tc>
          <w:tcPr>
            <w:tcW w:type="dxa" w:w="16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DevOps/API</w:t>
            </w:r>
          </w:p>
        </w:tc>
        <w:tc>
          <w:tcPr>
            <w:tcW w:type="dxa" w:w="11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1</w:t>
            </w:r>
          </w:p>
        </w:tc>
      </w:tr>
      <w:tr>
        <w:tc>
          <w:tcPr>
            <w:tcW w:type="dxa" w:w="4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4</w:t>
            </w:r>
          </w:p>
        </w:tc>
        <w:tc>
          <w:tcPr>
            <w:tcW w:type="dxa" w:w="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D97706"/>
                <w:sz w:val="18"/>
                <w:szCs w:val="18"/>
              </w:rPr>
              <w:t xml:space="preserve">P1</w:t>
            </w:r>
          </w:p>
        </w:tc>
        <w:tc>
          <w:tcPr>
            <w:tcW w:type="dxa" w:w="5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Restrict /auth/register to ADMIN role or remove from public API</w:t>
            </w:r>
          </w:p>
        </w:tc>
        <w:tc>
          <w:tcPr>
            <w:tcW w:type="dxa" w:w="16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API</w:t>
            </w:r>
          </w:p>
        </w:tc>
        <w:tc>
          <w:tcPr>
            <w:tcW w:type="dxa" w:w="11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1</w:t>
            </w:r>
          </w:p>
        </w:tc>
      </w:tr>
      <w:tr>
        <w:tc>
          <w:tcPr>
            <w:tcW w:type="dxa" w:w="4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5</w:t>
            </w:r>
          </w:p>
        </w:tc>
        <w:tc>
          <w:tcPr>
            <w:tcW w:type="dxa" w:w="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D97706"/>
                <w:sz w:val="18"/>
                <w:szCs w:val="18"/>
              </w:rPr>
              <w:t xml:space="preserve">P1</w:t>
            </w:r>
          </w:p>
        </w:tc>
        <w:tc>
          <w:tcPr>
            <w:tcW w:type="dxa" w:w="5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Apply rate limiting (nestjs-throttler) to /auth, /imports, calls</w:t>
            </w:r>
          </w:p>
        </w:tc>
        <w:tc>
          <w:tcPr>
            <w:tcW w:type="dxa" w:w="16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API</w:t>
            </w:r>
          </w:p>
        </w:tc>
        <w:tc>
          <w:tcPr>
            <w:tcW w:type="dxa" w:w="11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2</w:t>
            </w:r>
          </w:p>
        </w:tc>
      </w:tr>
      <w:tr>
        <w:tc>
          <w:tcPr>
            <w:tcW w:type="dxa" w:w="4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6</w:t>
            </w:r>
          </w:p>
        </w:tc>
        <w:tc>
          <w:tcPr>
            <w:tcW w:type="dxa" w:w="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D97706"/>
                <w:sz w:val="18"/>
                <w:szCs w:val="18"/>
              </w:rPr>
              <w:t xml:space="preserve">P1</w:t>
            </w:r>
          </w:p>
        </w:tc>
        <w:tc>
          <w:tcPr>
            <w:tcW w:type="dxa" w:w="5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Add ownership check to GET /calls/lead/:leadId and GET /imports/:id</w:t>
            </w:r>
          </w:p>
        </w:tc>
        <w:tc>
          <w:tcPr>
            <w:tcW w:type="dxa" w:w="16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API</w:t>
            </w:r>
          </w:p>
        </w:tc>
        <w:tc>
          <w:tcPr>
            <w:tcW w:type="dxa" w:w="11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2</w:t>
            </w:r>
          </w:p>
        </w:tc>
      </w:tr>
      <w:tr>
        <w:tc>
          <w:tcPr>
            <w:tcW w:type="dxa" w:w="4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7</w:t>
            </w:r>
          </w:p>
        </w:tc>
        <w:tc>
          <w:tcPr>
            <w:tcW w:type="dxa" w:w="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D97706"/>
                <w:sz w:val="18"/>
                <w:szCs w:val="18"/>
              </w:rPr>
              <w:t xml:space="preserve">P1</w:t>
            </w:r>
          </w:p>
        </w:tc>
        <w:tc>
          <w:tcPr>
            <w:tcW w:type="dxa" w:w="5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Apply global JwtAuthGuard at AppModule level as a global guard</w:t>
            </w:r>
          </w:p>
        </w:tc>
        <w:tc>
          <w:tcPr>
            <w:tcW w:type="dxa" w:w="16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API</w:t>
            </w:r>
          </w:p>
        </w:tc>
        <w:tc>
          <w:tcPr>
            <w:tcW w:type="dxa" w:w="11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2</w:t>
            </w:r>
          </w:p>
        </w:tc>
      </w:tr>
      <w:tr>
        <w:tc>
          <w:tcPr>
            <w:tcW w:type="dxa" w:w="4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8</w:t>
            </w:r>
          </w:p>
        </w:tc>
        <w:tc>
          <w:tcPr>
            <w:tcW w:type="dxa" w:w="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D97706"/>
                <w:sz w:val="18"/>
                <w:szCs w:val="18"/>
              </w:rPr>
              <w:t xml:space="preserve">P1</w:t>
            </w:r>
          </w:p>
        </w:tc>
        <w:tc>
          <w:tcPr>
            <w:tcW w:type="dxa" w:w="5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Validate file magic bytes (file-type library) in addition to MIME</w:t>
            </w:r>
          </w:p>
        </w:tc>
        <w:tc>
          <w:tcPr>
            <w:tcW w:type="dxa" w:w="16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API</w:t>
            </w:r>
          </w:p>
        </w:tc>
        <w:tc>
          <w:tcPr>
            <w:tcW w:type="dxa" w:w="11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2</w:t>
            </w:r>
          </w:p>
        </w:tc>
      </w:tr>
      <w:tr>
        <w:tc>
          <w:tcPr>
            <w:tcW w:type="dxa" w:w="4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9</w:t>
            </w:r>
          </w:p>
        </w:tc>
        <w:tc>
          <w:tcPr>
            <w:tcW w:type="dxa" w:w="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2563EB"/>
                <w:sz w:val="18"/>
                <w:szCs w:val="18"/>
              </w:rPr>
              <w:t xml:space="preserve">P2</w:t>
            </w:r>
          </w:p>
        </w:tc>
        <w:tc>
          <w:tcPr>
            <w:tcW w:type="dxa" w:w="5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Add Redis Sentinel / Cluster for BullMQ + WS room HA</w:t>
            </w:r>
          </w:p>
        </w:tc>
        <w:tc>
          <w:tcPr>
            <w:tcW w:type="dxa" w:w="16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DevOps</w:t>
            </w:r>
          </w:p>
        </w:tc>
        <w:tc>
          <w:tcPr>
            <w:tcW w:type="dxa" w:w="11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3</w:t>
            </w:r>
          </w:p>
        </w:tc>
      </w:tr>
      <w:tr>
        <w:tc>
          <w:tcPr>
            <w:tcW w:type="dxa" w:w="4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10</w:t>
            </w:r>
          </w:p>
        </w:tc>
        <w:tc>
          <w:tcPr>
            <w:tcW w:type="dxa" w:w="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2563EB"/>
                <w:sz w:val="18"/>
                <w:szCs w:val="18"/>
              </w:rPr>
              <w:t xml:space="preserve">P2</w:t>
            </w:r>
          </w:p>
        </w:tc>
        <w:tc>
          <w:tcPr>
            <w:tcW w:type="dxa" w:w="5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Add PostgreSQL read replica + configure Prisma datasource routing</w:t>
            </w:r>
          </w:p>
        </w:tc>
        <w:tc>
          <w:tcPr>
            <w:tcW w:type="dxa" w:w="16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DevOps</w:t>
            </w:r>
          </w:p>
        </w:tc>
        <w:tc>
          <w:tcPr>
            <w:tcW w:type="dxa" w:w="11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3</w:t>
            </w:r>
          </w:p>
        </w:tc>
      </w:tr>
      <w:tr>
        <w:tc>
          <w:tcPr>
            <w:tcW w:type="dxa" w:w="4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11</w:t>
            </w:r>
          </w:p>
        </w:tc>
        <w:tc>
          <w:tcPr>
            <w:tcW w:type="dxa" w:w="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2563EB"/>
                <w:sz w:val="18"/>
                <w:szCs w:val="18"/>
              </w:rPr>
              <w:t xml:space="preserve">P2</w:t>
            </w:r>
          </w:p>
        </w:tc>
        <w:tc>
          <w:tcPr>
            <w:tcW w:type="dxa" w:w="5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Cap pagination limit param (max 100) in LeadFilterDto</w:t>
            </w:r>
          </w:p>
        </w:tc>
        <w:tc>
          <w:tcPr>
            <w:tcW w:type="dxa" w:w="16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API</w:t>
            </w:r>
          </w:p>
        </w:tc>
        <w:tc>
          <w:tcPr>
            <w:tcW w:type="dxa" w:w="11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2</w:t>
            </w:r>
          </w:p>
        </w:tc>
      </w:tr>
      <w:tr>
        <w:tc>
          <w:tcPr>
            <w:tcW w:type="dxa" w:w="4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12</w:t>
            </w:r>
          </w:p>
        </w:tc>
        <w:tc>
          <w:tcPr>
            <w:tcW w:type="dxa" w:w="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2563EB"/>
                <w:sz w:val="18"/>
                <w:szCs w:val="18"/>
              </w:rPr>
              <w:t xml:space="preserve">P2</w:t>
            </w:r>
          </w:p>
        </w:tc>
        <w:tc>
          <w:tcPr>
            <w:tcW w:type="dxa" w:w="5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Proxy recording URLs through signed backend endpoint</w:t>
            </w:r>
          </w:p>
        </w:tc>
        <w:tc>
          <w:tcPr>
            <w:tcW w:type="dxa" w:w="16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API</w:t>
            </w:r>
          </w:p>
        </w:tc>
        <w:tc>
          <w:tcPr>
            <w:tcW w:type="dxa" w:w="11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3</w:t>
            </w:r>
          </w:p>
        </w:tc>
      </w:tr>
      <w:tr>
        <w:tc>
          <w:tcPr>
            <w:tcW w:type="dxa" w:w="4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13</w:t>
            </w:r>
          </w:p>
        </w:tc>
        <w:tc>
          <w:tcPr>
            <w:tcW w:type="dxa" w:w="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6A34A"/>
                <w:sz w:val="18"/>
                <w:szCs w:val="18"/>
              </w:rPr>
              <w:t xml:space="preserve">P3</w:t>
            </w:r>
          </w:p>
        </w:tc>
        <w:tc>
          <w:tcPr>
            <w:tcW w:type="dxa" w:w="5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Generate OpenAPI/Swagger docs via @nestjs/swagger</w:t>
            </w:r>
          </w:p>
        </w:tc>
        <w:tc>
          <w:tcPr>
            <w:tcW w:type="dxa" w:w="16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API</w:t>
            </w:r>
          </w:p>
        </w:tc>
        <w:tc>
          <w:tcPr>
            <w:tcW w:type="dxa" w:w="11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4</w:t>
            </w:r>
          </w:p>
        </w:tc>
      </w:tr>
      <w:tr>
        <w:tc>
          <w:tcPr>
            <w:tcW w:type="dxa" w:w="4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14</w:t>
            </w:r>
          </w:p>
        </w:tc>
        <w:tc>
          <w:tcPr>
            <w:tcW w:type="dxa" w:w="5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6A34A"/>
                <w:sz w:val="18"/>
                <w:szCs w:val="18"/>
              </w:rPr>
              <w:t xml:space="preserve">P3</w:t>
            </w:r>
          </w:p>
        </w:tc>
        <w:tc>
          <w:tcPr>
            <w:tcW w:type="dxa" w:w="52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Replace any-typed updateData objects with typed interfaces</w:t>
            </w:r>
          </w:p>
        </w:tc>
        <w:tc>
          <w:tcPr>
            <w:tcW w:type="dxa" w:w="16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API</w:t>
            </w:r>
          </w:p>
        </w:tc>
        <w:tc>
          <w:tcPr>
            <w:tcW w:type="dxa" w:w="11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4</w:t>
            </w:r>
          </w:p>
        </w:tc>
      </w:tr>
      <w:tr>
        <w:tc>
          <w:tcPr>
            <w:tcW w:type="dxa" w:w="4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center"/>
            </w:pPr>
            <w:r>
              <w:rPr>
                <w:rFonts w:ascii="Arial" w:cs="Arial" w:eastAsia="Arial" w:hAnsi="Arial"/>
                <w:b w:val="false"/>
                <w:bCs w:val="false"/>
                <w:color w:val="1E293B"/>
                <w:sz w:val="18"/>
                <w:szCs w:val="18"/>
              </w:rPr>
              <w:t xml:space="preserve">15</w:t>
            </w:r>
          </w:p>
        </w:tc>
        <w:tc>
          <w:tcPr>
            <w:tcW w:type="dxa" w:w="5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6A34A"/>
                <w:sz w:val="18"/>
                <w:szCs w:val="18"/>
              </w:rPr>
              <w:t xml:space="preserve">P3</w:t>
            </w:r>
          </w:p>
        </w:tc>
        <w:tc>
          <w:tcPr>
            <w:tcW w:type="dxa" w:w="52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Add Socket.io adapter (Redis adapter) for multi-instance WS</w:t>
            </w:r>
          </w:p>
        </w:tc>
        <w:tc>
          <w:tcPr>
            <w:tcW w:type="dxa" w:w="16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API</w:t>
            </w:r>
          </w:p>
        </w:tc>
        <w:tc>
          <w:tcPr>
            <w:tcW w:type="dxa" w:w="11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475569"/>
                <w:sz w:val="18"/>
                <w:szCs w:val="18"/>
              </w:rPr>
              <w:t xml:space="preserve">Sprint 3</w:t>
            </w:r>
          </w:p>
        </w:tc>
      </w:tr>
    </w:tbl>
    <w:p>
      <w:r>
        <w:br w:type="page"/>
      </w:r>
    </w:p>
    <w:p>
      <w:pPr>
        <w:pStyle w:val="Heading1"/>
        <w:spacing w:before="320" w:after="160"/>
      </w:pPr>
      <w:r>
        <w:rPr>
          <w:rFonts w:ascii="Arial" w:cs="Arial" w:eastAsia="Arial" w:hAnsi="Arial"/>
          <w:b/>
          <w:bCs/>
          <w:color w:val="1A2B4A"/>
          <w:sz w:val="32"/>
          <w:szCs w:val="32"/>
        </w:rPr>
        <w:t xml:space="preserve">8. Remediation Checklist</w:t>
      </w:r>
    </w:p>
    <w:p>
      <w:pPr>
        <w:pStyle w:val="Heading3"/>
        <w:spacing w:before="200" w:after="80"/>
      </w:pPr>
      <w:r>
        <w:rPr>
          <w:rFonts w:ascii="Arial" w:cs="Arial" w:eastAsia="Arial" w:hAnsi="Arial"/>
          <w:b/>
          <w:bCs/>
          <w:color w:val="1A2B4A"/>
          <w:sz w:val="22"/>
          <w:szCs w:val="22"/>
        </w:rPr>
        <w:t xml:space="preserve">☐  Immediate (before next production deploy)</w:t>
      </w:r>
    </w:p>
    <w:p>
      <w:pPr>
        <w:pStyle w:val="ListParagraph"/>
        <w:numPr>
          <w:ilvl w:val="0"/>
          <w:numId w:val="2"/>
        </w:numPr>
        <w:spacing w:before="40" w:after="60"/>
        <w:ind w:left="720" w:hanging="360"/>
      </w:pPr>
      <w:r>
        <w:rPr>
          <w:rFonts w:ascii="Arial" w:cs="Arial" w:eastAsia="Arial" w:hAnsi="Arial"/>
          <w:color w:val="1E293B"/>
          <w:sz w:val="20"/>
          <w:szCs w:val="20"/>
        </w:rPr>
        <w:t xml:space="preserve">☐  Set WEBHOOK_VALIDATION=true in staging and production .env</w:t>
      </w:r>
    </w:p>
    <w:p>
      <w:pPr>
        <w:pStyle w:val="ListParagraph"/>
        <w:numPr>
          <w:ilvl w:val="0"/>
          <w:numId w:val="2"/>
        </w:numPr>
        <w:spacing w:before="40" w:after="60"/>
        <w:ind w:left="720" w:hanging="360"/>
      </w:pPr>
      <w:r>
        <w:rPr>
          <w:rFonts w:ascii="Arial" w:cs="Arial" w:eastAsia="Arial" w:hAnsi="Arial"/>
          <w:color w:val="1E293B"/>
          <w:sz w:val="20"/>
          <w:szCs w:val="20"/>
        </w:rPr>
        <w:t xml:space="preserve">☐  Confirm /auth/register is not publicly reachable from the internet (WAF/firewall rule)</w:t>
      </w:r>
    </w:p>
    <w:p>
      <w:pPr>
        <w:pStyle w:val="ListParagraph"/>
        <w:numPr>
          <w:ilvl w:val="0"/>
          <w:numId w:val="2"/>
        </w:numPr>
        <w:spacing w:before="40" w:after="60"/>
        <w:ind w:left="720" w:hanging="360"/>
      </w:pPr>
      <w:r>
        <w:rPr>
          <w:rFonts w:ascii="Arial" w:cs="Arial" w:eastAsia="Arial" w:hAnsi="Arial"/>
          <w:color w:val="1E293B"/>
          <w:sz w:val="20"/>
          <w:szCs w:val="20"/>
        </w:rPr>
        <w:t xml:space="preserve">☐  Audit all active JWTs; confirm JWT_SECRET is a 64-char random hex value in all environments</w:t>
      </w:r>
    </w:p>
    <w:p>
      <w:pPr>
        <w:pStyle w:val="ListParagraph"/>
        <w:numPr>
          <w:ilvl w:val="0"/>
          <w:numId w:val="2"/>
        </w:numPr>
        <w:spacing w:before="40" w:after="60"/>
        <w:ind w:left="720" w:hanging="360"/>
      </w:pPr>
      <w:r>
        <w:rPr>
          <w:rFonts w:ascii="Arial" w:cs="Arial" w:eastAsia="Arial" w:hAnsi="Arial"/>
          <w:color w:val="1E293B"/>
          <w:sz w:val="20"/>
          <w:szCs w:val="20"/>
        </w:rPr>
        <w:t xml:space="preserve">☐  Confirm NODE_ENV=production is set in all production processes</w:t>
      </w:r>
    </w:p>
    <w:p>
      <w:pPr>
        <w:spacing w:before="60" w:after="0"/>
      </w:pPr>
      <w:r>
        <w:t xml:space="preserve"/>
      </w:r>
    </w:p>
    <w:p>
      <w:pPr>
        <w:pStyle w:val="Heading3"/>
        <w:spacing w:before="200" w:after="80"/>
      </w:pPr>
      <w:r>
        <w:rPr>
          <w:rFonts w:ascii="Arial" w:cs="Arial" w:eastAsia="Arial" w:hAnsi="Arial"/>
          <w:b/>
          <w:bCs/>
          <w:color w:val="1A2B4A"/>
          <w:sz w:val="22"/>
          <w:szCs w:val="22"/>
        </w:rPr>
        <w:t xml:space="preserve">☐  Sprint 1 — Security Hardening</w:t>
      </w:r>
    </w:p>
    <w:p>
      <w:pPr>
        <w:pStyle w:val="ListParagraph"/>
        <w:numPr>
          <w:ilvl w:val="0"/>
          <w:numId w:val="2"/>
        </w:numPr>
        <w:spacing w:before="40" w:after="60"/>
        <w:ind w:left="720" w:hanging="360"/>
      </w:pPr>
      <w:r>
        <w:rPr>
          <w:rFonts w:ascii="Arial" w:cs="Arial" w:eastAsia="Arial" w:hAnsi="Arial"/>
          <w:color w:val="1E293B"/>
          <w:sz w:val="20"/>
          <w:szCs w:val="20"/>
        </w:rPr>
        <w:t xml:space="preserve">☐  Replace localStorage JWT with httpOnly, Secure, SameSite=Strict cookie flow</w:t>
      </w:r>
    </w:p>
    <w:p>
      <w:pPr>
        <w:pStyle w:val="ListParagraph"/>
        <w:numPr>
          <w:ilvl w:val="0"/>
          <w:numId w:val="2"/>
        </w:numPr>
        <w:spacing w:before="40" w:after="60"/>
        <w:ind w:left="720" w:hanging="360"/>
      </w:pPr>
      <w:r>
        <w:rPr>
          <w:rFonts w:ascii="Arial" w:cs="Arial" w:eastAsia="Arial" w:hAnsi="Arial"/>
          <w:color w:val="1E293B"/>
          <w:sz w:val="20"/>
          <w:szCs w:val="20"/>
        </w:rPr>
        <w:t xml:space="preserve">☐  Add JWT extraction from handshake.auth.token in CallsGateway.handleConnection()</w:t>
      </w:r>
    </w:p>
    <w:p>
      <w:pPr>
        <w:pStyle w:val="ListParagraph"/>
        <w:numPr>
          <w:ilvl w:val="0"/>
          <w:numId w:val="2"/>
        </w:numPr>
        <w:spacing w:before="40" w:after="60"/>
        <w:ind w:left="720" w:hanging="360"/>
      </w:pPr>
      <w:r>
        <w:rPr>
          <w:rFonts w:ascii="Arial" w:cs="Arial" w:eastAsia="Arial" w:hAnsi="Arial"/>
          <w:color w:val="1E293B"/>
          <w:sz w:val="20"/>
          <w:szCs w:val="20"/>
        </w:rPr>
        <w:t xml:space="preserve">☐  Add @nestjs/throttler global rate limit (10 req/min on auth; 5 uploads/min)</w:t>
      </w:r>
    </w:p>
    <w:p>
      <w:pPr>
        <w:pStyle w:val="ListParagraph"/>
        <w:numPr>
          <w:ilvl w:val="0"/>
          <w:numId w:val="2"/>
        </w:numPr>
        <w:spacing w:before="40" w:after="60"/>
        <w:ind w:left="720" w:hanging="360"/>
      </w:pPr>
      <w:r>
        <w:rPr>
          <w:rFonts w:ascii="Arial" w:cs="Arial" w:eastAsia="Arial" w:hAnsi="Arial"/>
          <w:color w:val="1E293B"/>
          <w:sz w:val="20"/>
          <w:szCs w:val="20"/>
        </w:rPr>
        <w:t xml:space="preserve">☐  Add ADMIN-only guard to POST /auth/register or convert to invite-flow</w:t>
      </w:r>
    </w:p>
    <w:p>
      <w:pPr>
        <w:spacing w:before="60" w:after="0"/>
      </w:pPr>
      <w:r>
        <w:t xml:space="preserve"/>
      </w:r>
    </w:p>
    <w:p>
      <w:pPr>
        <w:pStyle w:val="Heading3"/>
        <w:spacing w:before="200" w:after="80"/>
      </w:pPr>
      <w:r>
        <w:rPr>
          <w:rFonts w:ascii="Arial" w:cs="Arial" w:eastAsia="Arial" w:hAnsi="Arial"/>
          <w:b/>
          <w:bCs/>
          <w:color w:val="1A2B4A"/>
          <w:sz w:val="22"/>
          <w:szCs w:val="22"/>
        </w:rPr>
        <w:t xml:space="preserve">☐  Sprint 2 — Access Control &amp; Input Validation</w:t>
      </w:r>
    </w:p>
    <w:p>
      <w:pPr>
        <w:pStyle w:val="ListParagraph"/>
        <w:numPr>
          <w:ilvl w:val="0"/>
          <w:numId w:val="2"/>
        </w:numPr>
        <w:spacing w:before="40" w:after="60"/>
        <w:ind w:left="720" w:hanging="360"/>
      </w:pPr>
      <w:r>
        <w:rPr>
          <w:rFonts w:ascii="Arial" w:cs="Arial" w:eastAsia="Arial" w:hAnsi="Arial"/>
          <w:color w:val="1E293B"/>
          <w:sz w:val="20"/>
          <w:szCs w:val="20"/>
        </w:rPr>
        <w:t xml:space="preserve">☐  Add ownership check in GET /calls/lead/:leadId (BDR sees only own lead calls)</w:t>
      </w:r>
    </w:p>
    <w:p>
      <w:pPr>
        <w:pStyle w:val="ListParagraph"/>
        <w:numPr>
          <w:ilvl w:val="0"/>
          <w:numId w:val="2"/>
        </w:numPr>
        <w:spacing w:before="40" w:after="60"/>
        <w:ind w:left="720" w:hanging="360"/>
      </w:pPr>
      <w:r>
        <w:rPr>
          <w:rFonts w:ascii="Arial" w:cs="Arial" w:eastAsia="Arial" w:hAnsi="Arial"/>
          <w:color w:val="1E293B"/>
          <w:sz w:val="20"/>
          <w:szCs w:val="20"/>
        </w:rPr>
        <w:t xml:space="preserve">☐  Add ownership check in GET /imports/:id (BDR sees only own imports)</w:t>
      </w:r>
    </w:p>
    <w:p>
      <w:pPr>
        <w:pStyle w:val="ListParagraph"/>
        <w:numPr>
          <w:ilvl w:val="0"/>
          <w:numId w:val="2"/>
        </w:numPr>
        <w:spacing w:before="40" w:after="60"/>
        <w:ind w:left="720" w:hanging="360"/>
      </w:pPr>
      <w:r>
        <w:rPr>
          <w:rFonts w:ascii="Arial" w:cs="Arial" w:eastAsia="Arial" w:hAnsi="Arial"/>
          <w:color w:val="1E293B"/>
          <w:sz w:val="20"/>
          <w:szCs w:val="20"/>
        </w:rPr>
        <w:t xml:space="preserve">☐  Cap limit param to 100 in LeadFilterDto with @Max(100)</w:t>
      </w:r>
    </w:p>
    <w:p>
      <w:pPr>
        <w:pStyle w:val="ListParagraph"/>
        <w:numPr>
          <w:ilvl w:val="0"/>
          <w:numId w:val="2"/>
        </w:numPr>
        <w:spacing w:before="40" w:after="60"/>
        <w:ind w:left="720" w:hanging="360"/>
      </w:pPr>
      <w:r>
        <w:rPr>
          <w:rFonts w:ascii="Arial" w:cs="Arial" w:eastAsia="Arial" w:hAnsi="Arial"/>
          <w:color w:val="1E293B"/>
          <w:sz w:val="20"/>
          <w:szCs w:val="20"/>
        </w:rPr>
        <w:t xml:space="preserve">☐  Add file-type magic byte validation to imports upload handler</w:t>
      </w:r>
    </w:p>
    <w:p>
      <w:pPr>
        <w:pStyle w:val="ListParagraph"/>
        <w:numPr>
          <w:ilvl w:val="0"/>
          <w:numId w:val="2"/>
        </w:numPr>
        <w:spacing w:before="40" w:after="60"/>
        <w:ind w:left="720" w:hanging="360"/>
      </w:pPr>
      <w:r>
        <w:rPr>
          <w:rFonts w:ascii="Arial" w:cs="Arial" w:eastAsia="Arial" w:hAnsi="Arial"/>
          <w:color w:val="1E293B"/>
          <w:sz w:val="20"/>
          <w:szCs w:val="20"/>
        </w:rPr>
        <w:t xml:space="preserve">☐  Replace any-typed updateData in CallsService.handleStatusUpdate with typed interface</w:t>
      </w:r>
    </w:p>
    <w:p>
      <w:pPr>
        <w:spacing w:before="60" w:after="0"/>
      </w:pPr>
      <w:r>
        <w:t xml:space="preserve"/>
      </w:r>
    </w:p>
    <w:p>
      <w:pPr>
        <w:pStyle w:val="Heading3"/>
        <w:spacing w:before="200" w:after="80"/>
      </w:pPr>
      <w:r>
        <w:rPr>
          <w:rFonts w:ascii="Arial" w:cs="Arial" w:eastAsia="Arial" w:hAnsi="Arial"/>
          <w:b/>
          <w:bCs/>
          <w:color w:val="1A2B4A"/>
          <w:sz w:val="22"/>
          <w:szCs w:val="22"/>
        </w:rPr>
        <w:t xml:space="preserve">☐  Sprint 3 — Infrastructure Resilience</w:t>
      </w:r>
    </w:p>
    <w:p>
      <w:pPr>
        <w:pStyle w:val="ListParagraph"/>
        <w:numPr>
          <w:ilvl w:val="0"/>
          <w:numId w:val="2"/>
        </w:numPr>
        <w:spacing w:before="40" w:after="60"/>
        <w:ind w:left="720" w:hanging="360"/>
      </w:pPr>
      <w:r>
        <w:rPr>
          <w:rFonts w:ascii="Arial" w:cs="Arial" w:eastAsia="Arial" w:hAnsi="Arial"/>
          <w:color w:val="1E293B"/>
          <w:sz w:val="20"/>
          <w:szCs w:val="20"/>
        </w:rPr>
        <w:t xml:space="preserve">☐  Provision Redis Sentinel or Cluster; update REDIS_URL</w:t>
      </w:r>
    </w:p>
    <w:p>
      <w:pPr>
        <w:pStyle w:val="ListParagraph"/>
        <w:numPr>
          <w:ilvl w:val="0"/>
          <w:numId w:val="2"/>
        </w:numPr>
        <w:spacing w:before="40" w:after="60"/>
        <w:ind w:left="720" w:hanging="360"/>
      </w:pPr>
      <w:r>
        <w:rPr>
          <w:rFonts w:ascii="Arial" w:cs="Arial" w:eastAsia="Arial" w:hAnsi="Arial"/>
          <w:color w:val="1E293B"/>
          <w:sz w:val="20"/>
          <w:szCs w:val="20"/>
        </w:rPr>
        <w:t xml:space="preserve">☐  Add @socket.io/redis-adapter to CallsGateway for multi-instance support</w:t>
      </w:r>
    </w:p>
    <w:p>
      <w:pPr>
        <w:pStyle w:val="ListParagraph"/>
        <w:numPr>
          <w:ilvl w:val="0"/>
          <w:numId w:val="2"/>
        </w:numPr>
        <w:spacing w:before="40" w:after="60"/>
        <w:ind w:left="720" w:hanging="360"/>
      </w:pPr>
      <w:r>
        <w:rPr>
          <w:rFonts w:ascii="Arial" w:cs="Arial" w:eastAsia="Arial" w:hAnsi="Arial"/>
          <w:color w:val="1E293B"/>
          <w:sz w:val="20"/>
          <w:szCs w:val="20"/>
        </w:rPr>
        <w:t xml:space="preserve">☐  Add PostgreSQL read replica; configure Prisma datasource for read/write split</w:t>
      </w:r>
    </w:p>
    <w:p>
      <w:pPr>
        <w:pStyle w:val="ListParagraph"/>
        <w:numPr>
          <w:ilvl w:val="0"/>
          <w:numId w:val="2"/>
        </w:numPr>
        <w:spacing w:before="40" w:after="60"/>
        <w:ind w:left="720" w:hanging="360"/>
      </w:pPr>
      <w:r>
        <w:rPr>
          <w:rFonts w:ascii="Arial" w:cs="Arial" w:eastAsia="Arial" w:hAnsi="Arial"/>
          <w:color w:val="1E293B"/>
          <w:sz w:val="20"/>
          <w:szCs w:val="20"/>
        </w:rPr>
        <w:t xml:space="preserve">☐  Route recording URL access through a signed, time-limited backend proxy endpoint</w:t>
      </w:r>
    </w:p>
    <w:p>
      <w:pPr>
        <w:pStyle w:val="ListParagraph"/>
        <w:numPr>
          <w:ilvl w:val="0"/>
          <w:numId w:val="2"/>
        </w:numPr>
        <w:spacing w:before="40" w:after="60"/>
        <w:ind w:left="720" w:hanging="360"/>
      </w:pPr>
      <w:r>
        <w:rPr>
          <w:rFonts w:ascii="Arial" w:cs="Arial" w:eastAsia="Arial" w:hAnsi="Arial"/>
          <w:color w:val="1E293B"/>
          <w:sz w:val="20"/>
          <w:szCs w:val="20"/>
        </w:rPr>
        <w:t xml:space="preserve">☐  Set up database connection pool limits (DATABASE_URL pool_max=20)</w:t>
      </w:r>
    </w:p>
    <w:p>
      <w:pPr>
        <w:spacing w:before="60" w:after="0"/>
      </w:pPr>
      <w:r>
        <w:t xml:space="preserve"/>
      </w:r>
    </w:p>
    <w:p>
      <w:pPr>
        <w:pStyle w:val="Heading3"/>
        <w:spacing w:before="200" w:after="80"/>
      </w:pPr>
      <w:r>
        <w:rPr>
          <w:rFonts w:ascii="Arial" w:cs="Arial" w:eastAsia="Arial" w:hAnsi="Arial"/>
          <w:b/>
          <w:bCs/>
          <w:color w:val="1A2B4A"/>
          <w:sz w:val="22"/>
          <w:szCs w:val="22"/>
        </w:rPr>
        <w:t xml:space="preserve">☐  Sprint 4 — Code Quality &amp; Observability</w:t>
      </w:r>
    </w:p>
    <w:p>
      <w:pPr>
        <w:pStyle w:val="ListParagraph"/>
        <w:numPr>
          <w:ilvl w:val="0"/>
          <w:numId w:val="2"/>
        </w:numPr>
        <w:spacing w:before="40" w:after="60"/>
        <w:ind w:left="720" w:hanging="360"/>
      </w:pPr>
      <w:r>
        <w:rPr>
          <w:rFonts w:ascii="Arial" w:cs="Arial" w:eastAsia="Arial" w:hAnsi="Arial"/>
          <w:color w:val="1E293B"/>
          <w:sz w:val="20"/>
          <w:szCs w:val="20"/>
        </w:rPr>
        <w:t xml:space="preserve">☐  Install @nestjs/swagger, add @ApiProperty to all DTOs, expose /api/docs</w:t>
      </w:r>
    </w:p>
    <w:p>
      <w:pPr>
        <w:pStyle w:val="ListParagraph"/>
        <w:numPr>
          <w:ilvl w:val="0"/>
          <w:numId w:val="2"/>
        </w:numPr>
        <w:spacing w:before="40" w:after="60"/>
        <w:ind w:left="720" w:hanging="360"/>
      </w:pPr>
      <w:r>
        <w:rPr>
          <w:rFonts w:ascii="Arial" w:cs="Arial" w:eastAsia="Arial" w:hAnsi="Arial"/>
          <w:color w:val="1E293B"/>
          <w:sz w:val="20"/>
          <w:szCs w:val="20"/>
        </w:rPr>
        <w:t xml:space="preserve">☐  Replace loose string leadStatusMap in DispositionsService with type-safe enum map</w:t>
      </w:r>
    </w:p>
    <w:p>
      <w:pPr>
        <w:pStyle w:val="ListParagraph"/>
        <w:numPr>
          <w:ilvl w:val="0"/>
          <w:numId w:val="2"/>
        </w:numPr>
        <w:spacing w:before="40" w:after="60"/>
        <w:ind w:left="720" w:hanging="360"/>
      </w:pPr>
      <w:r>
        <w:rPr>
          <w:rFonts w:ascii="Arial" w:cs="Arial" w:eastAsia="Arial" w:hAnsi="Arial"/>
          <w:color w:val="1E293B"/>
          <w:sz w:val="20"/>
          <w:szCs w:val="20"/>
        </w:rPr>
        <w:t xml:space="preserve">☐  Replace any-typed data objects in LeadsService.update and CallsService</w:t>
      </w:r>
    </w:p>
    <w:p>
      <w:pPr>
        <w:pStyle w:val="ListParagraph"/>
        <w:numPr>
          <w:ilvl w:val="0"/>
          <w:numId w:val="2"/>
        </w:numPr>
        <w:spacing w:before="40" w:after="60"/>
        <w:ind w:left="720" w:hanging="360"/>
      </w:pPr>
      <w:r>
        <w:rPr>
          <w:rFonts w:ascii="Arial" w:cs="Arial" w:eastAsia="Arial" w:hAnsi="Arial"/>
          <w:color w:val="1E293B"/>
          <w:sz w:val="20"/>
          <w:szCs w:val="20"/>
        </w:rPr>
        <w:t xml:space="preserve">☐  Replace process.env.WEBHOOK_BASE_URL direct access with ConfigService.get()</w:t>
      </w:r>
    </w:p>
    <w:p>
      <w:pPr>
        <w:pStyle w:val="ListParagraph"/>
        <w:numPr>
          <w:ilvl w:val="0"/>
          <w:numId w:val="2"/>
        </w:numPr>
        <w:spacing w:before="40" w:after="60"/>
        <w:ind w:left="720" w:hanging="360"/>
      </w:pPr>
      <w:r>
        <w:rPr>
          <w:rFonts w:ascii="Arial" w:cs="Arial" w:eastAsia="Arial" w:hAnsi="Arial"/>
          <w:color w:val="1E293B"/>
          <w:sz w:val="20"/>
          <w:szCs w:val="20"/>
        </w:rPr>
        <w:t xml:space="preserve">☐  Add structured logging (Winston/Pino) with correlation IDs across API and worker</w:t>
      </w:r>
    </w:p>
    <w:p>
      <w:pPr>
        <w:pStyle w:val="ListParagraph"/>
        <w:numPr>
          <w:ilvl w:val="0"/>
          <w:numId w:val="2"/>
        </w:numPr>
        <w:spacing w:before="40" w:after="60"/>
        <w:ind w:left="720" w:hanging="360"/>
      </w:pPr>
      <w:r>
        <w:rPr>
          <w:rFonts w:ascii="Arial" w:cs="Arial" w:eastAsia="Arial" w:hAnsi="Arial"/>
          <w:color w:val="1E293B"/>
          <w:sz w:val="20"/>
          <w:szCs w:val="20"/>
        </w:rPr>
        <w:t xml:space="preserve">☐  Configure APM (Datadog/NewRelic) or at minimum Prometheus + Grafana for metrics</w:t>
      </w:r>
    </w:p>
    <w:p>
      <w:pPr>
        <w:spacing w:before="60" w:after="0"/>
      </w:pPr>
      <w:r>
        <w:t xml:space="preserve"/>
      </w:r>
    </w:p>
    <w:p>
      <w:r>
        <w:br w:type="page"/>
      </w:r>
    </w:p>
    <w:p>
      <w:pPr>
        <w:pStyle w:val="Heading1"/>
        <w:spacing w:before="320" w:after="160"/>
      </w:pPr>
      <w:r>
        <w:rPr>
          <w:rFonts w:ascii="Arial" w:cs="Arial" w:eastAsia="Arial" w:hAnsi="Arial"/>
          <w:b/>
          <w:bCs/>
          <w:color w:val="1A2B4A"/>
          <w:sz w:val="32"/>
          <w:szCs w:val="32"/>
        </w:rPr>
        <w:t xml:space="preserve">9. Assumptions, Scope &amp; Constraints</w:t>
      </w:r>
    </w:p>
    <w:p>
      <w:pPr>
        <w:pStyle w:val="Heading2"/>
        <w:pBdr>
          <w:bottom w:val="single" w:color="2563EB" w:sz="4" w:space="4"/>
        </w:pBdr>
        <w:spacing w:before="280" w:after="120"/>
      </w:pPr>
      <w:r>
        <w:rPr>
          <w:rFonts w:ascii="Arial" w:cs="Arial" w:eastAsia="Arial" w:hAnsi="Arial"/>
          <w:b/>
          <w:bCs/>
          <w:color w:val="1A2B4A"/>
          <w:sz w:val="26"/>
          <w:szCs w:val="26"/>
        </w:rPr>
        <w:t xml:space="preserve">Scope</w:t>
      </w:r>
    </w:p>
    <w:p>
      <w:pPr>
        <w:pStyle w:val="ListParagraph"/>
        <w:numPr>
          <w:ilvl w:val="0"/>
          <w:numId w:val="2"/>
        </w:numPr>
        <w:spacing w:before="40" w:after="60"/>
        <w:ind w:left="720" w:hanging="360"/>
      </w:pPr>
      <w:r>
        <w:rPr>
          <w:rFonts w:ascii="Arial" w:cs="Arial" w:eastAsia="Arial" w:hAnsi="Arial"/>
          <w:color w:val="1E293B"/>
          <w:sz w:val="20"/>
          <w:szCs w:val="20"/>
        </w:rPr>
        <w:t xml:space="preserve">Full source code reviewed: api/src/, web/src/, packages/shared-types/src/, prisma/schema.prisma</w:t>
      </w:r>
    </w:p>
    <w:p>
      <w:pPr>
        <w:pStyle w:val="ListParagraph"/>
        <w:numPr>
          <w:ilvl w:val="0"/>
          <w:numId w:val="2"/>
        </w:numPr>
        <w:spacing w:before="40" w:after="60"/>
        <w:ind w:left="720" w:hanging="360"/>
      </w:pPr>
      <w:r>
        <w:rPr>
          <w:rFonts w:ascii="Arial" w:cs="Arial" w:eastAsia="Arial" w:hAnsi="Arial"/>
          <w:color w:val="1E293B"/>
          <w:sz w:val="20"/>
          <w:szCs w:val="20"/>
        </w:rPr>
        <w:t xml:space="preserve">Architecture specification (README.md, ~1,000 lines) reviewed in full</w:t>
      </w:r>
    </w:p>
    <w:p>
      <w:pPr>
        <w:pStyle w:val="ListParagraph"/>
        <w:numPr>
          <w:ilvl w:val="0"/>
          <w:numId w:val="2"/>
        </w:numPr>
        <w:spacing w:before="40" w:after="60"/>
        <w:ind w:left="720" w:hanging="360"/>
      </w:pPr>
      <w:r>
        <w:rPr>
          <w:rFonts w:ascii="Arial" w:cs="Arial" w:eastAsia="Arial" w:hAnsi="Arial"/>
          <w:color w:val="1E293B"/>
          <w:sz w:val="20"/>
          <w:szCs w:val="20"/>
        </w:rPr>
        <w:t xml:space="preserve">All 55 TypeScript source files in the API examined</w:t>
      </w:r>
    </w:p>
    <w:p>
      <w:pPr>
        <w:pStyle w:val="ListParagraph"/>
        <w:numPr>
          <w:ilvl w:val="0"/>
          <w:numId w:val="2"/>
        </w:numPr>
        <w:spacing w:before="40" w:after="60"/>
        <w:ind w:left="720" w:hanging="360"/>
      </w:pPr>
      <w:r>
        <w:rPr>
          <w:rFonts w:ascii="Arial" w:cs="Arial" w:eastAsia="Arial" w:hAnsi="Arial"/>
          <w:color w:val="1E293B"/>
          <w:sz w:val="20"/>
          <w:szCs w:val="20"/>
        </w:rPr>
        <w:t xml:space="preserve">All 15 TypeScript/TSX source files in the web application examined</w:t>
      </w:r>
    </w:p>
    <w:p>
      <w:pPr>
        <w:spacing w:before="60" w:after="0"/>
      </w:pPr>
      <w:r>
        <w:t xml:space="preserve"/>
      </w:r>
    </w:p>
    <w:p>
      <w:pPr>
        <w:pStyle w:val="Heading2"/>
        <w:pBdr>
          <w:bottom w:val="single" w:color="2563EB" w:sz="4" w:space="4"/>
        </w:pBdr>
        <w:spacing w:before="280" w:after="120"/>
      </w:pPr>
      <w:r>
        <w:rPr>
          <w:rFonts w:ascii="Arial" w:cs="Arial" w:eastAsia="Arial" w:hAnsi="Arial"/>
          <w:b/>
          <w:bCs/>
          <w:color w:val="1A2B4A"/>
          <w:sz w:val="26"/>
          <w:szCs w:val="26"/>
        </w:rPr>
        <w:t xml:space="preserve">Exclusions</w:t>
      </w:r>
    </w:p>
    <w:p>
      <w:pPr>
        <w:pStyle w:val="ListParagraph"/>
        <w:numPr>
          <w:ilvl w:val="0"/>
          <w:numId w:val="2"/>
        </w:numPr>
        <w:spacing w:before="40" w:after="60"/>
        <w:ind w:left="720" w:hanging="360"/>
      </w:pPr>
      <w:r>
        <w:rPr>
          <w:rFonts w:ascii="Arial" w:cs="Arial" w:eastAsia="Arial" w:hAnsi="Arial"/>
          <w:color w:val="1E293B"/>
          <w:sz w:val="20"/>
          <w:szCs w:val="20"/>
        </w:rPr>
        <w:t xml:space="preserve">No live system access — all findings are from static analysis only</w:t>
      </w:r>
    </w:p>
    <w:p>
      <w:pPr>
        <w:pStyle w:val="ListParagraph"/>
        <w:numPr>
          <w:ilvl w:val="0"/>
          <w:numId w:val="2"/>
        </w:numPr>
        <w:spacing w:before="40" w:after="60"/>
        <w:ind w:left="720" w:hanging="360"/>
      </w:pPr>
      <w:r>
        <w:rPr>
          <w:rFonts w:ascii="Arial" w:cs="Arial" w:eastAsia="Arial" w:hAnsi="Arial"/>
          <w:color w:val="1E293B"/>
          <w:sz w:val="20"/>
          <w:szCs w:val="20"/>
        </w:rPr>
        <w:t xml:space="preserve">No dynamic application security testing (DAST) or penetration testing performed</w:t>
      </w:r>
    </w:p>
    <w:p>
      <w:pPr>
        <w:pStyle w:val="ListParagraph"/>
        <w:numPr>
          <w:ilvl w:val="0"/>
          <w:numId w:val="2"/>
        </w:numPr>
        <w:spacing w:before="40" w:after="60"/>
        <w:ind w:left="720" w:hanging="360"/>
      </w:pPr>
      <w:r>
        <w:rPr>
          <w:rFonts w:ascii="Arial" w:cs="Arial" w:eastAsia="Arial" w:hAnsi="Arial"/>
          <w:color w:val="1E293B"/>
          <w:sz w:val="20"/>
          <w:szCs w:val="20"/>
        </w:rPr>
        <w:t xml:space="preserve">No load testing or profiling performed — scalability findings are architecture-based</w:t>
      </w:r>
    </w:p>
    <w:p>
      <w:pPr>
        <w:pStyle w:val="ListParagraph"/>
        <w:numPr>
          <w:ilvl w:val="0"/>
          <w:numId w:val="2"/>
        </w:numPr>
        <w:spacing w:before="40" w:after="60"/>
        <w:ind w:left="720" w:hanging="360"/>
      </w:pPr>
      <w:r>
        <w:rPr>
          <w:rFonts w:ascii="Arial" w:cs="Arial" w:eastAsia="Arial" w:hAnsi="Arial"/>
          <w:color w:val="1E293B"/>
          <w:sz w:val="20"/>
          <w:szCs w:val="20"/>
        </w:rPr>
        <w:t xml:space="preserve">Infrastructure-as-code (Terraform, Kubernetes manifests) not provided — infra findings are based on docker-compose.yml only</w:t>
      </w:r>
    </w:p>
    <w:p>
      <w:pPr>
        <w:pStyle w:val="ListParagraph"/>
        <w:numPr>
          <w:ilvl w:val="0"/>
          <w:numId w:val="2"/>
        </w:numPr>
        <w:spacing w:before="40" w:after="60"/>
        <w:ind w:left="720" w:hanging="360"/>
      </w:pPr>
      <w:r>
        <w:rPr>
          <w:rFonts w:ascii="Arial" w:cs="Arial" w:eastAsia="Arial" w:hAnsi="Arial"/>
          <w:color w:val="1E293B"/>
          <w:sz w:val="20"/>
          <w:szCs w:val="20"/>
        </w:rPr>
        <w:t xml:space="preserve">Third-party dependencies (Twilio, BullMQ, Socket.io) were not audited for known CVEs — recommend running npm audit and monitoring Snyk/Dependabot</w:t>
      </w:r>
    </w:p>
    <w:p>
      <w:pPr>
        <w:spacing w:before="60" w:after="0"/>
      </w:pPr>
      <w:r>
        <w:t xml:space="preserve"/>
      </w:r>
    </w:p>
    <w:p>
      <w:pPr>
        <w:pStyle w:val="Heading2"/>
        <w:pBdr>
          <w:bottom w:val="single" w:color="2563EB" w:sz="4" w:space="4"/>
        </w:pBdr>
        <w:spacing w:before="280" w:after="120"/>
      </w:pPr>
      <w:r>
        <w:rPr>
          <w:rFonts w:ascii="Arial" w:cs="Arial" w:eastAsia="Arial" w:hAnsi="Arial"/>
          <w:b/>
          <w:bCs/>
          <w:color w:val="1A2B4A"/>
          <w:sz w:val="26"/>
          <w:szCs w:val="26"/>
        </w:rPr>
        <w:t xml:space="preserve">Assumptions</w:t>
      </w:r>
    </w:p>
    <w:p>
      <w:pPr>
        <w:pStyle w:val="ListParagraph"/>
        <w:numPr>
          <w:ilvl w:val="0"/>
          <w:numId w:val="2"/>
        </w:numPr>
        <w:spacing w:before="40" w:after="60"/>
        <w:ind w:left="720" w:hanging="360"/>
      </w:pPr>
      <w:r>
        <w:rPr>
          <w:rFonts w:ascii="Arial" w:cs="Arial" w:eastAsia="Arial" w:hAnsi="Arial"/>
          <w:color w:val="1E293B"/>
          <w:sz w:val="20"/>
          <w:szCs w:val="20"/>
        </w:rPr>
        <w:t xml:space="preserve">The system is pre-production or early-production with internal users only</w:t>
      </w:r>
    </w:p>
    <w:p>
      <w:pPr>
        <w:pStyle w:val="ListParagraph"/>
        <w:numPr>
          <w:ilvl w:val="0"/>
          <w:numId w:val="2"/>
        </w:numPr>
        <w:spacing w:before="40" w:after="60"/>
        <w:ind w:left="720" w:hanging="360"/>
      </w:pPr>
      <w:r>
        <w:rPr>
          <w:rFonts w:ascii="Arial" w:cs="Arial" w:eastAsia="Arial" w:hAnsi="Arial"/>
          <w:color w:val="1E293B"/>
          <w:sz w:val="20"/>
          <w:szCs w:val="20"/>
        </w:rPr>
        <w:t xml:space="preserve">PostgreSQL and Redis are deployed via Docker Compose for development; production infrastructure is not yet finalised</w:t>
      </w:r>
    </w:p>
    <w:p>
      <w:pPr>
        <w:pStyle w:val="ListParagraph"/>
        <w:numPr>
          <w:ilvl w:val="0"/>
          <w:numId w:val="2"/>
        </w:numPr>
        <w:spacing w:before="40" w:after="60"/>
        <w:ind w:left="720" w:hanging="360"/>
      </w:pPr>
      <w:r>
        <w:rPr>
          <w:rFonts w:ascii="Arial" w:cs="Arial" w:eastAsia="Arial" w:hAnsi="Arial"/>
          <w:color w:val="1E293B"/>
          <w:sz w:val="20"/>
          <w:szCs w:val="20"/>
        </w:rPr>
        <w:t xml:space="preserve">The acknowledged JWT localStorage trade-off in the README is intentional and the team is aware</w:t>
      </w:r>
    </w:p>
    <w:p>
      <w:pPr>
        <w:pStyle w:val="ListParagraph"/>
        <w:numPr>
          <w:ilvl w:val="0"/>
          <w:numId w:val="2"/>
        </w:numPr>
        <w:spacing w:before="40" w:after="60"/>
        <w:ind w:left="720" w:hanging="360"/>
      </w:pPr>
      <w:r>
        <w:rPr>
          <w:rFonts w:ascii="Arial" w:cs="Arial" w:eastAsia="Arial" w:hAnsi="Arial"/>
          <w:color w:val="1E293B"/>
          <w:sz w:val="20"/>
          <w:szCs w:val="20"/>
        </w:rPr>
        <w:t xml:space="preserve">TELEPHONY_PROVIDER_NAME=mock is used in development; real Twilio is only configured for staging/production</w:t>
      </w:r>
    </w:p>
    <w:p>
      <w:pPr>
        <w:spacing w:before="60" w:after="0"/>
      </w:pPr>
      <w:r>
        <w:t xml:space="preserve"/>
      </w:r>
    </w:p>
    <w:p>
      <w:pPr>
        <w:pStyle w:val="Heading2"/>
        <w:pBdr>
          <w:bottom w:val="single" w:color="2563EB" w:sz="4" w:space="4"/>
        </w:pBdr>
        <w:spacing w:before="280" w:after="120"/>
      </w:pPr>
      <w:r>
        <w:rPr>
          <w:rFonts w:ascii="Arial" w:cs="Arial" w:eastAsia="Arial" w:hAnsi="Arial"/>
          <w:b/>
          <w:bCs/>
          <w:color w:val="1A2B4A"/>
          <w:sz w:val="26"/>
          <w:szCs w:val="26"/>
        </w:rPr>
        <w:t xml:space="preserve">Technology Stack Validated</w:t>
      </w:r>
    </w:p>
    <w:p>
      <w:pPr>
        <w:pStyle w:val="ListParagraph"/>
        <w:numPr>
          <w:ilvl w:val="0"/>
          <w:numId w:val="2"/>
        </w:numPr>
        <w:spacing w:before="40" w:after="60"/>
        <w:ind w:left="720" w:hanging="360"/>
      </w:pPr>
      <w:r>
        <w:rPr>
          <w:rFonts w:ascii="Arial" w:cs="Arial" w:eastAsia="Arial" w:hAnsi="Arial"/>
          <w:color w:val="1E293B"/>
          <w:sz w:val="20"/>
          <w:szCs w:val="20"/>
        </w:rPr>
        <w:t xml:space="preserve">NestJS 10 / TypeScript 5.7 / Node.js ≥ 20</w:t>
      </w:r>
    </w:p>
    <w:p>
      <w:pPr>
        <w:pStyle w:val="ListParagraph"/>
        <w:numPr>
          <w:ilvl w:val="0"/>
          <w:numId w:val="2"/>
        </w:numPr>
        <w:spacing w:before="40" w:after="60"/>
        <w:ind w:left="720" w:hanging="360"/>
      </w:pPr>
      <w:r>
        <w:rPr>
          <w:rFonts w:ascii="Arial" w:cs="Arial" w:eastAsia="Arial" w:hAnsi="Arial"/>
          <w:color w:val="1E293B"/>
          <w:sz w:val="20"/>
          <w:szCs w:val="20"/>
        </w:rPr>
        <w:t xml:space="preserve">Next.js 16 (App Router) / React 19 / Zustand 5 / Axios 1.7</w:t>
      </w:r>
    </w:p>
    <w:p>
      <w:pPr>
        <w:pStyle w:val="ListParagraph"/>
        <w:numPr>
          <w:ilvl w:val="0"/>
          <w:numId w:val="2"/>
        </w:numPr>
        <w:spacing w:before="40" w:after="60"/>
        <w:ind w:left="720" w:hanging="360"/>
      </w:pPr>
      <w:r>
        <w:rPr>
          <w:rFonts w:ascii="Arial" w:cs="Arial" w:eastAsia="Arial" w:hAnsi="Arial"/>
          <w:color w:val="1E293B"/>
          <w:sz w:val="20"/>
          <w:szCs w:val="20"/>
        </w:rPr>
        <w:t xml:space="preserve">Prisma 6.4 / PostgreSQL 16 / Redis 7 / BullMQ 5.30</w:t>
      </w:r>
    </w:p>
    <w:p>
      <w:pPr>
        <w:pStyle w:val="ListParagraph"/>
        <w:numPr>
          <w:ilvl w:val="0"/>
          <w:numId w:val="2"/>
        </w:numPr>
        <w:spacing w:before="40" w:after="60"/>
        <w:ind w:left="720" w:hanging="360"/>
      </w:pPr>
      <w:r>
        <w:rPr>
          <w:rFonts w:ascii="Arial" w:cs="Arial" w:eastAsia="Arial" w:hAnsi="Arial"/>
          <w:color w:val="1E293B"/>
          <w:sz w:val="20"/>
          <w:szCs w:val="20"/>
        </w:rPr>
        <w:t xml:space="preserve">Socket.io 4.8 / Twilio 5.4 / bcrypt 5.1 (12 salt rounds — correct)</w:t>
      </w:r>
    </w:p>
    <w:p>
      <w:pPr>
        <w:pStyle w:val="ListParagraph"/>
        <w:numPr>
          <w:ilvl w:val="0"/>
          <w:numId w:val="2"/>
        </w:numPr>
        <w:spacing w:before="40" w:after="60"/>
        <w:ind w:left="720" w:hanging="360"/>
      </w:pPr>
      <w:r>
        <w:rPr>
          <w:rFonts w:ascii="Arial" w:cs="Arial" w:eastAsia="Arial" w:hAnsi="Arial"/>
          <w:color w:val="1E293B"/>
          <w:sz w:val="20"/>
          <w:szCs w:val="20"/>
        </w:rPr>
        <w:t xml:space="preserve">Turborepo 2.4 / npm workspaces — monorepo tooling correct</w:t>
      </w:r>
    </w:p>
    <w:p>
      <w:r>
        <w:br w:type="page"/>
      </w:r>
    </w:p>
    <w:p>
      <w:pPr>
        <w:pStyle w:val="Heading1"/>
        <w:spacing w:before="320" w:after="160"/>
      </w:pPr>
      <w:r>
        <w:rPr>
          <w:rFonts w:ascii="Arial" w:cs="Arial" w:eastAsia="Arial" w:hAnsi="Arial"/>
          <w:b/>
          <w:bCs/>
          <w:color w:val="1A2B4A"/>
          <w:sz w:val="32"/>
          <w:szCs w:val="32"/>
        </w:rPr>
        <w:t xml:space="preserve">10. Overall Rating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560"/>
        <w:gridCol w:w="28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Dimension</w:t>
            </w:r>
          </w:p>
        </w:tc>
        <w:tc>
          <w:tcPr>
            <w:tcW w:type="dxa" w:w="16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Rating</w:t>
            </w:r>
          </w:p>
        </w:tc>
        <w:tc>
          <w:tcPr>
            <w:tcW w:type="dxa" w:w="256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Headline Finding</w:t>
            </w:r>
          </w:p>
        </w:tc>
        <w:tc>
          <w:tcPr>
            <w:tcW w:type="dxa" w:w="2800"/>
            <w:tcBorders>
              <w:top w:val="single" w:color="1E3A5F" w:sz="1"/>
              <w:left w:val="single" w:color="1E3A5F" w:sz="1"/>
              <w:bottom w:val="single" w:color="1E3A5F" w:sz="1"/>
              <w:right w:val="single" w:color="1E3A5F"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Primary Recommendation</w:t>
            </w:r>
          </w:p>
        </w:tc>
      </w:tr>
      <w:tr>
        <w:tc>
          <w:tcPr>
            <w:tcW w:type="dxa" w:w="24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E293B"/>
                <w:sz w:val="18"/>
                <w:szCs w:val="18"/>
              </w:rPr>
              <w:t xml:space="preserve">Architecture Quality</w:t>
            </w:r>
          </w:p>
        </w:tc>
        <w:tc>
          <w:tcPr>
            <w:tcW w:type="dxa" w:w="16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2563EB"/>
                <w:sz w:val="18"/>
                <w:szCs w:val="18"/>
              </w:rPr>
              <w:t xml:space="preserve">B+  (Good)</w:t>
            </w:r>
          </w:p>
        </w:tc>
        <w:tc>
          <w:tcPr>
            <w:tcW w:type="dxa" w:w="25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2 missing ownership checks; no global guard</w:t>
            </w:r>
          </w:p>
        </w:tc>
        <w:tc>
          <w:tcPr>
            <w:tcW w:type="dxa" w:w="28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Global JWT guard; ownership checks on calls &amp; imports</w:t>
            </w:r>
          </w:p>
        </w:tc>
      </w:tr>
      <w:tr>
        <w:tc>
          <w:tcPr>
            <w:tcW w:type="dxa" w:w="24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E293B"/>
                <w:sz w:val="18"/>
                <w:szCs w:val="18"/>
              </w:rPr>
              <w:t xml:space="preserve">SOLID Adherence</w:t>
            </w:r>
          </w:p>
        </w:tc>
        <w:tc>
          <w:tcPr>
            <w:tcW w:type="dxa" w:w="16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6A34A"/>
                <w:sz w:val="18"/>
                <w:szCs w:val="18"/>
              </w:rPr>
              <w:t xml:space="preserve">A-  (Strong)</w:t>
            </w:r>
          </w:p>
        </w:tc>
        <w:tc>
          <w:tcPr>
            <w:tcW w:type="dxa" w:w="25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Minor any-typed objects in 3 services</w:t>
            </w:r>
          </w:p>
        </w:tc>
        <w:tc>
          <w:tcPr>
            <w:tcW w:type="dxa" w:w="28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Replace any with Prisma.XxxUpdateInput types</w:t>
            </w:r>
          </w:p>
        </w:tc>
      </w:tr>
      <w:tr>
        <w:tc>
          <w:tcPr>
            <w:tcW w:type="dxa" w:w="24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E293B"/>
                <w:sz w:val="18"/>
                <w:szCs w:val="18"/>
              </w:rPr>
              <w:t xml:space="preserve">Scalability</w:t>
            </w:r>
          </w:p>
        </w:tc>
        <w:tc>
          <w:tcPr>
            <w:tcW w:type="dxa" w:w="16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D97706"/>
                <w:sz w:val="18"/>
                <w:szCs w:val="18"/>
              </w:rPr>
              <w:t xml:space="preserve">C+  (Needs Work)</w:t>
            </w:r>
          </w:p>
        </w:tc>
        <w:tc>
          <w:tcPr>
            <w:tcW w:type="dxa" w:w="25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Single-node Redis + Postgres; in-process WS</w:t>
            </w:r>
          </w:p>
        </w:tc>
        <w:tc>
          <w:tcPr>
            <w:tcW w:type="dxa" w:w="28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HA Redis, read replica, Redis WS adapter</w:t>
            </w:r>
          </w:p>
        </w:tc>
      </w:tr>
      <w:tr>
        <w:tc>
          <w:tcPr>
            <w:tcW w:type="dxa" w:w="24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1E293B"/>
                <w:sz w:val="18"/>
                <w:szCs w:val="18"/>
              </w:rPr>
              <w:t xml:space="preserve">Security</w:t>
            </w:r>
          </w:p>
        </w:tc>
        <w:tc>
          <w:tcPr>
            <w:tcW w:type="dxa" w:w="16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bCs/>
                <w:color w:val="DC2626"/>
                <w:sz w:val="18"/>
                <w:szCs w:val="18"/>
              </w:rPr>
              <w:t xml:space="preserve">D  (Critical Gaps)</w:t>
            </w:r>
          </w:p>
        </w:tc>
        <w:tc>
          <w:tcPr>
            <w:tcW w:type="dxa" w:w="256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3 Critical issues including unauth WS + localStorage JWT</w:t>
            </w:r>
          </w:p>
        </w:tc>
        <w:tc>
          <w:tcPr>
            <w:tcW w:type="dxa" w:w="2800"/>
            <w:tcBorders>
              <w:top w:val="single" w:color="CBD5E1" w:sz="1"/>
              <w:left w:val="single" w:color="CBD5E1" w:sz="1"/>
              <w:bottom w:val="single" w:color="CBD5E1" w:sz="1"/>
              <w:right w:val="single" w:color="CBD5E1" w:sz="1"/>
            </w:tcBorders>
            <w:shd w:fill="F0F4FA" w:val="clear"/>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httpOnly cookies, WS JWT auth, webhook validation on</w:t>
            </w:r>
          </w:p>
        </w:tc>
      </w:tr>
      <w:tr>
        <w:tc>
          <w:tcPr>
            <w:tcW w:type="dxa" w:w="24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1E293B"/>
                <w:sz w:val="18"/>
                <w:szCs w:val="18"/>
              </w:rPr>
              <w:t xml:space="preserve">Overall</w:t>
            </w:r>
          </w:p>
        </w:tc>
        <w:tc>
          <w:tcPr>
            <w:tcW w:type="dxa" w:w="16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bCs/>
                <w:color w:val="D97706"/>
                <w:sz w:val="18"/>
                <w:szCs w:val="18"/>
              </w:rPr>
              <w:t xml:space="preserve">C+  (Pre-Prod)</w:t>
            </w:r>
          </w:p>
        </w:tc>
        <w:tc>
          <w:tcPr>
            <w:tcW w:type="dxa" w:w="256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Strong foundation; security hardening required before production</w:t>
            </w:r>
          </w:p>
        </w:tc>
        <w:tc>
          <w:tcPr>
            <w:tcW w:type="dxa" w:w="2800"/>
            <w:tcBorders>
              <w:top w:val="single" w:color="CBD5E1" w:sz="1"/>
              <w:left w:val="single" w:color="CBD5E1" w:sz="1"/>
              <w:bottom w:val="single" w:color="CBD5E1" w:sz="1"/>
              <w:right w:val="single" w:color="CBD5E1" w:sz="1"/>
            </w:tcBorders>
            <w:tcMar>
              <w:top w:type="dxa" w:w="70"/>
              <w:left w:type="dxa" w:w="140"/>
              <w:bottom w:type="dxa" w:w="70"/>
              <w:right w:type="dxa" w:w="140"/>
            </w:tcMar>
          </w:tcPr>
          <w:p>
            <w:pPr>
              <w:jc w:val="left"/>
            </w:pPr>
            <w:r>
              <w:rPr>
                <w:rFonts w:ascii="Arial" w:cs="Arial" w:eastAsia="Arial" w:hAnsi="Arial"/>
                <w:b w:val="false"/>
                <w:bCs w:val="false"/>
                <w:color w:val="1E293B"/>
                <w:sz w:val="18"/>
                <w:szCs w:val="18"/>
              </w:rPr>
              <w:t xml:space="preserve">Address all P0 and P1 items before live data ingestion</w:t>
            </w:r>
          </w:p>
        </w:tc>
      </w:tr>
    </w:tbl>
    <w:p>
      <w:pPr>
        <w:spacing w:before="120" w:after="0"/>
      </w:pPr>
      <w:r>
        <w:t xml:space="preserve"/>
      </w:r>
    </w:p>
    <w:p>
      <w:pPr>
        <w:spacing w:before="80" w:after="100"/>
      </w:pPr>
      <w:r>
        <w:rPr>
          <w:rFonts w:ascii="Arial" w:cs="Arial" w:eastAsia="Arial" w:hAnsi="Arial"/>
          <w:color w:val="1E293B"/>
          <w:sz w:val="20"/>
          <w:szCs w:val="20"/>
        </w:rPr>
        <w:t xml:space="preserve">The SignalHunt codebase demonstrates professional engineering discipline in its architecture. The domain-driven module structure, telephony abstraction, DTO serialisation pipeline, and BullMQ worker isolation are all production-quality patterns. The Critical security findings are not symptoms of poor architecture — they are known trade-offs documented in the README that simply must be resolved before the system handles real prospect data and live telephony at scale.</w:t>
      </w:r>
    </w:p>
    <w:p>
      <w:pPr>
        <w:spacing w:before="80" w:after="0"/>
      </w:pPr>
      <w:r>
        <w:t xml:space="preserve"/>
      </w:r>
    </w:p>
    <w:p>
      <w:pPr>
        <w:spacing w:before="80" w:after="100"/>
      </w:pPr>
      <w:r>
        <w:rPr>
          <w:rFonts w:ascii="Arial" w:cs="Arial" w:eastAsia="Arial" w:hAnsi="Arial"/>
          <w:color w:val="1E293B"/>
          <w:sz w:val="20"/>
          <w:szCs w:val="20"/>
        </w:rPr>
        <w:t xml:space="preserve">With the three P0 items addressed in Sprint 1 (cookie-based auth, WebSocket JWT validation, and webhook signature enforcement), the security posture improves from Critical to manageable. The remaining High findings are addressable within two sprints without architectural changes.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r>
      <w:rPr>
        <w:rFonts w:ascii="Arial" w:cs="Arial" w:eastAsia="Arial" w:hAnsi="Arial"/>
        <w:color w:val="475569"/>
        <w:sz w:val="16"/>
        <w:szCs w:val="16"/>
      </w:rPr>
      <w:t xml:space="preserve">  |  March 13,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jc w:val="right"/>
    </w:pPr>
    <w:r>
      <w:rPr>
        <w:rFonts w:ascii="Arial" w:cs="Arial" w:eastAsia="Arial" w:hAnsi="Arial"/>
        <w:color w:val="475569"/>
        <w:sz w:val="16"/>
        <w:szCs w:val="16"/>
      </w:rPr>
      <w:t xml:space="preserve">SignalHunt — Architecture &amp; Security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B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2B4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2B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2026-03-13T16:23:49.546Z</dcterms:created>
  <dcterms:modified xsi:type="dcterms:W3CDTF">2026-03-13T16:23:49.548Z</dcterms:modified>
</cp:coreProperties>
</file>

<file path=docProps/custom.xml><?xml version="1.0" encoding="utf-8"?>
<Properties xmlns="http://schemas.openxmlformats.org/officeDocument/2006/custom-properties" xmlns:vt="http://schemas.openxmlformats.org/officeDocument/2006/docPropsVTypes"/>
</file>