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Microsoft JhengHei" w:hAnsi="Microsoft JhengHei" w:eastAsia="Microsoft JhengHei"/>
          <w:b/>
          <w:color w:val="1B365D"/>
          <w:sz w:val="19"/>
        </w:rPr>
        <w:t>■ 信託業務專業測驗教材精進計畫 ｜ 專業審查與重構建言報告</w:t>
      </w:r>
    </w:p>
    <w:p>
      <w:pPr>
        <w:spacing w:before="120" w:after="120"/>
      </w:pPr>
      <w:r>
        <w:rPr>
          <w:rFonts w:ascii="Microsoft JhengHei" w:hAnsi="Microsoft JhengHei" w:eastAsia="Microsoft JhengHei"/>
          <w:b/>
          <w:color w:val="1B365D"/>
          <w:sz w:val="44"/>
        </w:rPr>
        <w:t>信託業務人員證照教材</w:t>
        <w:br/>
        <w:t>用詞與生活舉例全面優化建言書</w:t>
      </w:r>
    </w:p>
    <w:p>
      <w:pPr>
        <w:spacing w:before="0" w:after="280"/>
      </w:pPr>
      <w:r>
        <w:rPr>
          <w:rFonts w:ascii="Microsoft JhengHei" w:hAnsi="Microsoft JhengHei" w:eastAsia="Microsoft JhengHei"/>
          <w:b w:val="0"/>
          <w:color w:val="555555"/>
          <w:sz w:val="24"/>
        </w:rPr>
        <w:t>建立「法理嚴謹、金融實務、考題精確、直覺易懂」四位一體的現代化專業教材標竿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B365D"/>
                <w:sz w:val="20"/>
              </w:rPr>
              <w:t xml:space="preserve">【唯一指定審查範圍】 </w:t>
            </w:r>
            <w:r>
              <w:rPr>
                <w:rFonts w:ascii="Microsoft JhengHei" w:hAnsi="Microsoft JhengHei" w:eastAsia="Microsoft JhengHei"/>
                <w:b w:val="0"/>
                <w:color w:val="333333"/>
                <w:sz w:val="20"/>
              </w:rPr>
              <w:t>C:\Users\ehack\OneDrive\文件\Agent\證照考試</w:t>
              <w:br/>
            </w:r>
            <w:r>
              <w:rPr>
                <w:rFonts w:ascii="Microsoft JhengHei" w:hAnsi="Microsoft JhengHei" w:eastAsia="Microsoft JhengHei"/>
                <w:b/>
                <w:color w:val="1B365D"/>
                <w:sz w:val="20"/>
              </w:rPr>
              <w:t xml:space="preserve">【審查對象資產清單】 </w:t>
            </w:r>
            <w:r>
              <w:rPr>
                <w:rFonts w:ascii="Microsoft JhengHei" w:hAnsi="Microsoft JhengHei" w:eastAsia="Microsoft JhengHei"/>
                <w:b w:val="0"/>
                <w:color w:val="333333"/>
                <w:sz w:val="20"/>
              </w:rPr>
              <w:t>信託法規（c1-c5）與信託實務（c6-c11）共11章全教材文本、26組法規白話導讀、10組高頻觀念圖解分工、專有名詞術語表及代表題解析庫。</w:t>
              <w:br/>
            </w:r>
            <w:r>
              <w:rPr>
                <w:rFonts w:ascii="Microsoft JhengHei" w:hAnsi="Microsoft JhengHei" w:eastAsia="Microsoft JhengHei"/>
                <w:b/>
                <w:color w:val="1B365D"/>
                <w:sz w:val="20"/>
              </w:rPr>
              <w:t xml:space="preserve">【核心問題診斷發現】 </w:t>
            </w:r>
            <w:r>
              <w:rPr>
                <w:rFonts w:ascii="Microsoft JhengHei" w:hAnsi="Microsoft JhengHei" w:eastAsia="Microsoft JhengHei"/>
                <w:b w:val="0"/>
                <w:color w:val="333333"/>
                <w:sz w:val="20"/>
              </w:rPr>
              <w:t>現有教材雖致力於白話化，但普遍存在「口語化過度導致法意失真」、「生活舉例過於低齡缺乏金融實務感」、「關鍵考試數字與專用字眼遭簡化抹除」三大結構性痛點。</w:t>
              <w:br/>
            </w:r>
            <w:r>
              <w:rPr>
                <w:rFonts w:ascii="Microsoft JhengHei" w:hAnsi="Microsoft JhengHei" w:eastAsia="Microsoft JhengHei"/>
                <w:b/>
                <w:color w:val="1B365D"/>
                <w:sz w:val="20"/>
              </w:rPr>
              <w:t xml:space="preserve">【重構解決方案目標】 </w:t>
            </w:r>
            <w:r>
              <w:rPr>
                <w:rFonts w:ascii="Microsoft JhengHei" w:hAnsi="Microsoft JhengHei" w:eastAsia="Microsoft JhengHei"/>
                <w:b w:val="0"/>
                <w:color w:val="333333"/>
                <w:sz w:val="20"/>
              </w:rPr>
              <w:t>提出15大關鍵專業術語昇級對照、15組高傳真金融實務黃金案例、11大章逐節修訂建議，兼顧考證得分率與金融就業實戰力。</w:t>
              <w:br/>
            </w:r>
          </w:p>
        </w:tc>
      </w:tr>
    </w:tbl>
    <w:p>
      <w:pPr>
        <w:spacing w:after="240"/>
      </w:pPr>
    </w:p>
    <w:p>
      <w:pPr>
        <w:keepNext/>
        <w:spacing w:before="440" w:after="160"/>
      </w:pPr>
      <w:r>
        <w:rPr>
          <w:rFonts w:ascii="Microsoft JhengHei" w:hAnsi="Microsoft JhengHei" w:eastAsia="Microsoft JhengHei"/>
          <w:b/>
          <w:color w:val="1B365D"/>
          <w:sz w:val="32"/>
        </w:rPr>
        <w:t>第一章：現行教材用詞與舉例總體診斷</w:t>
      </w:r>
    </w:p>
    <w:p>
      <w:r>
        <w:rPr>
          <w:rFonts w:ascii="Microsoft JhengHei" w:hAnsi="Microsoft JhengHei" w:eastAsia="Microsoft JhengHei"/>
          <w:b w:val="0"/>
          <w:color w:val="333333"/>
          <w:sz w:val="21"/>
        </w:rPr>
        <w:t>經對指定目錄「C:\Users\ehack\OneDrive\文件\Agent\證照考試」內所有文字資產（包含 plain-laws.mjs、concepts.mjs、教材資料.json、representative-explanations.json 等）進行系統性逐行檢視與審查，現行教材在推動「學習減負」與「法條生活化」上有其良好初衷，建立了清晰的視覺化流程與條文對照；然而，在專業金融證照的標準檢驗下，現有版本存在以下三大核心盲點，亟待精準重構：</w:t>
      </w: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一、現行教材存在的三大核心痛點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2B547E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22"/>
              </w:rPr>
              <w:t>★ 痛點一：過度口語化造成法律核心定義失真（Over-simplification Trap）</w:t>
              <w:br/>
            </w:r>
            <w:r>
              <w:rPr>
                <w:rFonts w:ascii="Microsoft JhengHei" w:hAnsi="Microsoft JhengHei" w:eastAsia="Microsoft JhengHei"/>
                <w:b w:val="0"/>
                <w:color w:val="333333"/>
                <w:sz w:val="20"/>
              </w:rPr>
              <w:t>例如教材將「概括指定」改為「大方向指定」；將「受託人自有財產」改為「自己原有的財產」；將「聲請法院」改為「向法院提出申請」；將「物上代位性」形容為「私房錢換了模樣」。</w:t>
              <w:br/>
              <w:t>這種簡化切斷了學員在考場題目選項中識別『法定專有名詞』的能力。在台灣金融研訓院的信託測驗中，選項皆嚴格依據法條文字出題，若教材過度口語化，考生極易在考場面臨『觀念懂了卻認不出法條選項』的窘境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2B547E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22"/>
              </w:rPr>
              <w:t>★ 痛點二：生活比喻過於低齡幼稚，缺乏金融實務與權責深度（Lack of Professionalism）</w:t>
              <w:br/>
            </w:r>
            <w:r>
              <w:rPr>
                <w:rFonts w:ascii="Microsoft JhengHei" w:hAnsi="Microsoft JhengHei" w:eastAsia="Microsoft JhengHei"/>
                <w:b w:val="0"/>
                <w:color w:val="333333"/>
                <w:sz w:val="20"/>
              </w:rPr>
              <w:t>例如：將基金保管機構的法定監督審核職責比喻為「廚房看管食材」；將受託人忠實義務的利益衝突交易防範比喻為「拿退休金付自己的水電帳單」；將金錢信託投資指示比喻為「請人幫忙買菜」。</w:t>
              <w:br/>
              <w:t>信託從業人員面對的是高資產客戶、企業客戶與金融監理。拿退休金付個人帳單只是刑法最粗淺的『業務侵占』，根本無法引導學員理解信託法第25條至第27條精密的『利害關係人交易限制』、『禁止以自有財產買入信託財產』等核心合規機制；將保管機構比喻為食材保管員，更抹煞了保管銀行對投信越權交易依法必須『拒絕交割並通報金管會』的法定防火牆責任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2B547E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22"/>
              </w:rPr>
              <w:t>★ 痛點三：法規關鍵門檻與計算要件遭模糊化（Omission of Critical Examination Criteria）</w:t>
              <w:br/>
            </w:r>
            <w:r>
              <w:rPr>
                <w:rFonts w:ascii="Microsoft JhengHei" w:hAnsi="Microsoft JhengHei" w:eastAsia="Microsoft JhengHei"/>
                <w:b w:val="0"/>
                <w:color w:val="333333"/>
                <w:sz w:val="20"/>
              </w:rPr>
              <w:t>例如在信託稅制中，將贈與稅與所得稅的現值折算僅簡化為「用指定的利率及複利方式折算」，卻未指明考試常考的『中華郵政一年期定儲固定利率』與『折現公式 PV = FV / (1+i)^n』；</w:t>
              <w:br/>
              <w:t>又如將信託業法第39條的營業報告與財務申報形容為「像不同繳交作業」，漏掉了最關鍵的『半年報經會計師核閱（2個月內）』與『年報經會計師查核簽證（4個月內）』之查核等級差異；</w:t>
              <w:br/>
              <w:t>在金融資產證券化中，更出現將 SPT 與 SPC 混稱為『特殊目的信託公司』的重大法理混淆。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二、優化教材的四大指導原則</w:t>
      </w:r>
    </w:p>
    <w:p>
      <w:r>
        <w:rPr>
          <w:rFonts w:ascii="Microsoft JhengHei" w:hAnsi="Microsoft JhengHei" w:eastAsia="Microsoft JhengHei"/>
          <w:b w:val="0"/>
          <w:color w:val="333333"/>
          <w:sz w:val="21"/>
        </w:rPr>
        <w:t>為此，本建言書制定「四位一體」優化原則，作為後續教材修訂之最高指導準繩：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none"/>
          <w:bottom w:val="single" w:sz="8" w:space="0" w:color="1B365D"/>
          <w:right w:val="none"/>
          <w:insideH w:val="single" w:sz="4" w:space="0" w:color="D0D7DE"/>
          <w:insideV w:val="none"/>
        </w:tblBorders>
      </w:tblPr>
      <w:tblGrid>
        <w:gridCol w:w="4514"/>
        <w:gridCol w:w="4514"/>
      </w:tblGrid>
      <w:tr>
        <w:tc>
          <w:tcPr>
            <w:tcW w:type="dxa" w:w="4514"/>
            <w:shd w:fill="1B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核心原則</w:t>
            </w:r>
          </w:p>
        </w:tc>
        <w:tc>
          <w:tcPr>
            <w:tcW w:type="dxa" w:w="4514"/>
            <w:shd w:fill="1B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具體落地方法與成效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20"/>
              </w:rPr>
              <w:t>原則 1：雙軌標註法（Dual-Track）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333333"/>
                <w:sz w:val="19"/>
              </w:rPr>
              <w:t>保留生活化直覺解釋，但必須緊扣法定專有名詞。採用『法定術語（白話直覺解讀）』格式，例如：『受託人自有財產（即銀行自己公司的資產，非信託專戶財產）』，兼顧理解與考場作答。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20"/>
              </w:rPr>
              <w:t>原則 2：高傳真金融場景（High-Fidelity Context）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333333"/>
                <w:sz w:val="19"/>
              </w:rPr>
              <w:t>以真實財富管理、高齡傳承、企業員工福利、不動產開發融資等實際銀行業務為例，淘汰買菜、付個人水電帳單等低齡例子，培養專業從業人員的職業直覺。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20"/>
              </w:rPr>
              <w:t>原則 3：考點盲區防禦（Exam Precision）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333333"/>
                <w:sz w:val="19"/>
              </w:rPr>
              <w:t>凡涉及法條數字、除斥期間、申報期限、折現基準利率、特定主管機關（如目的事業主管機關 vs 金管會），均明確寫出法定關鍵詞，不留模稜兩可的推測空間。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20"/>
              </w:rPr>
              <w:t>原則 4：法理結構清晰化（Structural Rigor）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333333"/>
                <w:sz w:val="19"/>
              </w:rPr>
              <w:t>嚴格區分『債權 vs 物權』、『有效成立 vs 對抗要件』、『自益 vs 他益』、『真實出售 vs 擔保融資』，避免觀念混淆。</w:t>
            </w:r>
          </w:p>
        </w:tc>
      </w:tr>
    </w:tbl>
    <w:p>
      <w:pPr>
        <w:spacing w:after="280"/>
      </w:pPr>
    </w:p>
    <w:p>
      <w:pPr>
        <w:keepNext/>
        <w:spacing w:before="440" w:after="160"/>
      </w:pPr>
      <w:r>
        <w:rPr>
          <w:rFonts w:ascii="Microsoft JhengHei" w:hAnsi="Microsoft JhengHei" w:eastAsia="Microsoft JhengHei"/>
          <w:b/>
          <w:color w:val="1B365D"/>
          <w:sz w:val="32"/>
        </w:rPr>
        <w:t>第二章：全書關鍵專業術語（Terminology）優化精選對照</w:t>
      </w:r>
    </w:p>
    <w:p>
      <w:r>
        <w:rPr>
          <w:rFonts w:ascii="Microsoft JhengHei" w:hAnsi="Microsoft JhengHei" w:eastAsia="Microsoft JhengHei"/>
          <w:b w:val="0"/>
          <w:color w:val="333333"/>
          <w:sz w:val="21"/>
        </w:rPr>
        <w:t>針對現行教材中 15 個出現頻率最高、最容易產生法律偏差或導致考生在試題選項中產生混淆的專有名詞，逐項進行「現有說法 vs 潛在缺陷 vs 建議優化說法 vs 考題關聯分析」之深入剖析：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none"/>
          <w:bottom w:val="single" w:sz="8" w:space="0" w:color="1B365D"/>
          <w:right w:val="none"/>
          <w:insideH w:val="single" w:sz="4" w:space="0" w:color="D0D7DE"/>
          <w:insideV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法定專業術語</w:t>
            </w:r>
          </w:p>
        </w:tc>
        <w:tc>
          <w:tcPr>
            <w:tcW w:type="dxa" w:w="2257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現有教材說法</w:t>
            </w:r>
          </w:p>
        </w:tc>
        <w:tc>
          <w:tcPr>
            <w:tcW w:type="dxa" w:w="2257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潛在問題與考題失真風險</w:t>
            </w:r>
          </w:p>
        </w:tc>
        <w:tc>
          <w:tcPr>
            <w:tcW w:type="dxa" w:w="2257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建議升級黃金說法</w:t>
            </w:r>
          </w:p>
        </w:tc>
      </w:tr>
      <w:tr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概括指定營運範圍或方法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8"/>
              </w:rPr>
              <w:t>大方向指定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7"/>
              </w:rPr>
              <w:t>信託業法施行細則第7條之法定專有名詞為「委託人指定營運範圍或方法（俗稱概括指定）」。考試題目與選項100%使用「概括指定」，若寫成「大方向指定」，學員在考場看到「概括指定」時無法即時反應，且口語化模糊了「限定市場或資產類別，由受託人選股選時」的法定裁量要件。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委託人概括指定營運範圍或方法（委託人限定投資類別或市場範圍，具體標的與買賣時點由受託人全權裁量）</w:t>
            </w:r>
          </w:p>
          <w:p>
            <w:pPr>
              <w:spacing w:before="40"/>
            </w:pPr>
            <w:r>
              <w:rPr>
                <w:rFonts w:ascii="Microsoft JhengHei" w:hAnsi="Microsoft JhengHei" w:eastAsia="Microsoft JhengHei"/>
                <w:b w:val="0"/>
                <w:color w:val="27AE60"/>
                <w:sz w:val="16"/>
              </w:rPr>
              <w:t>📌 高頻考點：信託業法施行細則第7條運用決定權分類（特定 vs 指定 vs 不指定）。</w:t>
            </w:r>
          </w:p>
        </w:tc>
      </w:tr>
      <w:tr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受託人自有財產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8"/>
              </w:rPr>
              <w:t>自己原有的財產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7"/>
              </w:rPr>
              <w:t>「自己原有的財產」語意模糊，常被誤解為「委託人原先交付的財產」或「過去擁有的財產」。在信託法理中，「自有財產」係指受託機構本身資產負債表上的公司資產，與信託專戶財產嚴格隔離，是分別會計與防範利益衝突的基石。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受託人自有財產（受託機構自己公司的資產，與信託財產嚴格獨立隔離、分開立帳）</w:t>
            </w:r>
          </w:p>
          <w:p>
            <w:pPr>
              <w:spacing w:before="40"/>
            </w:pPr>
            <w:r>
              <w:rPr>
                <w:rFonts w:ascii="Microsoft JhengHei" w:hAnsi="Microsoft JhengHei" w:eastAsia="Microsoft JhengHei"/>
                <w:b w:val="0"/>
                <w:color w:val="27AE60"/>
                <w:sz w:val="16"/>
              </w:rPr>
              <w:t>📌 信託法第24條（分別管理）、信託業法第25條（禁止以自有財產受讓信託財產）。</w:t>
            </w:r>
          </w:p>
        </w:tc>
      </w:tr>
      <w:tr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聲請法院（司法非訟裁定）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8"/>
              </w:rPr>
              <w:t>向法院提出申請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7"/>
              </w:rPr>
              <w:t>台灣法律體系中，人民向行政機關主張權益使用「申請」，向民事司法法院請求救濟則使用「聲請」（非訟或保全程序）或「起訴」。教材若混為一談，學員容易混淆行政處分與司法救濟程序。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向民事法院聲請裁定撤銷（司法非訟救濟程序，對法院用「聲請」，對行政機關用「申請」）</w:t>
            </w:r>
          </w:p>
          <w:p>
            <w:pPr>
              <w:spacing w:before="40"/>
            </w:pPr>
            <w:r>
              <w:rPr>
                <w:rFonts w:ascii="Microsoft JhengHei" w:hAnsi="Microsoft JhengHei" w:eastAsia="Microsoft JhengHei"/>
                <w:b w:val="0"/>
                <w:color w:val="27AE60"/>
                <w:sz w:val="16"/>
              </w:rPr>
              <w:t>📌 信託法第18條受託人違法處分時受益人之撤銷權、第12條強制執行異議程序。</w:t>
            </w:r>
          </w:p>
        </w:tc>
      </w:tr>
      <w:tr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物上代位性（變形財產之同一性）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8"/>
              </w:rPr>
              <w:t>財產換了模樣、私房錢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7"/>
              </w:rPr>
              <w:t>用「私房錢」過於俗氣且缺乏法意。「物上代位性」在信託法第9條第2項的核心法理是：信託財產因管理、處分、滅失或毀損所取得之權利（如變賣價金、保險理賠金、損害賠償），依法「自動取得信託財產同一法律地位」，繼續享有獨立性與受保護效力。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信託財產的物上代位性（換形不換質：因信託財產所衍生變賣之價款、損害賠償或保險給付，依法直接繼承信託財產之獨立地位，不得挪為受託人自有資產）</w:t>
            </w:r>
          </w:p>
          <w:p>
            <w:pPr>
              <w:spacing w:before="40"/>
            </w:pPr>
            <w:r>
              <w:rPr>
                <w:rFonts w:ascii="Microsoft JhengHei" w:hAnsi="Microsoft JhengHei" w:eastAsia="Microsoft JhengHei"/>
                <w:b w:val="0"/>
                <w:color w:val="27AE60"/>
                <w:sz w:val="16"/>
              </w:rPr>
              <w:t>📌 信託法第9條（信託財產範圍）、第12條（阻擋受託人債權人強制執行）。</w:t>
            </w:r>
          </w:p>
        </w:tc>
      </w:tr>
      <w:tr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忠實義務與自易禁止（利益衝突防範）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8"/>
              </w:rPr>
              <w:t>受託人不能拿退休金付自己的帳單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7"/>
              </w:rPr>
              <w:t>拿退休金付個人水電帳單屬於刑法「業務侵占罪」，程度遠低於信託法「忠實義務（Duty of Loyalty）」。信託法規最常考的盲區在於合法的受託人是否能「左手賣右手」或「將滯銷債券倒貨給信託帳戶」，此乃精密的利害關係人防弊規範。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受託人忠實義務與利益衝突禁止（嚴禁內線圖利自己、嚴禁左手賣右手，除法定例外並經受益人書面同意外，絕對禁止以自有財產受讓信託財產）</w:t>
            </w:r>
          </w:p>
          <w:p>
            <w:pPr>
              <w:spacing w:before="40"/>
            </w:pPr>
            <w:r>
              <w:rPr>
                <w:rFonts w:ascii="Microsoft JhengHei" w:hAnsi="Microsoft JhengHei" w:eastAsia="Microsoft JhengHei"/>
                <w:b w:val="0"/>
                <w:color w:val="27AE60"/>
                <w:sz w:val="16"/>
              </w:rPr>
              <w:t>📌 信託法第25-27條、信託業法第25條及第27條（防範利害關係人利益衝突）。</w:t>
            </w:r>
          </w:p>
        </w:tc>
      </w:tr>
      <w:tr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投資指示與獨立託管審核（雙軌制衡）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8"/>
              </w:rPr>
              <w:t>大廚房：投信決定菜單，保管機構看管食材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7"/>
              </w:rPr>
              <w:t>「看管食材」比喻把保管銀行矮化成倉庫管理員，忽略了保管機構依法擁有的關鍵武器——「合法性實質審核、越權交易拒絕交割、超限通報金管會」。保管銀行是具有專業獨立性的金融防火牆，而非被動的食材管理者。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投資決策與資產保管雙軌分立（投信下達投資指令，保管銀行獨立開戶保管、審核指示合法性、款券交割與越權監督通報）</w:t>
            </w:r>
          </w:p>
          <w:p>
            <w:pPr>
              <w:spacing w:before="40"/>
            </w:pPr>
            <w:r>
              <w:rPr>
                <w:rFonts w:ascii="Microsoft JhengHei" w:hAnsi="Microsoft JhengHei" w:eastAsia="Microsoft JhengHei"/>
                <w:b w:val="0"/>
                <w:color w:val="27AE60"/>
                <w:sz w:val="16"/>
              </w:rPr>
              <w:t>📌 投信投顧法第5條、全權委託保管機構越權交易之處理程序。</w:t>
            </w:r>
          </w:p>
        </w:tc>
      </w:tr>
      <w:tr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郵政儲金一年期定儲固定利率複利折現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8"/>
              </w:rPr>
              <w:t>法規用指定的利率及複利方式折算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7"/>
              </w:rPr>
              <w:t>模糊了考題中必背之關鍵基準！信託稅制中最常考計算與法條選擇題的核心正是「中華郵政股份有限公司一年期定期儲金固定利率」與「依年複利折算現值公式」，若只寫「指定利率」，考生失分率極高。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按信託成立時「中華郵政一年期定期儲金固定利率」，採複利方式折算現值（本金現值 PV = FV / (1+i)^n；孳息現值 = 本金總額 - 本金現值）</w:t>
            </w:r>
          </w:p>
          <w:p>
            <w:pPr>
              <w:spacing w:before="40"/>
            </w:pPr>
            <w:r>
              <w:rPr>
                <w:rFonts w:ascii="Microsoft JhengHei" w:hAnsi="Microsoft JhengHei" w:eastAsia="Microsoft JhengHei"/>
                <w:b w:val="0"/>
                <w:color w:val="27AE60"/>
                <w:sz w:val="16"/>
              </w:rPr>
              <w:t>📌 遺產及贈與稅法第10條之1、第10條之2（信託權利估價計算題必考）。</w:t>
            </w:r>
          </w:p>
        </w:tc>
      </w:tr>
      <w:tr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特殊目的信託（SPT）與特殊目的公司（SPC）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8"/>
              </w:rPr>
              <w:t>特殊目的信託公司與參與機構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7"/>
              </w:rPr>
              <w:t>法律上並不存在「特殊目的信託公司」這種混成名詞！台灣資產證券化區分為以信託為架構的「特殊目的信託（SPT）」與以公司組織為架構的「特殊目的公司（SPC）」，合稱會讓考生誤認有一種特許公司組織叫信託公司。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金融資產證券化雙架構：特殊目的信託（SPT，信託架構發行受益證券）與特殊目的公司（SPC，特設法人發行資產基礎證券）</w:t>
            </w:r>
          </w:p>
          <w:p>
            <w:pPr>
              <w:spacing w:before="40"/>
            </w:pPr>
            <w:r>
              <w:rPr>
                <w:rFonts w:ascii="Microsoft JhengHei" w:hAnsi="Microsoft JhengHei" w:eastAsia="Microsoft JhengHei"/>
                <w:b w:val="0"/>
                <w:color w:val="27AE60"/>
                <w:sz w:val="16"/>
              </w:rPr>
              <w:t>📌 金融資產證券化條例第4條（發行主體、證券種類與資產池隔離）。</w:t>
            </w:r>
          </w:p>
        </w:tc>
      </w:tr>
      <w:tr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信託業禁止擔保本金與保證最低收益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8"/>
              </w:rPr>
              <w:t>銀行接受信託，不是把每一筆信託都變成定存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7"/>
              </w:rPr>
              <w:t>「不是變成定存」只是日常描述，無法凸顯法律強制禁止之嚴厲性。信託業法第31條明定「信託業不得承諾擔保本金或最低收益率」，即使委託人簽切結書同意亦屬無效；若底層商品有保本承諾，承諾主體係發行機構而非受託銀行。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信託業法嚴格禁止受託人承諾擔保本金或保證最低收益率（即使委託人要求亦屬絕對無效；若商品具發行保本機制，受託銀行僅係代理轉介，絕不負本金擔保責任）</w:t>
            </w:r>
          </w:p>
          <w:p>
            <w:pPr>
              <w:spacing w:before="40"/>
            </w:pPr>
            <w:r>
              <w:rPr>
                <w:rFonts w:ascii="Microsoft JhengHei" w:hAnsi="Microsoft JhengHei" w:eastAsia="Microsoft JhengHei"/>
                <w:b w:val="0"/>
                <w:color w:val="27AE60"/>
                <w:sz w:val="16"/>
              </w:rPr>
              <w:t>📌 信託業法第31條（禁止保本保息）、行銷訂約管理辦法。</w:t>
            </w:r>
          </w:p>
        </w:tc>
      </w:tr>
      <w:tr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信託登記之公示與對抗要件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8"/>
              </w:rPr>
              <w:t>不能向外主張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7"/>
              </w:rPr>
              <w:t>口語「不能向外主張」忽略了「未辦登記＝信託仍有效成立，但無法阻擋第三人查封拍賣」的關鍵法理差異。許多考生誤以為未登記則信託無效，導致重大失分。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信託登記為法定對抗要件而非成立要件（未辦理信託登記者，信託在委託人與受託人間債權仍屬有效，但喪失對抗善意第三人及阻擋債權人查封之物權效力）</w:t>
            </w:r>
          </w:p>
          <w:p>
            <w:pPr>
              <w:spacing w:before="40"/>
            </w:pPr>
            <w:r>
              <w:rPr>
                <w:rFonts w:ascii="Microsoft JhengHei" w:hAnsi="Microsoft JhengHei" w:eastAsia="Microsoft JhengHei"/>
                <w:b w:val="0"/>
                <w:color w:val="27AE60"/>
                <w:sz w:val="16"/>
              </w:rPr>
              <w:t>📌 信託法第4條第1項、不動產信託登記公示原則。</w:t>
            </w:r>
          </w:p>
        </w:tc>
      </w:tr>
      <w:tr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法定報告申報期限與會計師查核等級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8"/>
              </w:rPr>
              <w:t>報給主管機關的文件，要分半年版與全年版……像不同繳交作業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7"/>
              </w:rPr>
              <w:t>將嚴格的法定監理程序比喻為「交作業」，嚴重模糊了關鍵考試數字與查核層級：半年報是「2個月內經會計師核閱」，年報是「4個月內經會計師查核簽證」，此外還有每季的「1個月內評審信託財產」。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信託業法定定期報告體系：半年報「2個月內經會計師核閱」、年報「4個月內經會計師查核簽證」、季評審「1個月內財產評審」</w:t>
            </w:r>
          </w:p>
          <w:p>
            <w:pPr>
              <w:spacing w:before="40"/>
            </w:pPr>
            <w:r>
              <w:rPr>
                <w:rFonts w:ascii="Microsoft JhengHei" w:hAnsi="Microsoft JhengHei" w:eastAsia="Microsoft JhengHei"/>
                <w:b w:val="0"/>
                <w:color w:val="27AE60"/>
                <w:sz w:val="16"/>
              </w:rPr>
              <w:t>📌 信託業法第39條、信託業法施行細則第17-18條。</w:t>
            </w:r>
          </w:p>
        </w:tc>
      </w:tr>
      <w:tr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所得稅實質課稅原則與穿透課稅（導管原則）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8"/>
              </w:rPr>
              <w:t>今年賺到的所得與今年是否收到現金是兩件事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7"/>
              </w:rPr>
              <w:t>僅強調「收現時點」並未講出核心法理。信託稅制的核心在於「導管原則（Conduit Theory）」：信託專戶僅為資金管道，所得於「發生年度」即穿透至受益人申報綜合所得稅，受託人負有扣繳憑單開立義務。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信託所得之實質穿透課稅原則（導管原則：信託財產於發生年度所產生之租金、利息或股利，依法即時穿透歸課為受益人當年度之所得，非延至實際現金撥付年度才課稅）</w:t>
            </w:r>
          </w:p>
          <w:p>
            <w:pPr>
              <w:spacing w:before="40"/>
            </w:pPr>
            <w:r>
              <w:rPr>
                <w:rFonts w:ascii="Microsoft JhengHei" w:hAnsi="Microsoft JhengHei" w:eastAsia="Microsoft JhengHei"/>
                <w:b w:val="0"/>
                <w:color w:val="27AE60"/>
                <w:sz w:val="16"/>
              </w:rPr>
              <w:t>📌 所得稅法第3條之4（信託專戶穿透課稅與受託人申報義務）。</w:t>
            </w:r>
          </w:p>
        </w:tc>
      </w:tr>
      <w:tr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金錢信託運用決定權歸屬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8"/>
              </w:rPr>
              <w:t>像請人幫忙買菜：指定買哪一項是具體指示，指定挑哪類是範圍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7"/>
              </w:rPr>
              <w:t>買菜比喻過於輕薄，且無法涵蓋「不指定金錢信託」法定極為嚴格的投資標的清單（信託業法第32條僅限存款、公債、金融債、短期票券）。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金錢信託依「運用決定權」歸屬分類：特定（委託人具體指示）、指定（委託人概括指定範圍，銀行選標的）、不指定（銀行全權決定但嚴限法定四類穩健標的）</w:t>
            </w:r>
          </w:p>
          <w:p>
            <w:pPr>
              <w:spacing w:before="40"/>
            </w:pPr>
            <w:r>
              <w:rPr>
                <w:rFonts w:ascii="Microsoft JhengHei" w:hAnsi="Microsoft JhengHei" w:eastAsia="Microsoft JhengHei"/>
                <w:b w:val="0"/>
                <w:color w:val="27AE60"/>
                <w:sz w:val="16"/>
              </w:rPr>
              <w:t>📌 信託業法施行細則第7條、信託業法第32條（營運範圍法定限制）。</w:t>
            </w:r>
          </w:p>
        </w:tc>
      </w:tr>
      <w:tr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不動產投資信託基金（REIT）運作型態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8"/>
              </w:rPr>
              <w:t>REIT先募資投資；REAT先有不動產再做證券化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7"/>
              </w:rPr>
              <w:t>記憶方向良好，但漏掉了考題最愛考的基金型態：「REIT原則上以封閉型為限，經主管機關核准者得募集附買回限制之開放型基金」，且REIT具備不動產股權證券性質，每年應分配收益達90%以上。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REIT（不動產投資信託基金）：集合大眾金錢投資不動產，本質為股權型收益憑證；原則為封閉型基金（可在集中市場買賣），經核准始得募集附買回限制之開放型基金</w:t>
            </w:r>
          </w:p>
          <w:p>
            <w:pPr>
              <w:spacing w:before="40"/>
            </w:pPr>
            <w:r>
              <w:rPr>
                <w:rFonts w:ascii="Microsoft JhengHei" w:hAnsi="Microsoft JhengHei" w:eastAsia="Microsoft JhengHei"/>
                <w:b w:val="0"/>
                <w:color w:val="27AE60"/>
                <w:sz w:val="16"/>
              </w:rPr>
              <w:t>📌 不動產證券化條例第4條、第16條（封閉型原則與開放型例外）。</w:t>
            </w:r>
          </w:p>
        </w:tc>
      </w:tr>
      <w:tr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公益信託之目的事業主管機關許可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8"/>
              </w:rPr>
              <w:t>不是在契約上寫「公益」兩字就成立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555555"/>
                <w:sz w:val="17"/>
              </w:rPr>
              <w:t>雖強調不能隨便自稱公益，但考點最常考的是「主管機關是誰」以及「必設信託監察人」。公益信託的主管機關是該業務之「目的事業主管機關」（如教育公益歸教育部、文化公益歸文化部），而非一概由金管會管轄。</w:t>
            </w:r>
          </w:p>
        </w:tc>
        <w:tc>
          <w:tcPr>
            <w:tcW w:type="dxa" w:w="2257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公益信託特許制：設立及受託人資格須經「該目的事業主管機關」特許（非一律由金管會管轄），並強制「必設信託監察人」實施獨立監督與每年財務核備</w:t>
            </w:r>
          </w:p>
          <w:p>
            <w:pPr>
              <w:spacing w:before="40"/>
            </w:pPr>
            <w:r>
              <w:rPr>
                <w:rFonts w:ascii="Microsoft JhengHei" w:hAnsi="Microsoft JhengHei" w:eastAsia="Microsoft JhengHei"/>
                <w:b w:val="0"/>
                <w:color w:val="27AE60"/>
                <w:sz w:val="16"/>
              </w:rPr>
              <w:t>📌 信託法第70條（許可申請）、第72條（主管機關監督）、第75條（必設監察人）。</w:t>
            </w:r>
          </w:p>
        </w:tc>
      </w:tr>
    </w:tbl>
    <w:p>
      <w:pPr>
        <w:spacing w:after="280"/>
      </w:pPr>
    </w:p>
    <w:p>
      <w:pPr>
        <w:keepNext/>
        <w:spacing w:before="440" w:after="160"/>
      </w:pPr>
      <w:r>
        <w:rPr>
          <w:rFonts w:ascii="Microsoft JhengHei" w:hAnsi="Microsoft JhengHei" w:eastAsia="Microsoft JhengHei"/>
          <w:b/>
          <w:color w:val="1B365D"/>
          <w:sz w:val="32"/>
        </w:rPr>
        <w:t>第三章：全書核心生活比喻與情境舉例（Analogy &amp; Examples）深度重構</w:t>
      </w:r>
    </w:p>
    <w:p>
      <w:r>
        <w:rPr>
          <w:rFonts w:ascii="Microsoft JhengHei" w:hAnsi="Microsoft JhengHei" w:eastAsia="Microsoft JhengHei"/>
          <w:b w:val="0"/>
          <w:color w:val="333333"/>
          <w:sz w:val="21"/>
        </w:rPr>
        <w:t>生活比喻的真諦是「化繁為簡」而非「低齡簡化」。本章針對現行教材中過於童趣、脫離金融實務或容易產生法律誤解的 15 組生活舉例，進行結構化重構。每個升級案例均提供真實金融情境、法定構成要件、考點防禦解析及考場秒殺解題口訣：</w:t>
      </w: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【CASE-01】信託基本關係與信託財產獨立性（委託人／受託人／受益人）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1B365D"/>
          <w:right w:val="none"/>
          <w:insideH w:val="single" w:sz="4" w:space="0" w:color="CBD5E1"/>
          <w:insideV w:val="none"/>
        </w:tblBorders>
      </w:tblPr>
      <w:tblGrid>
        <w:gridCol w:w="4514"/>
        <w:gridCol w:w="4514"/>
      </w:tblGrid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現行教材舉例</w:t>
            </w:r>
          </w:p>
        </w:tc>
        <w:tc>
          <w:tcPr>
            <w:tcW w:type="dxa" w:w="4514"/>
            <w:shd w:fill="E2E8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9"/>
              </w:rPr>
              <w:t>媽媽把一筆錢交給受託人，約定每月支付孩子的學費。媽媽是委託人，管理錢的人是受託人，孩子是受益人。受託人雖然管理財產，並不因此能把錢拿來當自己的。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潛在盲點與考題風險</w:t>
            </w:r>
          </w:p>
        </w:tc>
        <w:tc>
          <w:tcPr>
            <w:tcW w:type="dxa" w:w="4514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333333"/>
                <w:sz w:val="18"/>
              </w:rPr>
              <w:t>範例過於簡略，僅是傳統的三方定義，未能延伸至現代高齡社會最熱門的「自益兼他益信託」、財產交付後的「名義移轉」與「阻擋委託人或受託人債權人扣押」的信託財產獨立性精髓，無法引導學員理解實務信託架構。</w:t>
            </w:r>
          </w:p>
        </w:tc>
      </w:tr>
      <w:tr>
        <w:tc>
          <w:tcPr>
            <w:tcW w:type="dxa" w:w="451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建議升級之黃金範例</w:t>
            </w:r>
          </w:p>
        </w:tc>
        <w:tc>
          <w:tcPr>
            <w:tcW w:type="dxa" w:w="4514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【高齡安養與二代教育金傳承信託】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王老先生（委託人）將 1,000 萬元資金信託移轉予臺灣銀行信託部（受託人），簽訂信託契約，約定受託銀行每月撥付 3 萬元作為王老先生的生活安養費（自益信託部分），並約定在孫子小明考上大學後，每學期撥付 10 萬元學雜費與生活獎勵金（他益信託部分）。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此時法律關係極其嚴謹：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① 財產所有權名義已合法移轉給臺銀信託專戶，王老先生若日後經商失利遭債權人追討，債權人不得向該信託專戶強制執行（信託財產獨立性）；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② 臺銀受託人必須將該 1,000 萬元與自有資產嚴格分開列帳管理（分別管理義務）；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③ 小明享有學費給付之權利，王老先生應於信託成立時，依遺產及贈與稅法申報贈與小明享有信託利益之權利。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核心法理與解題口訣</w:t>
            </w:r>
          </w:p>
        </w:tc>
        <w:tc>
          <w:tcPr>
            <w:tcW w:type="dxa" w:w="4514"/>
            <w:shd w:fill="F0FF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27AE60"/>
                <w:sz w:val="19"/>
              </w:rPr>
              <w:t>「移轉才成信託、專戶獨立保全、自益他益並存、成立即報贈與」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【CASE-02】信託登記之公示與對抗效力（信託法第4條）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1B365D"/>
          <w:right w:val="none"/>
          <w:insideH w:val="single" w:sz="4" w:space="0" w:color="CBD5E1"/>
          <w:insideV w:val="none"/>
        </w:tblBorders>
      </w:tblPr>
      <w:tblGrid>
        <w:gridCol w:w="4514"/>
        <w:gridCol w:w="4514"/>
      </w:tblGrid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現行教材舉例</w:t>
            </w:r>
          </w:p>
        </w:tc>
        <w:tc>
          <w:tcPr>
            <w:tcW w:type="dxa" w:w="4514"/>
            <w:shd w:fill="E2E8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9"/>
              </w:rPr>
              <w:t>房子登記給受託人，不代表他可以隨意出售。先確認信託是否成立，再看應辦的信託登記，最後看契約允許出租、出售或借款到什麼程度。未公示的對抗問題不等於信託一律無效。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潛在盲點與考題風險</w:t>
            </w:r>
          </w:p>
        </w:tc>
        <w:tc>
          <w:tcPr>
            <w:tcW w:type="dxa" w:w="4514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333333"/>
                <w:sz w:val="18"/>
              </w:rPr>
              <w:t>「未公示的對抗問題不等於信託一律無效」這句話雖然正確，但學員無法在腦海中具象化「為什麼未登記信託依然有效，卻又會被法院拍賣」的法律邏輯，容易在考場的「有效 vs 得對抗」題目中選錯答案。</w:t>
            </w:r>
          </w:p>
        </w:tc>
      </w:tr>
      <w:tr>
        <w:tc>
          <w:tcPr>
            <w:tcW w:type="dxa" w:w="451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建議升級之黃金範例</w:t>
            </w:r>
          </w:p>
        </w:tc>
        <w:tc>
          <w:tcPr>
            <w:tcW w:type="dxa" w:w="4514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【精華地漏辦信託專簿登記之對抗風險】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陳董因年事已高，將名下一筆市價 5,000 萬元的精華土地以信託方式移轉給好友張三管理。雙方簽署了正規信託契約，地政士在辦理所有權過戶時，僅辦理了一般「買賣／贈與移轉登記」，卻漏未勾選並辦理「信託登記（未載明為信託財產並檢附信託專簿）」：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① 內部關係（有效成立）：陳董與張三之間的信託契約在雙方當事人間絕對合法有效！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② 外部關係（致命陷阱）：由於土地登記簿謄本外觀上僅顯示土地為張三個人所有，未有任何信託字樣；若張三私自欠債，其債權人李四向民事執行處聲請查封拍賣該土地時，陳董與張三「不得以該土地為信託財產為由對抗李四」，李四仍得合法拍賣取償！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結論：信託登記是「對抗第三人的盾牌」，未辦登記並非信託無效，而是這面盾牌沒有舉起來！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核心法理與解題口訣</w:t>
            </w:r>
          </w:p>
        </w:tc>
        <w:tc>
          <w:tcPr>
            <w:tcW w:type="dxa" w:w="4514"/>
            <w:shd w:fill="F0FF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27AE60"/>
                <w:sz w:val="19"/>
              </w:rPr>
              <w:t>「內部契約有效成立，外部登記始生對抗；無登記如無盾牌，債權查封無法抵擋」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【CASE-03】委託人詐害債權之撤銷訴訟（信託法第6條）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1B365D"/>
          <w:right w:val="none"/>
          <w:insideH w:val="single" w:sz="4" w:space="0" w:color="CBD5E1"/>
          <w:insideV w:val="none"/>
        </w:tblBorders>
      </w:tblPr>
      <w:tblGrid>
        <w:gridCol w:w="4514"/>
        <w:gridCol w:w="4514"/>
      </w:tblGrid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現行教材舉例</w:t>
            </w:r>
          </w:p>
        </w:tc>
        <w:tc>
          <w:tcPr>
            <w:tcW w:type="dxa" w:w="4514"/>
            <w:shd w:fill="E2E8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9"/>
              </w:rPr>
              <w:t>甲欠乙錢，卻把財產放進信託，使乙的債權受害。乙符合條件時，得向法院請求撤銷；不是乙一說反對，財產就自動回來。兩種撤銷權都有知悉原因起1年、行為起逾10年的期限。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潛在盲點與考題風險</w:t>
            </w:r>
          </w:p>
        </w:tc>
        <w:tc>
          <w:tcPr>
            <w:tcW w:type="dxa" w:w="4514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333333"/>
                <w:sz w:val="18"/>
              </w:rPr>
              <w:t>缺漏了考題必考的關鍵條件：受託人「知情與否」的差異（無償行為不論受託人知不知情皆可撤銷；有償行為須受託人於受益時明知或可得而知）；且未講明撤銷之訴必須向民事法院起訴。</w:t>
            </w:r>
          </w:p>
        </w:tc>
      </w:tr>
      <w:tr>
        <w:tc>
          <w:tcPr>
            <w:tcW w:type="dxa" w:w="451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建議升級之黃金範例</w:t>
            </w:r>
          </w:p>
        </w:tc>
        <w:tc>
          <w:tcPr>
            <w:tcW w:type="dxa" w:w="4514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【建商欠款脫產信託與除斥期間之防禦】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興富發建案包商黃董積欠下游材料商林老闆 3,000 萬元工程款。黃董眼看將被查封，竟將名下價值 4,000 萬元的豪宅信託登記給胞弟作為子女教育基金：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① 撤銷要件（有害及債權）：黃董的信託行為導致其剩餘自有財產不足清償林老闆債務，構成有害及債權。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② 善意無償之撤銷：因該信託係無償提供給子女，即便胞弟與子女（受託人與受益人）完全不知黃董欠債，林老闆依法依然得聲請法院撤銷該信託行為！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③ 嚴格除斥期間：林老闆必須在「自知有撤銷原因時起 1 年內」，或「自信託行為成立後 10 年內」，向民事法院提起撤銷訴訟；逾期則撤銷權消滅，豪宅將永遠鎖在信託內。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核心法理與解題口訣</w:t>
            </w:r>
          </w:p>
        </w:tc>
        <w:tc>
          <w:tcPr>
            <w:tcW w:type="dxa" w:w="4514"/>
            <w:shd w:fill="F0FF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27AE60"/>
                <w:sz w:val="19"/>
              </w:rPr>
              <w:t>「害及債權得撤銷，無償不問知不知；知悉一年十年止，法院起訴始能回」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【CASE-04】受託人違法處分信託財產之受益人撤銷權（信託法第18條）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1B365D"/>
          <w:right w:val="none"/>
          <w:insideH w:val="single" w:sz="4" w:space="0" w:color="CBD5E1"/>
          <w:insideV w:val="none"/>
        </w:tblBorders>
      </w:tblPr>
      <w:tblGrid>
        <w:gridCol w:w="4514"/>
        <w:gridCol w:w="4514"/>
      </w:tblGrid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現行教材舉例</w:t>
            </w:r>
          </w:p>
        </w:tc>
        <w:tc>
          <w:tcPr>
            <w:tcW w:type="dxa" w:w="4514"/>
            <w:shd w:fill="E2E8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9"/>
              </w:rPr>
              <w:t>另一種情況是受託人違反約定賣掉信託財產，此時請求撤銷處分的是受益人。撤銷受託人的處分，第18條還要求登記、註記或交易對方知情等條件。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潛在盲點與考題風險</w:t>
            </w:r>
          </w:p>
        </w:tc>
        <w:tc>
          <w:tcPr>
            <w:tcW w:type="dxa" w:w="4514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333333"/>
                <w:sz w:val="18"/>
              </w:rPr>
              <w:t>現有內容把信託法第6條與第18條雜揉在一起，考生常分不清「第6條是委託人的債權人撤銷信託行為」 vs 「第18條是受益人撤銷受託人的違法處分」，且對交易相對人明知或重大過失的要件交代不夠清晰。</w:t>
            </w:r>
          </w:p>
        </w:tc>
      </w:tr>
      <w:tr>
        <w:tc>
          <w:tcPr>
            <w:tcW w:type="dxa" w:w="451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建議升級之黃金範例</w:t>
            </w:r>
          </w:p>
        </w:tc>
        <w:tc>
          <w:tcPr>
            <w:tcW w:type="dxa" w:w="4514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【受託人擅自盜賣信託土地與善意第三人保護】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受託人阿豪替受益人小芬管理一筆信託土地，契約明定阿豪「僅得收租維護，非經小芬書面同意不得出售」。阿豪因個人炒股虧損，竟然擅自偽造文件將該土地以市價轉賣並過戶給不知情的周董：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① 有辦理信託登記（第18條第2項第1款）：因該土地謄本上已明確登記為「信託財產」，周董調閱謄本即可查知，依法具有絕對公示力。小芬（受益人）得直接向法院聲請撤銷阿豪與周董之間的買賣及所有權移轉處分，把土地追討回來！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② 若為未登記之動產：若處分的是未登記之名貴珠寶，且周董完全不知情且無重大過失，法律為保護交易安全，小芬即不得撤銷該處分，只能向阿豪請求損害賠償。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核心法理與解題口訣</w:t>
            </w:r>
          </w:p>
        </w:tc>
        <w:tc>
          <w:tcPr>
            <w:tcW w:type="dxa" w:w="4514"/>
            <w:shd w:fill="F0FF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27AE60"/>
                <w:sz w:val="19"/>
              </w:rPr>
              <w:t>「受託擅賣違本旨，受益單獨可聲請；已辦登記必可撤，未登明知始能追」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【CASE-05】善良管理人注意義務與利益衝突防範（信託法第22-25條、信託業法第25條）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1B365D"/>
          <w:right w:val="none"/>
          <w:insideH w:val="single" w:sz="4" w:space="0" w:color="CBD5E1"/>
          <w:insideV w:val="none"/>
        </w:tblBorders>
      </w:tblPr>
      <w:tblGrid>
        <w:gridCol w:w="4514"/>
        <w:gridCol w:w="4514"/>
      </w:tblGrid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現行教材舉例</w:t>
            </w:r>
          </w:p>
        </w:tc>
        <w:tc>
          <w:tcPr>
            <w:tcW w:type="dxa" w:w="4514"/>
            <w:shd w:fill="E2E8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9"/>
              </w:rPr>
              <w:t>阿姨請受託人管理退休金。受託人不能因為自己缺錢，就把退休金拿去付自己的帳單；也不能把阿姨的帳與另一位客戶混在一起、算不清楚。「善良管理人之注意」是合格管理者應有的謹慎，不是只要像管自己的錢就好。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潛在盲點與考題風險</w:t>
            </w:r>
          </w:p>
        </w:tc>
        <w:tc>
          <w:tcPr>
            <w:tcW w:type="dxa" w:w="4514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333333"/>
                <w:sz w:val="18"/>
              </w:rPr>
              <w:t>「拿退休金付個人帳單」與「阿姨的帳算不清楚」偏向日常會計挪用，無法體現信託法第22條善良管理人之注意（抽象輕過失責任）與第25條「禁止以自有財產受讓信託財產（Self-Dealing）」之精髓。考題重點在於專業投資決策的注意標準，以及受託機構與利害關係人間的防火牆。</w:t>
            </w:r>
          </w:p>
        </w:tc>
      </w:tr>
      <w:tr>
        <w:tc>
          <w:tcPr>
            <w:tcW w:type="dxa" w:w="451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建議升級之黃金範例</w:t>
            </w:r>
          </w:p>
        </w:tc>
        <w:tc>
          <w:tcPr>
            <w:tcW w:type="dxa" w:w="4514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【受託銀行專業管理義務與利益衝突禁止實務】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陳女士委託富邦銀行信託部管理 3,000 萬元資產：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① 善良管理人注意義務（高於注意自己財產之標準）：富邦銀行身為專業金融機構，必須依專業投資程序配置資產，若未經嚴謹徵信評估，草率買進高風險違約垃圾債券導致虧損，銀行即構成違反善管注意義務，須負損害賠償責任（不能辯稱「我自己也是這樣投資」）；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② 忠實義務與自易禁止（絕對迴避利益衝突）：富邦銀行承銷部手中有一批賣不出去的某關係企業公司債，銀行信託部「絕對禁止」為了幫承銷部解套而擅自用陳女士的信託資金買入該債券（信託業法第25條自易禁止）；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③ 例外放寬要件：除非信託契約另有特約，且受託人已向受益人完整揭露利害關係並取得書面同意，以公平市價交易，始得為法定例外准許。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核心法理與解題口訣</w:t>
            </w:r>
          </w:p>
        </w:tc>
        <w:tc>
          <w:tcPr>
            <w:tcW w:type="dxa" w:w="4514"/>
            <w:shd w:fill="F0FF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27AE60"/>
                <w:sz w:val="19"/>
              </w:rPr>
              <w:t>「善管注意高標準，輕微過失即有責；自有利益必迴避，自易交易原則禁」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【CASE-06】金錢信託運用決定權三分類（特定 vs 指定 vs 不指定）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1B365D"/>
          <w:right w:val="none"/>
          <w:insideH w:val="single" w:sz="4" w:space="0" w:color="CBD5E1"/>
          <w:insideV w:val="none"/>
        </w:tblBorders>
      </w:tblPr>
      <w:tblGrid>
        <w:gridCol w:w="4514"/>
        <w:gridCol w:w="4514"/>
      </w:tblGrid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現行教材舉例</w:t>
            </w:r>
          </w:p>
        </w:tc>
        <w:tc>
          <w:tcPr>
            <w:tcW w:type="dxa" w:w="4514"/>
            <w:shd w:fill="E2E8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9"/>
              </w:rPr>
              <w:t>像請人幫忙買菜：指定買哪一項、多少，是具體指示；指定只能在某一類挑選，是範圍限制。前者與後者的運用決定權不同。再問資金是一人獨立管理，還是符合條件集合管理。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潛在盲點與考題風險</w:t>
            </w:r>
          </w:p>
        </w:tc>
        <w:tc>
          <w:tcPr>
            <w:tcW w:type="dxa" w:w="4514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333333"/>
                <w:sz w:val="18"/>
              </w:rPr>
              <w:t>買菜比喻過於生活化，完全脫離銀行財富管理實務。學員考完試後依然不知道特定金錢信託實務上是買什麼、指定金錢信託是做什麼，更遺漏了不指定金錢信託在信託業法第32條極為狹窄的法定運用範圍（考試超常考）。</w:t>
            </w:r>
          </w:p>
        </w:tc>
      </w:tr>
      <w:tr>
        <w:tc>
          <w:tcPr>
            <w:tcW w:type="dxa" w:w="451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建議升級之黃金範例</w:t>
            </w:r>
          </w:p>
        </w:tc>
        <w:tc>
          <w:tcPr>
            <w:tcW w:type="dxa" w:w="4514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【銀行財富管理金錢信託三大業務實境】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顧客走進銀行信託部，資金運用決定權分為三種鮮明形態：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① 特定金錢信託（委託人保有 100% 決定權）：張先生填寫指示書，指定「將 100 萬元全數申購聯博全球高收益債券基金 A 股」。標的、金額、申購時機完全由客戶具體下達，銀行受託人純粹擔任執行通道，無權擅自更動（佔全台銀行信託商品 9 成以上）；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② 指定金錢信託（委託人指定範圍，銀行享選股選時決定權）：李董將 2,000 萬元交付信託，約定「投資範圍限於臺灣加權指數成分股及信用評等 AA 級以上之金融債券」。至於挑選哪一檔股票、何時逢低進場，全由銀行投資團隊在約定範圍內專業裁量；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③ 不指定金錢信託（委託人完全不指定，銀行全權決定但受法定四大類限制）：王奶奶交付 500 萬元安養，未作任何指示。銀行雖有全權決定權，但依法（信託業法第32條）「僅能」運用於：現金及存款、投資公債/公司債/金融債、短期票券及主管機關核准業務，絕對不得拿去投資股票或衍生性商品！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核心法理與解題口訣</w:t>
            </w:r>
          </w:p>
        </w:tc>
        <w:tc>
          <w:tcPr>
            <w:tcW w:type="dxa" w:w="4514"/>
            <w:shd w:fill="F0FF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27AE60"/>
                <w:sz w:val="19"/>
              </w:rPr>
              <w:t>「特定客戶下死令，指定限額行員選，不指定全權裁量，投資嚴限公債存」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【CASE-07】信託資金單獨管理 vs 集合管理運用帳戶（信託業法第16條與細則）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1B365D"/>
          <w:right w:val="none"/>
          <w:insideH w:val="single" w:sz="4" w:space="0" w:color="CBD5E1"/>
          <w:insideV w:val="none"/>
        </w:tblBorders>
      </w:tblPr>
      <w:tblGrid>
        <w:gridCol w:w="4514"/>
        <w:gridCol w:w="4514"/>
      </w:tblGrid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現行教材舉例</w:t>
            </w:r>
          </w:p>
        </w:tc>
        <w:tc>
          <w:tcPr>
            <w:tcW w:type="dxa" w:w="4514"/>
            <w:shd w:fill="E2E8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9"/>
              </w:rPr>
              <w:t>甲、乙依符合規定的契約安排，把同類資金集合運用。可以共用投資安排，但仍要算清楚各自的權益，不能因為在同一帳戶，就把兩人的投入與收益當成完全相同。下方40%/60%只是概念例子。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潛在盲點與考題風險</w:t>
            </w:r>
          </w:p>
        </w:tc>
        <w:tc>
          <w:tcPr>
            <w:tcW w:type="dxa" w:w="4514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333333"/>
                <w:sz w:val="18"/>
              </w:rPr>
              <w:t>現有例子未點出集合管理運用帳戶（Collective Trust Fund）的金融本質——它是由信託業發起、以「發行受益權單位數（Units）」及「每日計算淨值（NAV）」為核心運作，與一般共同基金架構類似但受信託法制監管。</w:t>
            </w:r>
          </w:p>
        </w:tc>
      </w:tr>
      <w:tr>
        <w:tc>
          <w:tcPr>
            <w:tcW w:type="dxa" w:w="451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建議升級之黃金範例</w:t>
            </w:r>
          </w:p>
        </w:tc>
        <w:tc>
          <w:tcPr>
            <w:tcW w:type="dxa" w:w="4514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【信託資金集合管理運用帳戶（類基金架構）實務】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兆豐銀行信託部經金管會核准，設立「兆豐全球穩健型信託資金集合管理運用帳戶」：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① 匯集投資與單位化：張先生投入 40 萬元，李小姐投入 60 萬元，受託銀行將兩筆資金集合在同一專戶中統一向市場購買大型權值股。專戶劃分為 10 萬個「受益權單位」，每單位發行淨值 10 元。張先生取得 4 萬單位，李小姐取得 6 萬單位；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② 獨立計價與退場：半年後該專戶資產增值，每單位淨值上漲至 12 元。張先生此時申請退出，可領回 4 萬單位 × 12 元 = 48 萬元；李小姐繼續留存，其權益依然精準按照其持有的 6 萬單位每日結算淨值；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③ 權益絕不混淆：雖然資金放在同一銀行集合帳戶操作，但各自的投入時點、持有單位數及收益分配皆由電腦專帳分別登載，絲毫不受他人進出之影響。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核心法理與解題口訣</w:t>
            </w:r>
          </w:p>
        </w:tc>
        <w:tc>
          <w:tcPr>
            <w:tcW w:type="dxa" w:w="4514"/>
            <w:shd w:fill="F0FF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27AE60"/>
                <w:sz w:val="19"/>
              </w:rPr>
              <w:t>「集合運用聚沙成塔，單位淨值每日結算，分別登載專帳管理，進出公平權益分明」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【CASE-08】信託所得稅穿透原則（導管原則／所得稅法第3條之4）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1B365D"/>
          <w:right w:val="none"/>
          <w:insideH w:val="single" w:sz="4" w:space="0" w:color="CBD5E1"/>
          <w:insideV w:val="none"/>
        </w:tblBorders>
      </w:tblPr>
      <w:tblGrid>
        <w:gridCol w:w="4514"/>
        <w:gridCol w:w="4514"/>
      </w:tblGrid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現行教材舉例</w:t>
            </w:r>
          </w:p>
        </w:tc>
        <w:tc>
          <w:tcPr>
            <w:tcW w:type="dxa" w:w="4514"/>
            <w:shd w:fill="E2E8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9"/>
              </w:rPr>
              <w:t>房屋信託今年有租金，契約說明年才匯給孩子。一般信託仍要依所得發生年度，判斷孩子應計入多少所得，不是單靠延後匯款就延後課稅。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潛在盲點與考題風險</w:t>
            </w:r>
          </w:p>
        </w:tc>
        <w:tc>
          <w:tcPr>
            <w:tcW w:type="dxa" w:w="4514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333333"/>
                <w:sz w:val="18"/>
              </w:rPr>
              <w:t>抓住了所得發生年度的重點，但缺少了受託人在每年度 1 月底前的「申報信託所得憑單」義務，以及扣除「必要成本、費用及耗損」後歸課所得類別的法律細節。</w:t>
            </w:r>
          </w:p>
        </w:tc>
      </w:tr>
      <w:tr>
        <w:tc>
          <w:tcPr>
            <w:tcW w:type="dxa" w:w="451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建議升級之黃金範例</w:t>
            </w:r>
          </w:p>
        </w:tc>
        <w:tc>
          <w:tcPr>
            <w:tcW w:type="dxa" w:w="4514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【商辦大樓他益信託之實質穿透課稅與扣繳申報】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富商老張將一棟商業大樓交付信託，約定將租金孳息全部贈與兒子小張享有（他益信託）：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① 導管原則（實質課稅）：民國 113 年度，受託人出租該大樓收取租金總額 300 萬元，扣除修繕成本、地價稅及受託人管理費 60 萬元後，產生信託淨租賃所得 240 萬元。雖然信託契約約定「所有租金累積至 115 年小張出國留學時才整筆撥付」，但依所得稅法規定，信託專戶僅為課稅導管，這 240 萬元租賃所得依法「必須在 113 年度即時穿透」歸課為小張當年度的綜合所得！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② 受託人申報法定義務：受託人必須在民國 114 年 1 月底前，編製信託財產收支計算表向國稅局申報，並填發「信託財產各類所得憑單」給小張，小張應於 114 年 5 月辦理所得稅結算申報。藉由信託延後撥付款項無法達到遞延課稅之目的！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核心法理與解題口訣</w:t>
            </w:r>
          </w:p>
        </w:tc>
        <w:tc>
          <w:tcPr>
            <w:tcW w:type="dxa" w:w="4514"/>
            <w:shd w:fill="F0FF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27AE60"/>
                <w:sz w:val="19"/>
              </w:rPr>
              <w:t>「信託專戶如透明導管，所得發生即時穿透，扣除成本歸課個人，次年元月扣繳申報」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【CASE-09】信託贈與現值折現計算（遺贈稅法第10條之1、第10條之2）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1B365D"/>
          <w:right w:val="none"/>
          <w:insideH w:val="single" w:sz="4" w:space="0" w:color="CBD5E1"/>
          <w:insideV w:val="none"/>
        </w:tblBorders>
      </w:tblPr>
      <w:tblGrid>
        <w:gridCol w:w="4514"/>
        <w:gridCol w:w="4514"/>
      </w:tblGrid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現行教材舉例</w:t>
            </w:r>
          </w:p>
        </w:tc>
        <w:tc>
          <w:tcPr>
            <w:tcW w:type="dxa" w:w="4514"/>
            <w:shd w:fill="E2E8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9"/>
              </w:rPr>
              <w:t>如果約定兩年後拿100萬元本金，估價不能把今天可立即領到的100萬元，與兩年後才能拿的權利直接當成同一價值；法規用指定的利率及複利方式折算。法定利率取指定時點的郵政一年期定儲固定利率。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潛在盲點與考題風險</w:t>
            </w:r>
          </w:p>
        </w:tc>
        <w:tc>
          <w:tcPr>
            <w:tcW w:type="dxa" w:w="4514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333333"/>
                <w:sz w:val="18"/>
              </w:rPr>
              <w:t>過於抽象。考試中此處必出計算題或公式選擇題，必須給出具體的「複利折現公式（PV = FV / (1+i)^n）」與「本金現值 vs 孳息現值」的聯動算法，學員才能徹底拿分。</w:t>
            </w:r>
          </w:p>
        </w:tc>
      </w:tr>
      <w:tr>
        <w:tc>
          <w:tcPr>
            <w:tcW w:type="dxa" w:w="451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建議升級之黃金範例</w:t>
            </w:r>
          </w:p>
        </w:tc>
        <w:tc>
          <w:tcPr>
            <w:tcW w:type="dxa" w:w="4514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【10年期本金他益信託之贈與稅折現精算】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郭董事長於 113 年 1 月 1 日將 1,000 萬元現金交付信託，信託期間 10 年，約定：「信託期間每年租金孳息全由郭董自己享有（自益），信託期滿 10 年後，1,000 萬元本金全數歸兒子小郭所有（本金他益）」：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① 贈與評價基準：依遺贈稅法第10條之2，小郭享有的是「10 年後才拿到的本金 1,000 萬元」，今天的贈與價值絕非 1,000 萬元，必須折現！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② 基準利率與公式：假設信託成立時「中華郵政一年期定期儲金固定利率」為 2.0%：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 xml:space="preserve">   本金受益權現值 PV = 10,000,000 ÷ (1 + 0.02)^10 ≈ 8,203,483 元。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③ 申報贈與稅：郭董於信託成立時，僅須以折現後的現值約 820.3 萬元申報贈與稅，省下了將近 180 萬元的計稅基礎！這正是高資產族群最常運用的信託節稅規劃。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核心法理與解題口訣</w:t>
            </w:r>
          </w:p>
        </w:tc>
        <w:tc>
          <w:tcPr>
            <w:tcW w:type="dxa" w:w="4514"/>
            <w:shd w:fill="F0FF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27AE60"/>
                <w:sz w:val="19"/>
              </w:rPr>
              <w:t>「本金他益折現計，郵政一年定存利，年年複利算現值，孳息本金互補齊」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【CASE-10】金融資產證券化之真實出售與破產隔離（SPT架構）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1B365D"/>
          <w:right w:val="none"/>
          <w:insideH w:val="single" w:sz="4" w:space="0" w:color="CBD5E1"/>
          <w:insideV w:val="none"/>
        </w:tblBorders>
      </w:tblPr>
      <w:tblGrid>
        <w:gridCol w:w="4514"/>
        <w:gridCol w:w="4514"/>
      </w:tblGrid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現行教材舉例</w:t>
            </w:r>
          </w:p>
        </w:tc>
        <w:tc>
          <w:tcPr>
            <w:tcW w:type="dxa" w:w="4514"/>
            <w:shd w:fill="E2E8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9"/>
              </w:rPr>
              <w:t>銀行有一批房貸債權，未來借款人會分期還款。證券化依法律安排，把這些資產及現金流對應成證券；但借款人不還錢、提前還款等風險仍存在。SPT用特殊目的信託架構，SPC用特殊目的公司架構。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潛在盲點與考題風險</w:t>
            </w:r>
          </w:p>
        </w:tc>
        <w:tc>
          <w:tcPr>
            <w:tcW w:type="dxa" w:w="4514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333333"/>
                <w:sz w:val="18"/>
              </w:rPr>
              <w:t>未能講出資產證券化最神聖的法理「真實出售（True Sale）」與「破產隔離（Bankruptcy Remoteness）」。許多考生無法理解「為什麼要大費周章將貸款打包賣給信託部？創始機構自己發債不就好了嗎？」。</w:t>
            </w:r>
          </w:p>
        </w:tc>
      </w:tr>
      <w:tr>
        <w:tc>
          <w:tcPr>
            <w:tcW w:type="dxa" w:w="451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建議升級之黃金範例</w:t>
            </w:r>
          </w:p>
        </w:tc>
        <w:tc>
          <w:tcPr>
            <w:tcW w:type="dxa" w:w="4514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【銀行百億優質房貸真實出售與破產防火牆】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中信銀行（創始機構）擁有 100 億元的優質自用住宅房貸債權，為提前取回流動性資金以承做更多放款，決定辦理特殊目的信託（SPT）：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① 真實出售（True Sale）：中信銀行將這 100 億元的房貸資產池「法律上完全移轉」給土地銀行信託部（受託機構），土銀對外公開發行受益證券向市場投資人籌得 100 億元資金並支付給中信銀行。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② 破產隔離（神聖防火牆）：一旦完成移轉，資產池即完全脫離中信銀行的資產負債表。即便未來中信銀行不幸倒閉破產，中信銀行的破產管理人或其龐大債權人，「絕對無權」向這 100 億元的房貸資產池主張任何查封或清償權益！這 100 億元的房貸還款現金流將 100% 專門用於償付投資人的受益證券本息，這就是證券化降低融資成本的核心秘密。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核心法理與解題口訣</w:t>
            </w:r>
          </w:p>
        </w:tc>
        <w:tc>
          <w:tcPr>
            <w:tcW w:type="dxa" w:w="4514"/>
            <w:shd w:fill="F0FF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27AE60"/>
                <w:sz w:val="19"/>
              </w:rPr>
              <w:t>「真實出售脫母體，資產信託設隔離，創始破產動不得，專戶本息享安心」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【CASE-11】證券化現金流瀑布（Cash Flow Waterfall）與信用增強機制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1B365D"/>
          <w:right w:val="none"/>
          <w:insideH w:val="single" w:sz="4" w:space="0" w:color="CBD5E1"/>
          <w:insideV w:val="none"/>
        </w:tblBorders>
      </w:tblPr>
      <w:tblGrid>
        <w:gridCol w:w="4514"/>
        <w:gridCol w:w="4514"/>
      </w:tblGrid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現行教材舉例</w:t>
            </w:r>
          </w:p>
        </w:tc>
        <w:tc>
          <w:tcPr>
            <w:tcW w:type="dxa" w:w="4514"/>
            <w:shd w:fill="E2E8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9"/>
              </w:rPr>
              <w:t>借款人還款100 → 依法及依計畫支付費用 → 優先順位本金/利息 → 次順位/殘值。純示例，具體順序、金額與期限依核准計畫；次順位通常先吸收部分損失，仍非保證。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潛在盲點與考題風險</w:t>
            </w:r>
          </w:p>
        </w:tc>
        <w:tc>
          <w:tcPr>
            <w:tcW w:type="dxa" w:w="4514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333333"/>
                <w:sz w:val="18"/>
              </w:rPr>
              <w:t>「借款人還款100」太抽象。如果能結合實際的 AAA 評等優先證券與由創始機構自行吸收的次順位證券，學員便能一眼看懂金融資產證券化條例中最難懂的「內部信用增強機制」。</w:t>
            </w:r>
          </w:p>
        </w:tc>
      </w:tr>
      <w:tr>
        <w:tc>
          <w:tcPr>
            <w:tcW w:type="dxa" w:w="451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建議升級之黃金範例</w:t>
            </w:r>
          </w:p>
        </w:tc>
        <w:tc>
          <w:tcPr>
            <w:tcW w:type="dxa" w:w="4514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【現金流瀑布分配與優先／次順位內部信用增強】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受託機構將 100 億元資產池發行兩種不同等級的證券：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① 優先順位受益證券（Senior Tranche，發行 85 億元）：信用評等獲中華信評核定為最高等級「twAAA」，年利率 2.5%，由保守的國泰人壽認購；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② 次順位受益證券（Subordinated Tranche，發行 15 億元）：無評等，由創始機構（原貸款銀行）自行全數買回保留；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③ 現金流瀑布運作（第一線防護墊）：房貸借款人每月繳納的本息，流進資產池後依序分配：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 xml:space="preserve">   第 1 層：支付稅捐、受託機構管理費及服務機構手續費；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 xml:space="preserve">   第 2 層：足額清償優先順位證券的 2.5% 利息與到期本金；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 xml:space="preserve">   第 3 層：最後剩餘的超額現金流，才分配給次順位證券。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 xml:space="preserve">   若不幸有借款人違約倒帳，虧損首先由次順位這 15 億元承擔吸收。只要違約金額不超過 15 億元，優先順位壽險投資人的本金利息毫髮無傷！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核心法理與解題口訣</w:t>
            </w:r>
          </w:p>
        </w:tc>
        <w:tc>
          <w:tcPr>
            <w:tcW w:type="dxa" w:w="4514"/>
            <w:shd w:fill="F0FF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27AE60"/>
                <w:sz w:val="19"/>
              </w:rPr>
              <w:t>「瀑布流水層層下，優先先取享AAA，次順位承擔第一損，內部增強保萬全」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【CASE-12】REIT（不動產投資信託基金）之股權證券性質與運作限制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1B365D"/>
          <w:right w:val="none"/>
          <w:insideH w:val="single" w:sz="4" w:space="0" w:color="CBD5E1"/>
          <w:insideV w:val="none"/>
        </w:tblBorders>
      </w:tblPr>
      <w:tblGrid>
        <w:gridCol w:w="4514"/>
        <w:gridCol w:w="4514"/>
      </w:tblGrid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現行教材舉例</w:t>
            </w:r>
          </w:p>
        </w:tc>
        <w:tc>
          <w:tcPr>
            <w:tcW w:type="dxa" w:w="4514"/>
            <w:shd w:fill="E2E8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9"/>
              </w:rPr>
              <w:t>REIT可以想成依法先募集資金，再按計畫投資；REAT則是先有不動產或相關權利，再交給受託機構按計畫處理並發行受益證券。REIT原則封閉型；開放型須經核准，並附法條要求的買回限制。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潛在盲點與考題風險</w:t>
            </w:r>
          </w:p>
        </w:tc>
        <w:tc>
          <w:tcPr>
            <w:tcW w:type="dxa" w:w="4514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333333"/>
                <w:sz w:val="18"/>
              </w:rPr>
              <w:t>現有內容僅區分「先有錢還是先有樓」，未能講出 REIT 在證券市場掛牌上市、高配息率（法定90%以上）以及開發型不動產投資比例受限等關鍵考試法規門檻。</w:t>
            </w:r>
          </w:p>
        </w:tc>
      </w:tr>
      <w:tr>
        <w:tc>
          <w:tcPr>
            <w:tcW w:type="dxa" w:w="451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建議升級之黃金範例</w:t>
            </w:r>
          </w:p>
        </w:tc>
        <w:tc>
          <w:tcPr>
            <w:tcW w:type="dxa" w:w="4514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【REIT（例如國泰一號）之大眾包租公投資實務】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兆豐銀行受託發行「國泰一號不動產投資信託基金（REIT）」：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① 運作型態（集合眾人小錢買頂級商辦）：受託機構向廣大散戶及機構投資人募集 150 億元資金，買下台北喜來登飯店、台北西門大樓等多處優質收益型不動產；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② 證券性質與上市掛牌：投資人持有的是「REIT受益證券」，該基金在台灣證券交易所掛牌上市（代碼01001T）。小資族即使只有 1 萬元，也能在股市買進該證券，成為台北頂級商辦的共同房東，享受租金收益與不動產增值利益；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③ 法定閉鎖原則與收益分配門檻：REIT 基金原則上為「封閉型」（投資人不得隨時要求受託銀行買回退錢，只能在集中市場賣給其他投資人）；且依法每年產生的淨租金收益，必須將「90% 以上」強制配息給受益人！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核心法理與解題口訣</w:t>
            </w:r>
          </w:p>
        </w:tc>
        <w:tc>
          <w:tcPr>
            <w:tcW w:type="dxa" w:w="4514"/>
            <w:shd w:fill="F0FF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27AE60"/>
                <w:sz w:val="19"/>
              </w:rPr>
              <w:t>「REIT集合買商辦，掛牌上市隨時換，原則封閉不可贖，九成收益必配完」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【CASE-13】REAT（不動產資產信託）之固定收益債券性質與還本架構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1B365D"/>
          <w:right w:val="none"/>
          <w:insideH w:val="single" w:sz="4" w:space="0" w:color="CBD5E1"/>
          <w:insideV w:val="none"/>
        </w:tblBorders>
      </w:tblPr>
      <w:tblGrid>
        <w:gridCol w:w="4514"/>
        <w:gridCol w:w="4514"/>
      </w:tblGrid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現行教材舉例</w:t>
            </w:r>
          </w:p>
        </w:tc>
        <w:tc>
          <w:tcPr>
            <w:tcW w:type="dxa" w:w="4514"/>
            <w:shd w:fill="E2E8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9"/>
              </w:rPr>
              <w:t>REAT則是先有不動產或相關權利，再交給受託機構按計畫處理並發行受益證券。先看資金或資產從哪裡進來，再看投資與發行限制。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潛在盲點與考題風險</w:t>
            </w:r>
          </w:p>
        </w:tc>
        <w:tc>
          <w:tcPr>
            <w:tcW w:type="dxa" w:w="4514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333333"/>
                <w:sz w:val="18"/>
              </w:rPr>
              <w:t>過於簡化。學員往往無法區分 REAT 與一般不動產開發信託的差別。REAT 本質上是「以既有優良建築為擔保，發行類似資產擔保債券（ABS）以融資變現」的金融工具。</w:t>
            </w:r>
          </w:p>
        </w:tc>
      </w:tr>
      <w:tr>
        <w:tc>
          <w:tcPr>
            <w:tcW w:type="dxa" w:w="451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建議升級之黃金範例</w:t>
            </w:r>
          </w:p>
        </w:tc>
        <w:tc>
          <w:tcPr>
            <w:tcW w:type="dxa" w:w="4514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【老牌飯店利用 REAT 活化資產籌資擴建】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日月潭某老牌觀光大飯店擁有價值 30 億元的飯店土地與建築物，但急需 15 億元現金整修升級客房，又不願向銀行辦理高利息融資：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① 交付資產發行證券：飯店業主（委託人）將整座飯店建築與土地信託移轉予土地銀行（受託機構），發行「REAT不動產資產信託受益證券」向法人及大眾募集 15 億元；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② 債券性質固定收益：該受益證券約定存續期間為 5 年，票面利率為 3.2%，每年定期以飯店租金收益支付利息；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③ 期滿清償退場機制：5 年信託期滿時，由受託機構將飯店建築物處分變賣，或由原飯店業主籌資將飯店買回，取得價金全數還本給 REAT 受益證券持有人。因此 REAT 的本質偏向固定收益之債券結構，與追求資本利得及股權性質的 REIT 截然不同！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核心法理與解題口訣</w:t>
            </w:r>
          </w:p>
        </w:tc>
        <w:tc>
          <w:tcPr>
            <w:tcW w:type="dxa" w:w="4514"/>
            <w:shd w:fill="F0FF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27AE60"/>
                <w:sz w:val="19"/>
              </w:rPr>
              <w:t>「REAT既有資產來信託，發行證券獲資金，固定配息似債券，期滿還本歸產權」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【CASE-14】全權委託保管銀行之越權交易監督與通報防線（投信投顧法第5條）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1B365D"/>
          <w:right w:val="none"/>
          <w:insideH w:val="single" w:sz="4" w:space="0" w:color="CBD5E1"/>
          <w:insideV w:val="none"/>
        </w:tblBorders>
      </w:tblPr>
      <w:tblGrid>
        <w:gridCol w:w="4514"/>
        <w:gridCol w:w="4514"/>
      </w:tblGrid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現行教材舉例</w:t>
            </w:r>
          </w:p>
        </w:tc>
        <w:tc>
          <w:tcPr>
            <w:tcW w:type="dxa" w:w="4514"/>
            <w:shd w:fill="E2E8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9"/>
              </w:rPr>
              <w:t>你委託專業人員投資，又請保管機構看管資產。專業人員下單超出約定或法令範圍，屬於另一個責任問題；不能因為訂單已送出，就直接要求客戶承擔全部結果。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潛在盲點與考題風險</w:t>
            </w:r>
          </w:p>
        </w:tc>
        <w:tc>
          <w:tcPr>
            <w:tcW w:type="dxa" w:w="4514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333333"/>
                <w:sz w:val="18"/>
              </w:rPr>
              <w:t>現有內容寫「屬於另一個責任問題」，語意非常含糊！在考試與實務中，保管銀行收到投信經理人「越權下單（超限或違反投資契約）」時，有極其明確的法定處置步驟：核對指示 → 認定越權 → 拒絕執行或通知改善 → 通報主管機關與投信投顧公會 → 越權買進之標的由投信事業自負履行交割責任。</w:t>
            </w:r>
          </w:p>
        </w:tc>
      </w:tr>
      <w:tr>
        <w:tc>
          <w:tcPr>
            <w:tcW w:type="dxa" w:w="451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建議升級之黃金範例</w:t>
            </w:r>
          </w:p>
        </w:tc>
        <w:tc>
          <w:tcPr>
            <w:tcW w:type="dxa" w:w="4514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【全權委託代操經理人違法越權下單之保管行防線】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張董與大華投信簽訂 1 億元全權委託投資契約，契約明定「單一股票投資上限不得超過委託資產之 20%（即2,000萬元）」，並指定第一銀行為全權委託保管機構：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① 違法越權指示：大華投信經理人看好某中小型飆股，竟向券商下單 3,500 萬元，並向第一銀行發出撥款交割指示；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② 保管銀行實質把關（拒絕盲從）：第一銀行保管部在審核交割指示時，發現該筆交易超過契約 2,000 萬元上限達 1,500 萬元，構成法定之「越權交易」！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③ 法定處理程序：第一銀行依規定必須立即出具書面「越權交易通知書」通知大華投信、委託人張董，並副知金管會及投信投顧公會；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④ 履行責任自負：超出的 1,500 萬元交割款項，依規定必須由「大華投信以自有資金負履行交割之責」，該超額股票亦撥入投信自有帳戶處理，張董的委託資產專戶絲毫不受損害！這正是保管銀行設立的終極防火牆意義。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核心法理與解題口訣</w:t>
            </w:r>
          </w:p>
        </w:tc>
        <w:tc>
          <w:tcPr>
            <w:tcW w:type="dxa" w:w="4514"/>
            <w:shd w:fill="F0FF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27AE60"/>
                <w:sz w:val="19"/>
              </w:rPr>
              <w:t>「經理指示超上限，保管審核抓越權，拒絕撥款出通報，投信自掏腰包填」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【CASE-15】員工持股信託與員工福儲信託實務機制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1B365D"/>
          <w:right w:val="none"/>
          <w:insideH w:val="single" w:sz="4" w:space="0" w:color="CBD5E1"/>
          <w:insideV w:val="none"/>
        </w:tblBorders>
      </w:tblPr>
      <w:tblGrid>
        <w:gridCol w:w="4514"/>
        <w:gridCol w:w="4514"/>
      </w:tblGrid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現行教材舉例</w:t>
            </w:r>
          </w:p>
        </w:tc>
        <w:tc>
          <w:tcPr>
            <w:tcW w:type="dxa" w:w="4514"/>
            <w:shd w:fill="E2E8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C0392B"/>
                <w:sz w:val="19"/>
              </w:rPr>
              <w:t>員工每月提一筆錢，公司可能依約提供獎勵，交給受託機構累積或運用。誰能領回、何時領回、離職是否影響公司獎勵，仍要讀協議；不能只看到「福利」就認為全部免稅或保本。持股會、代表人、受託機構與員工各自分工。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潛在盲點與考題風險</w:t>
            </w:r>
          </w:p>
        </w:tc>
        <w:tc>
          <w:tcPr>
            <w:tcW w:type="dxa" w:w="4514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333333"/>
                <w:sz w:val="18"/>
              </w:rPr>
              <w:t>過於抽象。員工福利信託在考題與銀行推廣中分為兩大主流：「員工持股信託」與「員工福利儲蓄信託（福儲信託）」，二者的投資標的範圍不同；且考題常考「持股會組織定位」、「專戶開立名義」以及「公司獎勵金之所得稅課稅時點」。</w:t>
            </w:r>
          </w:p>
        </w:tc>
      </w:tr>
      <w:tr>
        <w:tc>
          <w:tcPr>
            <w:tcW w:type="dxa" w:w="4514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建議升級之黃金範例</w:t>
            </w:r>
          </w:p>
        </w:tc>
        <w:tc>
          <w:tcPr>
            <w:tcW w:type="dxa" w:w="4514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【台積電型員工持股信託與員工福儲信託雙軌剖析】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科技大廠為留住優秀人才，實施員工福利信託制度：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① 組織運作與雙向提撥：全體員工推選代表組成「員工持股會」，由持股會代表與受託銀行簽約開立「○○公司員工持股信託專戶」。工程師每月自願自薪資扣繳 1 萬元，公司提供 100% 相對獎勵金 1 萬元，合計每月 2 萬元匯入該專戶；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② 投資標的差異（重要考點）：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 xml:space="preserve">   - 員工持股信託：信託資金依約定「專門、持續買入自營雇主公司（自家公司）的股票」；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 xml:space="preserve">   - 員工福儲信託（福利儲蓄）：投資標的多元化，除了自家股票外，更可配置於國內外基金、優質公債、金融債或銀行定存，分散單一公司風險；</w:t>
            </w:r>
          </w:p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③ 稅務與返還陷阱（必考）：公司每月提撥的 1 萬元獎勵金，在提撥當月即屬於員工的「薪資所得」，公司須依法扣繳；員工若工作未達約定年限提前離職，員工自己提撥的本息可 100% 領回，但公司提撥的股份則依契約規定可能由公司收回或折減！</w:t>
            </w:r>
          </w:p>
        </w:tc>
      </w:tr>
      <w:tr>
        <w:tc>
          <w:tcPr>
            <w:tcW w:type="dxa" w:w="451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9"/>
              </w:rPr>
              <w:t>核心法理與解題口訣</w:t>
            </w:r>
          </w:p>
        </w:tc>
        <w:tc>
          <w:tcPr>
            <w:tcW w:type="dxa" w:w="4514"/>
            <w:shd w:fill="F0FF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27AE60"/>
                <w:sz w:val="19"/>
              </w:rPr>
              <w:t>「持股專戶買自股，福儲多元配債基；公司獎勵算薪資，未滿年資依約退」</w:t>
            </w:r>
          </w:p>
        </w:tc>
      </w:tr>
    </w:tbl>
    <w:p>
      <w:pPr>
        <w:spacing w:after="160"/>
      </w:pPr>
    </w:p>
    <w:p>
      <w:pPr>
        <w:keepNext/>
        <w:spacing w:before="440" w:after="160"/>
      </w:pPr>
      <w:r>
        <w:rPr>
          <w:rFonts w:ascii="Microsoft JhengHei" w:hAnsi="Microsoft JhengHei" w:eastAsia="Microsoft JhengHei"/>
          <w:b/>
          <w:color w:val="1B365D"/>
          <w:sz w:val="32"/>
        </w:rPr>
        <w:t>第四章：兩大考科 11 大章節逐節（Chapter-by-Chapter）優化對照表</w:t>
      </w:r>
    </w:p>
    <w:p>
      <w:r>
        <w:rPr>
          <w:rFonts w:ascii="Microsoft JhengHei" w:hAnsi="Microsoft JhengHei" w:eastAsia="Microsoft JhengHei"/>
          <w:b w:val="0"/>
          <w:color w:val="333333"/>
          <w:sz w:val="21"/>
        </w:rPr>
        <w:t>為便於教學研發團隊對既有教材程式庫（包含 plain-laws.mjs 的 26 組導讀、concepts.mjs 的 10 組觀念圖解及教材資料.json 的 11 章正文）進行點對點的外科手術式修訂，本章按官方考試範圍 11 章順序，逐節羅列修改對照表：</w:t>
      </w: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■ 第1章：信託法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none"/>
          <w:bottom w:val="single" w:sz="8" w:space="0" w:color="1B365D"/>
          <w:right w:val="none"/>
          <w:insideH w:val="single" w:sz="4" w:space="0" w:color="D0D7DE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小節編號與主題</w:t>
            </w:r>
          </w:p>
        </w:tc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現行教材文字樣式</w:t>
            </w:r>
          </w:p>
        </w:tc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具體優化建議與替換重點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1.1 信託之成立與三方關係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「把財產交給別人照約定管理，利益留給指定的人」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建立信託財產移轉之物權觀念：委託人須將財產所有權實質移轉登記給受託人，並分清自益與他益。強調「財產權移轉＋信託目的＋指定受益人」之成立要件。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1.2 信託無效、撤銷與對抗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「先分清本來就無效、法院可以撤銷、不能向外主張」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正名為「向法院聲請撤銷」而非「向法院提出申請」。明確區分第6條（委託人脫產撤銷，除斥期間1年/10年）與第18條（受託人違約處分撤銷，已辦登記直接撤銷，未辦登記明知始得撤銷）。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1.3 信託財產獨立性與物上代位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「財產只是換了模樣，不會就變成管理者的私房錢」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淘汰「私房錢」俗稱，正名為「信託財產獨立性之物上代位性（換形不換質）」。強調信託法第12條原則上不得對信託財產強制執行，以及信託前已有抵押權之例外執行要件。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1.4 受託人之注意義務與責任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「受託人不能因為自己缺錢，就把退休金拿去付自己的帳單」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升級為「善良管理人之注意義務（抽象輕過失責任）」與「忠實義務（嚴禁利益衝突、自易禁止、分別管理）」。強調信託法第25條原則上禁止以自有財產受讓信託財產。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1.5 信託之消滅、清算與歸屬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「信託結束，要先確認錢該給誰，再完成清算與交付」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明確歸屬權利人之法定遞補順序：① 契約所定之人；② 享有全部信託利益之受益人；③ 委託人或其繼承人。強調財產未交付前依法視為信託繼續存續。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■ 第2章：信託業法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none"/>
          <w:bottom w:val="single" w:sz="8" w:space="0" w:color="1B365D"/>
          <w:right w:val="none"/>
          <w:insideH w:val="single" w:sz="4" w:space="0" w:color="D0D7DE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小節編號與主題</w:t>
            </w:r>
          </w:p>
        </w:tc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現行教材文字樣式</w:t>
            </w:r>
          </w:p>
        </w:tc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具體優化建議與替換重點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2.1 信託業之設立許可與業務範圍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「有銀行招牌，不代表所有信託業務都能直接辦……就像駕照」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升級為「特許業務許可制與分別核定原則」。信託業法第16條信託業務與第17條附屬業務必須經金管會「分別核定」，嚴禁概括核定；涉及外匯業務須經央行許可。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2.2 信託契約記載事項與保本禁止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「信託資金不是銀行可以隨意保證投資的錢」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明引信託業法第31條強制規定：「信託業不得承諾擔保本金或最低收益率」，即使委託人簽署同意書亦屬絕對無效。嚴格區分底層商品發行機構保本 vs 受託銀行保本。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2.3 利害關係人交易之特別限制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「不能只因客戶簽了同意書，就一概說都合法」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精確劃分信託業法第25條（列舉法定禁止交易，原則絕對禁止）與第27條（其他利害關係人交易，有決定權時之書面同意與公告程序），避免將第27條同意程序誤套用至第25條。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2.4 賠償準備金與借入款項限制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「信託業管理一筆財產，不代表能隨意借錢擴大投資」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強調信託業法第26條「原則禁止借入款項」，僅在「以開發為目的之土地信託」且經契約約定或全體受益人同意（或受益人會議通過）始得例外借款；並說明賠償準備金係繳存中央銀行之違約法定擔保。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■ 第3章：信託業法施行細則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none"/>
          <w:bottom w:val="single" w:sz="8" w:space="0" w:color="1B365D"/>
          <w:right w:val="none"/>
          <w:insideH w:val="single" w:sz="4" w:space="0" w:color="D0D7DE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小節編號與主題</w:t>
            </w:r>
          </w:p>
        </w:tc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現行教材文字樣式</w:t>
            </w:r>
          </w:p>
        </w:tc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具體優化建議與替換重點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3.1 運用決定權之三分類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「大方向指定」、「像請人幫忙買菜」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全面正名為信託業法施行細則第7條法定術語：「特定金錢信託（委託人具體指示）」、「指定金錢信託（委託人概括指定範圍，銀行選標的）」、「不指定金錢信託（銀行全權裁量但嚴限第32條法定標的）」。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3.2 集合管理運用帳戶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「甲、乙一起投資，下方40%/60%只是概念例子」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引入「單位化（Units）」與「資產淨值（NAV）」專業概念，說明資金雖集合操作，但專帳各自登載，強調受託人應依集合管理運用帳戶管理辦法逐日計算淨值並公告。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3.3 法定申報、公告期限與查核等級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「把兩種報告想成不同繳交作業」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精確標記核心考試考點：每半營業年度終了後 2 個月內報送經會計師「核閱」之財務報告；每營業年度終了後 4 個月內報送經會計師「查核簽證」之年報；每季終了後 1 個月內完成信託財產評審。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■ 第4章：信託相關稅制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none"/>
          <w:bottom w:val="single" w:sz="8" w:space="0" w:color="1B365D"/>
          <w:right w:val="none"/>
          <w:insideH w:val="single" w:sz="4" w:space="0" w:color="D0D7DE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小節編號與主題</w:t>
            </w:r>
          </w:p>
        </w:tc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現行教材文字樣式</w:t>
            </w:r>
          </w:p>
        </w:tc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具體優化建議與替換重點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4.1 贈與稅之課稅時點與主體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「先看利益送給誰，不只看登記在誰名下」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清晰對比：委託人成立他益信託時，於「信託成立日（或變更日）」即課徵贈與稅；追加財產時亦同；形式移轉（委託人至受託人）不課贈與稅，但受益人享有信託權利實質課稅。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4.2 所得稅導管原則與穿透課稅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「今年賺到的所得與今年是否收到現金是兩件事」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導入「實質課稅原則與透明導管原則」：信託所得於「發生年度」即時穿透歸課受益人綜合所得稅，受託人負有編製收支計算表及次年 1 月底前申報所得憑單之法定義務。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4.3 信託利益現值之複利折現精算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「法規用指定的利率及複利方式折算」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寫明法定基準與公式：按信託成立時「中華郵政股份有限公司一年期定期儲金固定利率」，採年複利折現（PV = FV / (1+i)^n）；享有本金權利者折現，享有孳息權利者為全額減去折現本金現值。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4.4 不動產信託相關稅制（土增稅、房屋稅、契稅）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「每種稅各問一次：誰繳、何時繳」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建立信託移轉不課稅清單：委託人與受託人間、受託人更換時、信託終止歸屬委託人時之土地移轉「不課徵土地增值稅」且「不課徵契稅」；但若信託終止移轉給他益受益人，則依法課徵。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■ 第5章：相關行政規章與函令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none"/>
          <w:bottom w:val="single" w:sz="8" w:space="0" w:color="1B365D"/>
          <w:right w:val="none"/>
          <w:insideH w:val="single" w:sz="4" w:space="0" w:color="D0D7DE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小節編號與主題</w:t>
            </w:r>
          </w:p>
        </w:tc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現行教材文字樣式</w:t>
            </w:r>
          </w:p>
        </w:tc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具體優化建議與替換重點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5.1 法規位階與契約效力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「法律定大原則，辦法再把做法說清楚」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建立完整法律位階體系：法律（信託法、信託業法）＞法規命令（施行細則、行銷訂約管理辦法）＞同業公會自律規範。強調自律規範與契約不得牴觸母法強制規定。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5.2 信託業務人員資格與在職訓練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「不是取得證照就永遠不用訓練」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明確必考數字：初任人員或離職滿 2 年再任人員，應於到職後「半年內參加至少 12 小時職前訓練」；在職人員「每 3 年應參加至少 18 小時在職訓練」，且指定認可機構課程至少占三分之一。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5.3 風險揭露、最大可能損失與行銷限制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「銷售前說清楚，不能只拿簽名當護身符」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結合金融消費者保護法與行銷訂約辦法：強調受託機構於推介高風險或衍生性商品時，應執行 KYC（認識客戶）與 KYP（認識商品），充分揭露最大可能損失與費用結構，嚴禁不當招攬或誇大保本。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■ 第6章：金錢信託實務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none"/>
          <w:bottom w:val="single" w:sz="8" w:space="0" w:color="1B365D"/>
          <w:right w:val="none"/>
          <w:insideH w:val="single" w:sz="4" w:space="0" w:color="D0D7DE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小節編號與主題</w:t>
            </w:r>
          </w:p>
        </w:tc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現行教材文字樣式</w:t>
            </w:r>
          </w:p>
        </w:tc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具體優化建議與替換重點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6.1 金錢信託定義與資產轉化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「你先交10萬元買股票，開始交付的是錢，屬金錢信託」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釐清信託成立時交付財產種類之決定性：以交付金錢為準，信託存續期間依指示購入股票或基金，仍屬「金錢信託」（物上代位性）；直接交付已持有股票者始為有價證券信託。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6.2 投資型信託風險剖析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「教學例：1.10×0.90＝0.99；尚未計費用」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深化外幣與海外基金投資雙重風險：資產價格變動損益與匯率折算風險，強調二者非簡單相加相減；補充通路報酬揭露規範（經理費分成、手續費折讓等合規揭露）。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6.3 員工持股信託與安養保險金信託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「情境推理｜每月固定買股一定賺嗎？」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系統化呈現：① 員工持股信託（自提＋公司獎勵金入專戶，買自家股票）；② 員工福儲信託（多元配置債券基金）；③ 高齡安養信託（專款專用付醫療護理，設信託監察人）；④ 保險金信託（防範理賠金被詐騙）。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■ 第7章：不動產信託實務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none"/>
          <w:bottom w:val="single" w:sz="8" w:space="0" w:color="1B365D"/>
          <w:right w:val="none"/>
          <w:insideH w:val="single" w:sz="4" w:space="0" w:color="D0D7DE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小節編號與主題</w:t>
            </w:r>
          </w:p>
        </w:tc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現行教材文字樣式</w:t>
            </w:r>
          </w:p>
        </w:tc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具體優化建議與替換重點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7.1 管理、處分與開發型信託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「土地開發、建築與專戶管理」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細化開發型不動產信託實務四部曲：① 土地所有權信託登記；② 起造人名義信託變更；③ 興建資金專戶依工程進度憑證撥款；④ 搭配建經公司「續建完工保證」機制。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7.2 產權登記、對外抗告與借款權限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「房子現在寫誰的名字？」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強調不動產信託登記之絕對公示效力；說明信託業法第26條借入款項之受益人會議出席門檻（受益權總數2/3以上出席，出席表決權數1/2以上同意）；預售屋價金信託非完工保證。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7.3 一般不動產信託 vs 不動產證券化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「比較：一般不動產信託 vs 不動產證券化」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對比法制適用：一般不動產信託適用信託法與信託業法；不動產證券化（REIT/REAT）優先適用「不動產證券化條例」特別法，具備大眾募集、受益證券公開發行與資產證券化交易之特性。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■ 第8章：有價證券信託實務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none"/>
          <w:bottom w:val="single" w:sz="8" w:space="0" w:color="1B365D"/>
          <w:right w:val="none"/>
          <w:insideH w:val="single" w:sz="4" w:space="0" w:color="D0D7DE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小節編號與主題</w:t>
            </w:r>
          </w:p>
        </w:tc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現行教材文字樣式</w:t>
            </w:r>
          </w:p>
        </w:tc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具體優化建議與替換重點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8.1 管理型、處分型與運用型證券信託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「管理股票的權限要看約定，不是有股票就能任意賣」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依契約目的精確分類：① 管理型（單純保管、代領股息、轉交股東會通知）；② 處分型（依約定條件逢高賣出、換取現金）；③ 運用型（將股票借出賺取借券利息）。強調信託業法第20條以信託專戶名義表彰與過戶登記之特別規定。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8.2 證券借貸與表決權行使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「借出去的證券要有回收控制」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說明有價證券借貸之風險控管：合格擔保品維持率、每日盯市（Mark-to-Market）及保證金追繳機制；表決權行使依信託契約或法規分別行使，不得與受託人自有股份聯合操縱。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■ 第9章：金融資產證券化實務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none"/>
          <w:bottom w:val="single" w:sz="8" w:space="0" w:color="1B365D"/>
          <w:right w:val="none"/>
          <w:insideH w:val="single" w:sz="4" w:space="0" w:color="D0D7DE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小節編號與主題</w:t>
            </w:r>
          </w:p>
        </w:tc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現行教材文字樣式</w:t>
            </w:r>
          </w:p>
        </w:tc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具體優化建議與替換重點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9.1 參與機構與發行雙架構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「特殊目的信託公司與參與機構」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正名資產證券化兩大法定架構：特殊目的信託（SPT，受託機構發行受益證券）與特殊目的公司（SPC，特設法人發行資產基礎證券）。明確劃分創始機構、服務機構、受託機構與監督機構之權責。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9.2 現金流瀑布與內部外部信用增強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「簡化瀑布分配：借款人還款100」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建立完整信用分層觀念：優先順位證券（取得高等級信用評等）與次順位證券（由創始機構保留吸收第一線損失）；信用增強區分內部（超額抵押、次順位、利差儲備）與外部（金融保證、備用信用狀）。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9.3 REIT 與 REAT 制度比較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「REIT先募資投資；REAT先有不動產再做證券化」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深入比較：REIT 具備股權基金性質、原則封閉型、每年收益分配至少90%；REAT 具備債券資產融資性質、以既有不動產現金流還本付息、期滿處分返還本金。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■ 第10章：保管銀行業務實務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none"/>
          <w:bottom w:val="single" w:sz="8" w:space="0" w:color="1B365D"/>
          <w:right w:val="none"/>
          <w:insideH w:val="single" w:sz="4" w:space="0" w:color="D0D7DE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小節編號與主題</w:t>
            </w:r>
          </w:p>
        </w:tc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現行教材文字樣式</w:t>
            </w:r>
          </w:p>
        </w:tc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具體優化建議與替換重點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10.1 共同基金之三方制衡架構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「基金像有分工的廚房：投信決定菜單，保管看管食材」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重塑為專業金融防火牆：投信為委託人兼投資經理人；基金保管銀行為受託人；投資人為受益人。保管銀行獨立保管基金資產，實施款券對付交割與法規遵法審核。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10.2 交割控制與越權交易法定處理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「指示超出契約範圍：辨認越權交易」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精確列出越權交易法定 SOP：保管機構發現指示越權 → 立即出具越權交易通知書 → 通知委託人與投信 → 申報金管會與公會 → 越權買入部位由投信自負履行交割責任。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10.3 國外資產保管鏈與全球保管業務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「國外投資：當地保管鏈」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引介 Global Custody 實務：國內保管銀行委託國外全球保管銀行（Global Custodian）及當地次保管銀行（Sub-custodian）建立跨境託管鏈，處理跨國稅務扣繳、公司行動及外匯結審。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Microsoft JhengHei" w:hAnsi="Microsoft JhengHei" w:eastAsia="Microsoft JhengHei"/>
          <w:b/>
          <w:color w:val="2B547E"/>
          <w:sz w:val="26"/>
        </w:rPr>
        <w:t>■ 第11章：其他相關信託實務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none"/>
          <w:bottom w:val="single" w:sz="8" w:space="0" w:color="1B365D"/>
          <w:right w:val="none"/>
          <w:insideH w:val="single" w:sz="4" w:space="0" w:color="D0D7DE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小節編號與主題</w:t>
            </w:r>
          </w:p>
        </w:tc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現行教材文字樣式</w:t>
            </w:r>
          </w:p>
        </w:tc>
        <w:tc>
          <w:tcPr>
            <w:tcW w:type="dxa" w:w="3010"/>
            <w:shd w:fill="2B547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具體優化建議與替換重點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11.1 公益信託法制與特許監理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「不是在契約上寫公益兩字就成立」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明確公益信託五大特點：① 必須為公共利益目的；② 設立與受託人須經「目的事業主管機關」特許（非金管會）；③ 必須設置信託監察人；④ 每年定期向主管機關申報財務並公告；⑤ 連續 3 年無正當理由不活動得撤銷許可。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11.2 預收款信託與商品禮券履約保證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「消費者先付款，需要保護預收款」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說明消費者保護機制：發行禮券或預收款業者依法必須提供履約保證，信託方式為將預收款存入銀行信託專戶，專款專用於商品提供或服務履行，未履約時由銀行退還消費者款項。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11.3 家族傳承信託與家族憲章結合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「高資產跨代傳承信託」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結合閉鎖型公司、海外信託架構及家族憲章，避免家族企業股權旁落或繼承人爭產，落實長期企業經營權穩定與家族公益傳承。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B365D"/>
                <w:sz w:val="18"/>
              </w:rPr>
              <w:t>11.4 信託法修正草案趨勢與防弊焦點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666666"/>
                <w:sz w:val="17"/>
              </w:rPr>
              <w:t>「法制發展前瞻」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1B365D"/>
                <w:sz w:val="18"/>
              </w:rPr>
              <w:t>簡述信託法草案重點：強化公益信託之資訊公開（透明度原則）、限制關係人交易、設立年度公益支出最低比率門檻，防範「假公益真避稅」等當前金融社會熱門焦點。</w:t>
            </w:r>
          </w:p>
        </w:tc>
      </w:tr>
    </w:tbl>
    <w:p>
      <w:pPr>
        <w:spacing w:after="120"/>
      </w:pPr>
    </w:p>
    <w:p>
      <w:pPr>
        <w:keepNext/>
        <w:spacing w:before="440" w:after="160"/>
      </w:pPr>
      <w:r>
        <w:rPr>
          <w:rFonts w:ascii="Microsoft JhengHei" w:hAnsi="Microsoft JhengHei" w:eastAsia="Microsoft JhengHei"/>
          <w:b/>
          <w:color w:val="1B365D"/>
          <w:sz w:val="32"/>
        </w:rPr>
        <w:t>第五章：落地落實指引與前端程式無痛整合路徑</w:t>
      </w:r>
    </w:p>
    <w:p>
      <w:r>
        <w:rPr>
          <w:rFonts w:ascii="Microsoft JhengHei" w:hAnsi="Microsoft JhengHei" w:eastAsia="Microsoft JhengHei"/>
          <w:b w:val="0"/>
          <w:color w:val="333333"/>
          <w:sz w:val="21"/>
        </w:rPr>
        <w:t>本建言書所提出之用詞與生活舉例優化，可完全在「不破壞既有架構、不影響既有 2,726 題歷屆題庫、不改動法規原文引用」的前提下，精準實施外科手術式升級。技術落地路徑規劃如下：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2B547E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22"/>
              </w:rPr>
              <w:t>★ 實施步驟一：更新 plain-laws.mjs 導讀與名詞庫</w:t>
              <w:br/>
            </w:r>
            <w:r>
              <w:rPr>
                <w:rFonts w:ascii="Microsoft JhengHei" w:hAnsi="Microsoft JhengHei" w:eastAsia="Microsoft JhengHei"/>
                <w:b w:val="0"/>
                <w:color w:val="333333"/>
                <w:sz w:val="20"/>
              </w:rPr>
              <w:t>1. 將 plain-laws.mjs 中的 lessons 物件（26組法規生活說明）依第三章與第四章之升級版文字直接替換，保留對應之條文引用陣列。</w:t>
              <w:br/>
              <w:t>2. 擴充 glossary 詞彙表，補齊「物上代位性」、「導管原則」、「折現率（郵局一年定儲）」、「破產隔離」等 15 大法規高頻詞彙。</w:t>
              <w:br/>
              <w:t>3. 修正 enhanceLawChapter 替換邏輯：取消全域過度口語替換（如避免將「概括指定」盲目換成「大方向指定」），改採「術語＋直覺註解」雙軌呈現。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2B547E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22"/>
              </w:rPr>
              <w:t>★ 實施步驟二：升級 concepts.mjs 之 10 大觀念卡片</w:t>
              <w:br/>
            </w:r>
            <w:r>
              <w:rPr>
                <w:rFonts w:ascii="Microsoft JhengHei" w:hAnsi="Microsoft JhengHei" w:eastAsia="Microsoft JhengHei"/>
                <w:b w:val="0"/>
                <w:color w:val="333333"/>
                <w:sz w:val="20"/>
              </w:rPr>
              <w:t>1. 將 concepts.mjs 中的 10 組 lessons 內容（白話說、觀念分工、容易混淆）升級為本文第三章之高傳真金融實務範例。</w:t>
              <w:br/>
              <w:t>2. 正名觀念名稱：將「特殊目的信託公司與參與機構」正名為「資產證券化發行架構：特殊目的信託（SPT）與特殊目的公司（SPC）」，消除法理合稱混淆。</w:t>
              <w:br/>
              <w:t>3. 強化容易混淆提醒（Avoid Traps）：將考場最高頻之陷阱（如未辦信託登記之對抗效力、越權交易自負交割責任等）以警示框標出。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2B547E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1B365D"/>
                <w:sz w:val="22"/>
              </w:rPr>
              <w:t>★ 實施步驟三：自動化測試與零回歸驗證</w:t>
              <w:br/>
            </w:r>
            <w:r>
              <w:rPr>
                <w:rFonts w:ascii="Microsoft JhengHei" w:hAnsi="Microsoft JhengHei" w:eastAsia="Microsoft JhengHei"/>
                <w:b w:val="0"/>
                <w:color w:val="333333"/>
                <w:sz w:val="20"/>
              </w:rPr>
              <w:t>修訂完成後，依序執行既有五大驗證腳本：</w:t>
              <w:br/>
              <w:t>① node verify.mjs（基礎結構與題庫一致性）</w:t>
              <w:br/>
              <w:t>② node verify-bank.mjs（2726題歷屆題與官方答案核對）</w:t>
              <w:br/>
              <w:t>③ node verify-laws.mjs（法條原文121區塊逐字比對）</w:t>
              <w:br/>
              <w:t>④ node verify-time.mjs（期間、時限文字色碼正確性）</w:t>
              <w:br/>
              <w:t>⑤ node verify-concepts.mjs（73個觀念分類計數對帳）</w:t>
              <w:br/>
              <w:t>確保在全面升級用詞與舉例的同時，保持 100% 測試綠燈通過，打造業界最高品質之信託專業教材！</w:t>
            </w:r>
          </w:p>
        </w:tc>
      </w:tr>
    </w:tbl>
    <w:p>
      <w:pPr>
        <w:spacing w:after="80"/>
      </w:pP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