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Toggle navigation </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
        <w:r w:rsidDel="00000000" w:rsidR="00000000" w:rsidRPr="00000000">
          <w:rPr>
            <w:color w:val="0000ee"/>
            <w:u w:val="single"/>
            <w:rtl w:val="0"/>
          </w:rPr>
          <w:t xml:space="preserve">FAQ</w:t>
        </w:r>
      </w:hyperlink>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Talk To An Advisor</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9">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General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What is a risk number?</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Think of a Risk Number like a thermostat. Everyone has a comfort zone: some may like the thermostat set at 69 degrees, others may prefer 73. No matter what the weather is like outside, the thermostat works to keep the temperature inside at a designated level. CLS’s risk management approach is essentially a thermostat for your portfolio. Once your Risk NumberTM is set, CLS consistently monitors and analyzes the assets in your portfolio to keep the risk level constant no matter how global market conditions change. Your individual Risk Number represents the amount of risk you’r comfortable taking on in exchange for potential 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What type of investment will I be investing in?</w:t>
      </w:r>
    </w:p>
    <w:p w:rsidR="00000000" w:rsidDel="00000000" w:rsidP="00000000" w:rsidRDefault="00000000" w:rsidRPr="00000000">
      <w:pPr>
        <w:contextualSpacing w:val="0"/>
      </w:pPr>
      <w:hyperlink w:anchor="b.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Exchange Traded Funds are used within your portfolio due to their liquidity and generally lower cost. Portfolios are designed to allocate across a wide variety of assets in a diversified, global manner. Over time, the combination of multiple asset classes- such as large cap U.S. Stocks, commodities, fixed income, and emerging markets- is designed to reduce overall portfolio volatility and increase returns.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Will I receive paper statements?</w:t>
      </w:r>
    </w:p>
    <w:p w:rsidR="00000000" w:rsidDel="00000000" w:rsidP="00000000" w:rsidRDefault="00000000" w:rsidRPr="00000000">
      <w:pPr>
        <w:contextualSpacing w:val="0"/>
      </w:pPr>
      <w:hyperlink w:anchor="b.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Unless you specify otherwise, you will receive online monthly custodial statements, quarterly CLS Statements, and quarterly CLS Video Statements.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Is there a minimum? Can I make additional contributions?</w:t>
      </w:r>
    </w:p>
    <w:p w:rsidR="00000000" w:rsidDel="00000000" w:rsidP="00000000" w:rsidRDefault="00000000" w:rsidRPr="00000000">
      <w:pPr>
        <w:contextualSpacing w:val="0"/>
      </w:pPr>
      <w:hyperlink w:anchor="b.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The account minimum is $5,000. You can make additional contributions with no dollar contribution minimums. However, in qualified accounts you will be limited on how much you can contribute annually. Please speak with your financial advisor on qualified account limits.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What types of account can be opened?</w:t>
      </w:r>
    </w:p>
    <w:p w:rsidR="00000000" w:rsidDel="00000000" w:rsidP="00000000" w:rsidRDefault="00000000" w:rsidRPr="00000000">
      <w:pPr>
        <w:contextualSpacing w:val="0"/>
      </w:pPr>
      <w:hyperlink w:anchor="b.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Currently you can open an account with the follow registration types: Individual, Joint(s), IRA, Roth IRA, Rollover IRA, SEP IRA.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b w:val="1"/>
          <w:i w:val="0"/>
          <w:color w:val="0000ee"/>
          <w:sz w:val="24"/>
          <w:szCs w:val="24"/>
          <w:u w:val="single"/>
          <w:rtl w:val="0"/>
        </w:rPr>
        <w:t xml:space="preserve">How safe is my personal information?</w:t>
      </w:r>
    </w:p>
    <w:p w:rsidR="00000000" w:rsidDel="00000000" w:rsidP="00000000" w:rsidRDefault="00000000" w:rsidRPr="00000000">
      <w:pPr>
        <w:contextualSpacing w:val="0"/>
      </w:pPr>
      <w:hyperlink w:anchor="b.5">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All connections to the Autopilot services are secured with 128-bit encryption, and sensitive data is encrypted at rest.</w:t>
      </w:r>
    </w:p>
    <w:p w:rsidR="00000000" w:rsidDel="00000000" w:rsidP="00000000" w:rsidRDefault="00000000" w:rsidRPr="00000000">
      <w:pPr>
        <w:contextualSpacing w:val="0"/>
      </w:pPr>
      <w:r w:rsidDel="00000000" w:rsidR="00000000" w:rsidRPr="00000000">
        <w:rPr>
          <w:rtl w:val="0"/>
        </w:rPr>
        <w:t xml:space="preserve">The content is developed from sources believed to be providing accurate information. The information in this material is not intended as tax or legal advice. Please consult legal or tax professionals for specific information regarding your individual situation. Some of this material was developed and produced by FMG, LLC, to provide information on a topic that may be of interest. FMG, LLC, is not affiliated with the named representative, broker-dealer, state- or SEC-registered investment advisory firm. The opinions expressed and material provided are for general information, and should not be considered a solicitation for the purchase or sale of any security.</w:t>
      </w:r>
    </w:p>
    <w:p w:rsidR="00000000" w:rsidDel="00000000" w:rsidP="00000000" w:rsidRDefault="00000000" w:rsidRPr="00000000">
      <w:pPr>
        <w:contextualSpacing w:val="0"/>
      </w:pPr>
      <w:r w:rsidDel="00000000" w:rsidR="00000000" w:rsidRPr="00000000">
        <w:rPr>
          <w:rtl w:val="0"/>
        </w:rPr>
        <w:t xml:space="preserve">Registered Representatives offering securities and advisory services through United Planners Financial Services of America, a Limited Partnership. Member FINRA and SIPC. Skye Financial Services Inc. and United Planners Financial Services are not affiliated.</w:t>
      </w:r>
    </w:p>
    <w:p w:rsidR="00000000" w:rsidDel="00000000" w:rsidP="00000000" w:rsidRDefault="00000000" w:rsidRPr="00000000">
      <w:pPr>
        <w:contextualSpacing w:val="0"/>
      </w:pPr>
      <w:r w:rsidDel="00000000" w:rsidR="00000000" w:rsidRPr="00000000">
        <w:rPr>
          <w:rtl w:val="0"/>
        </w:rPr>
        <w:t xml:space="preserve">This information is intended for use only by residents of Arizona, California, Florida, Illinois, Indiana, Kentucky, Minnesota, South Carolina, Washington, and Wisconsin. Securities-related services may not be provided to individuals residing in any state not listed above. Insurance-related services may not be provided to individuals residing in any states other than WI, FL and MN.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kyefinancialservice.com/contact" TargetMode="External"/><Relationship Id="rId5" Type="http://schemas.openxmlformats.org/officeDocument/2006/relationships/hyperlink" Target="http://docs.google.com/faq-skye.html" TargetMode="External"/><Relationship Id="rId6" Type="http://schemas.openxmlformats.org/officeDocument/2006/relationships/hyperlink" Target="http://www.skyefinancialservice.com/contact" TargetMode="External"/><Relationship Id="rId7" Type="http://schemas.openxmlformats.org/officeDocument/2006/relationships/hyperlink" Target="http://www.skyefinancialservice.com/contact" TargetMode="External"/><Relationship Id="rId8" Type="http://schemas.openxmlformats.org/officeDocument/2006/relationships/hyperlink" Target="http://www.skyefinancialservice.com/contact" TargetMode="External"/></Relationships>
</file>