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12" w:lineRule="auto" w:before="74"/>
        <w:ind w:left="100" w:right="6685" w:firstLine="0"/>
        <w:jc w:val="left"/>
        <w:rPr>
          <w:sz w:val="24"/>
        </w:rPr>
      </w:pPr>
      <w:r>
        <w:rPr>
          <w:sz w:val="24"/>
        </w:rPr>
        <w:t>Southwest Airlines Co. 1995 Annual Report</w:t>
      </w:r>
    </w:p>
    <w:p>
      <w:pPr>
        <w:pStyle w:val="BodyText"/>
        <w:spacing w:before="7"/>
        <w:rPr>
          <w:sz w:val="31"/>
        </w:rPr>
      </w:pPr>
    </w:p>
    <w:p>
      <w:pPr>
        <w:spacing w:before="0"/>
        <w:ind w:left="100" w:right="0" w:firstLine="0"/>
        <w:jc w:val="left"/>
        <w:rPr>
          <w:sz w:val="24"/>
        </w:rPr>
      </w:pPr>
      <w:r>
        <w:rPr>
          <w:sz w:val="24"/>
        </w:rPr>
        <w:t>OUR 6 SECRETS OF SUCCESS</w:t>
      </w:r>
    </w:p>
    <w:p>
      <w:pPr>
        <w:pStyle w:val="BodyText"/>
        <w:spacing w:before="2"/>
        <w:rPr>
          <w:sz w:val="38"/>
        </w:rPr>
      </w:pPr>
    </w:p>
    <w:p>
      <w:pPr>
        <w:spacing w:before="0"/>
        <w:ind w:left="100" w:right="0" w:firstLine="0"/>
        <w:jc w:val="left"/>
        <w:rPr>
          <w:b/>
          <w:sz w:val="24"/>
        </w:rPr>
      </w:pPr>
      <w:r>
        <w:rPr>
          <w:b/>
          <w:sz w:val="24"/>
        </w:rPr>
        <w:t>Table of Contents</w:t>
      </w:r>
    </w:p>
    <w:sdt>
      <w:sdtPr>
        <w:docPartObj>
          <w:docPartGallery w:val="Table of Contents"/>
          <w:docPartUnique/>
        </w:docPartObj>
      </w:sdtPr>
      <w:sdtEndPr/>
      <w:sdtContent>
        <w:p>
          <w:pPr>
            <w:pStyle w:val="TOC2"/>
            <w:tabs>
              <w:tab w:pos="9098" w:val="right" w:leader="dot"/>
            </w:tabs>
            <w:spacing w:before="88"/>
            <w:ind w:left="1900" w:firstLine="0"/>
          </w:pPr>
          <w:hyperlink w:history="true" w:anchor="_TOC_250004">
            <w:r>
              <w:rPr/>
              <w:t>Consolidated</w:t>
            </w:r>
            <w:r>
              <w:rPr>
                <w:spacing w:val="-3"/>
              </w:rPr>
              <w:t> </w:t>
            </w:r>
            <w:r>
              <w:rPr/>
              <w:t>Highlights</w:t>
              <w:tab/>
              <w:t>2</w:t>
            </w:r>
          </w:hyperlink>
        </w:p>
        <w:p>
          <w:pPr>
            <w:pStyle w:val="TOC2"/>
            <w:tabs>
              <w:tab w:pos="9098" w:val="right" w:leader="dot"/>
            </w:tabs>
            <w:ind w:left="1900" w:firstLine="0"/>
          </w:pPr>
          <w:r>
            <w:rPr/>
            <w:t>Introduction</w:t>
            <w:tab/>
            <w:t>3</w:t>
          </w:r>
        </w:p>
        <w:p>
          <w:pPr>
            <w:pStyle w:val="TOC2"/>
            <w:tabs>
              <w:tab w:pos="9098" w:val="right" w:leader="dot"/>
            </w:tabs>
            <w:ind w:left="1900" w:firstLine="0"/>
          </w:pPr>
          <w:r>
            <w:rPr/>
            <w:t>Letter</w:t>
          </w:r>
          <w:r>
            <w:rPr>
              <w:spacing w:val="-4"/>
            </w:rPr>
            <w:t> </w:t>
          </w:r>
          <w:r>
            <w:rPr/>
            <w:t>to</w:t>
          </w:r>
          <w:r>
            <w:rPr>
              <w:spacing w:val="1"/>
            </w:rPr>
            <w:t> </w:t>
          </w:r>
          <w:r>
            <w:rPr/>
            <w:t>Shareholders</w:t>
            <w:tab/>
            <w:t>4</w:t>
          </w:r>
        </w:p>
        <w:p>
          <w:pPr>
            <w:pStyle w:val="TOC2"/>
            <w:numPr>
              <w:ilvl w:val="0"/>
              <w:numId w:val="1"/>
            </w:numPr>
            <w:tabs>
              <w:tab w:pos="2169" w:val="left" w:leader="none"/>
              <w:tab w:pos="9098" w:val="right" w:leader="dot"/>
            </w:tabs>
            <w:spacing w:line="240" w:lineRule="auto" w:before="83" w:after="0"/>
            <w:ind w:left="2168" w:right="0" w:hanging="268"/>
            <w:jc w:val="left"/>
          </w:pPr>
          <w:r>
            <w:rPr/>
            <w:t>Stick To </w:t>
          </w:r>
          <w:r>
            <w:rPr>
              <w:spacing w:val="3"/>
            </w:rPr>
            <w:t>What </w:t>
          </w:r>
          <w:r>
            <w:rPr/>
            <w:t>You’re</w:t>
          </w:r>
          <w:r>
            <w:rPr>
              <w:spacing w:val="-6"/>
            </w:rPr>
            <w:t> </w:t>
          </w:r>
          <w:r>
            <w:rPr/>
            <w:t>Good</w:t>
          </w:r>
          <w:r>
            <w:rPr>
              <w:spacing w:val="1"/>
            </w:rPr>
            <w:t> </w:t>
          </w:r>
          <w:r>
            <w:rPr/>
            <w:t>At</w:t>
            <w:tab/>
            <w:t>4</w:t>
          </w:r>
        </w:p>
        <w:p>
          <w:pPr>
            <w:pStyle w:val="TOC2"/>
            <w:numPr>
              <w:ilvl w:val="0"/>
              <w:numId w:val="1"/>
            </w:numPr>
            <w:tabs>
              <w:tab w:pos="2169" w:val="left" w:leader="none"/>
              <w:tab w:pos="9098" w:val="right" w:leader="dot"/>
            </w:tabs>
            <w:spacing w:line="240" w:lineRule="auto" w:before="83" w:after="0"/>
            <w:ind w:left="2168" w:right="0" w:hanging="268"/>
            <w:jc w:val="left"/>
          </w:pPr>
          <w:r>
            <w:rPr>
              <w:spacing w:val="-3"/>
            </w:rPr>
            <w:t>Keep</w:t>
          </w:r>
          <w:r>
            <w:rPr>
              <w:spacing w:val="10"/>
            </w:rPr>
            <w:t> </w:t>
          </w:r>
          <w:r>
            <w:rPr/>
            <w:t>It</w:t>
          </w:r>
          <w:r>
            <w:rPr>
              <w:spacing w:val="-1"/>
            </w:rPr>
            <w:t> </w:t>
          </w:r>
          <w:r>
            <w:rPr/>
            <w:t>Simple</w:t>
            <w:tab/>
            <w:t>8</w:t>
          </w:r>
        </w:p>
        <w:p>
          <w:pPr>
            <w:pStyle w:val="TOC2"/>
            <w:numPr>
              <w:ilvl w:val="0"/>
              <w:numId w:val="1"/>
            </w:numPr>
            <w:tabs>
              <w:tab w:pos="2169" w:val="left" w:leader="none"/>
              <w:tab w:pos="9099" w:val="right" w:leader="dot"/>
            </w:tabs>
            <w:spacing w:line="240" w:lineRule="auto" w:before="83" w:after="0"/>
            <w:ind w:left="2168" w:right="0" w:hanging="268"/>
            <w:jc w:val="left"/>
          </w:pPr>
          <w:r>
            <w:rPr>
              <w:spacing w:val="-3"/>
            </w:rPr>
            <w:t>Keep </w:t>
          </w:r>
          <w:r>
            <w:rPr>
              <w:spacing w:val="3"/>
            </w:rPr>
            <w:t>Fares </w:t>
          </w:r>
          <w:r>
            <w:rPr/>
            <w:t>Low, Costs</w:t>
          </w:r>
          <w:r>
            <w:rPr>
              <w:spacing w:val="4"/>
            </w:rPr>
            <w:t> </w:t>
          </w:r>
          <w:r>
            <w:rPr/>
            <w:t>Lower</w:t>
            <w:tab/>
            <w:t>10</w:t>
          </w:r>
        </w:p>
        <w:p>
          <w:pPr>
            <w:pStyle w:val="TOC2"/>
            <w:numPr>
              <w:ilvl w:val="0"/>
              <w:numId w:val="1"/>
            </w:numPr>
            <w:tabs>
              <w:tab w:pos="2169" w:val="left" w:leader="none"/>
              <w:tab w:pos="9099" w:val="right" w:leader="dot"/>
            </w:tabs>
            <w:spacing w:line="240" w:lineRule="auto" w:before="83" w:after="0"/>
            <w:ind w:left="2168" w:right="0" w:hanging="268"/>
            <w:jc w:val="left"/>
          </w:pPr>
          <w:r>
            <w:rPr/>
            <w:t>Treat Customers</w:t>
          </w:r>
          <w:r>
            <w:rPr>
              <w:spacing w:val="-3"/>
            </w:rPr>
            <w:t> </w:t>
          </w:r>
          <w:r>
            <w:rPr/>
            <w:t>Like</w:t>
          </w:r>
          <w:r>
            <w:rPr>
              <w:spacing w:val="1"/>
            </w:rPr>
            <w:t> </w:t>
          </w:r>
          <w:r>
            <w:rPr/>
            <w:t>Guests</w:t>
            <w:tab/>
            <w:t>12</w:t>
          </w:r>
        </w:p>
        <w:p>
          <w:pPr>
            <w:pStyle w:val="TOC2"/>
            <w:numPr>
              <w:ilvl w:val="0"/>
              <w:numId w:val="1"/>
            </w:numPr>
            <w:tabs>
              <w:tab w:pos="2169" w:val="left" w:leader="none"/>
              <w:tab w:pos="9099" w:val="right" w:leader="dot"/>
            </w:tabs>
            <w:spacing w:line="240" w:lineRule="auto" w:before="83" w:after="0"/>
            <w:ind w:left="2168" w:right="0" w:hanging="268"/>
            <w:jc w:val="left"/>
          </w:pPr>
          <w:r>
            <w:rPr/>
            <w:t>Never</w:t>
          </w:r>
          <w:r>
            <w:rPr>
              <w:spacing w:val="7"/>
            </w:rPr>
            <w:t> </w:t>
          </w:r>
          <w:r>
            <w:rPr>
              <w:spacing w:val="-4"/>
            </w:rPr>
            <w:t>Stand</w:t>
          </w:r>
          <w:r>
            <w:rPr>
              <w:spacing w:val="15"/>
            </w:rPr>
            <w:t> </w:t>
          </w:r>
          <w:r>
            <w:rPr>
              <w:spacing w:val="2"/>
            </w:rPr>
            <w:t>Still</w:t>
            <w:tab/>
          </w:r>
          <w:r>
            <w:rPr/>
            <w:t>14</w:t>
          </w:r>
        </w:p>
        <w:p>
          <w:pPr>
            <w:pStyle w:val="TOC2"/>
            <w:numPr>
              <w:ilvl w:val="0"/>
              <w:numId w:val="1"/>
            </w:numPr>
            <w:tabs>
              <w:tab w:pos="2169" w:val="left" w:leader="none"/>
              <w:tab w:pos="9099" w:val="right" w:leader="dot"/>
            </w:tabs>
            <w:spacing w:line="240" w:lineRule="auto" w:before="83" w:after="0"/>
            <w:ind w:left="2168" w:right="0" w:hanging="268"/>
            <w:jc w:val="left"/>
          </w:pPr>
          <w:r>
            <w:rPr/>
            <w:t>Hire</w:t>
          </w:r>
          <w:r>
            <w:rPr>
              <w:spacing w:val="-1"/>
            </w:rPr>
            <w:t> </w:t>
          </w:r>
          <w:r>
            <w:rPr/>
            <w:t>Great</w:t>
          </w:r>
          <w:r>
            <w:rPr>
              <w:spacing w:val="1"/>
            </w:rPr>
            <w:t> </w:t>
          </w:r>
          <w:r>
            <w:rPr/>
            <w:t>People</w:t>
            <w:tab/>
            <w:t>16</w:t>
          </w:r>
        </w:p>
        <w:p>
          <w:pPr>
            <w:pStyle w:val="TOC1"/>
            <w:tabs>
              <w:tab w:pos="9099" w:val="right" w:leader="dot"/>
            </w:tabs>
          </w:pPr>
          <w:hyperlink w:history="true" w:anchor="_TOC_250003">
            <w:r>
              <w:rPr/>
              <w:t>Looking</w:t>
            </w:r>
            <w:r>
              <w:rPr>
                <w:spacing w:val="-1"/>
              </w:rPr>
              <w:t> </w:t>
            </w:r>
            <w:r>
              <w:rPr/>
              <w:t>Ahead</w:t>
              <w:tab/>
              <w:t>18</w:t>
            </w:r>
          </w:hyperlink>
        </w:p>
        <w:p>
          <w:pPr>
            <w:pStyle w:val="TOC1"/>
            <w:tabs>
              <w:tab w:pos="9099" w:val="right" w:leader="dot"/>
            </w:tabs>
          </w:pPr>
          <w:r>
            <w:rPr/>
            <w:t>Destinations</w:t>
            <w:tab/>
            <w:t>20</w:t>
          </w:r>
        </w:p>
        <w:p>
          <w:pPr>
            <w:pStyle w:val="TOC1"/>
            <w:tabs>
              <w:tab w:pos="9099" w:val="right" w:leader="dot"/>
            </w:tabs>
          </w:pPr>
          <w:r>
            <w:rPr>
              <w:spacing w:val="3"/>
            </w:rPr>
            <w:t>Financial</w:t>
          </w:r>
          <w:r>
            <w:rPr>
              <w:spacing w:val="-16"/>
            </w:rPr>
            <w:t> </w:t>
          </w:r>
          <w:r>
            <w:rPr/>
            <w:t>Review</w:t>
            <w:tab/>
            <w:t>21</w:t>
          </w:r>
        </w:p>
        <w:p>
          <w:pPr>
            <w:pStyle w:val="TOC1"/>
            <w:tabs>
              <w:tab w:pos="9099" w:val="right" w:leader="dot"/>
            </w:tabs>
          </w:pPr>
          <w:r>
            <w:rPr/>
            <w:t>Management’s Discussion and</w:t>
          </w:r>
          <w:r>
            <w:rPr>
              <w:spacing w:val="-1"/>
            </w:rPr>
            <w:t> </w:t>
          </w:r>
          <w:r>
            <w:rPr/>
            <w:t>Analysis</w:t>
            <w:tab/>
            <w:t>21</w:t>
          </w:r>
        </w:p>
        <w:p>
          <w:pPr>
            <w:pStyle w:val="TOC1"/>
            <w:tabs>
              <w:tab w:pos="9099" w:val="right" w:leader="dot"/>
            </w:tabs>
          </w:pPr>
          <w:r>
            <w:rPr/>
            <w:t>Consolidated</w:t>
          </w:r>
          <w:r>
            <w:rPr>
              <w:spacing w:val="-3"/>
            </w:rPr>
            <w:t> </w:t>
          </w:r>
          <w:r>
            <w:rPr>
              <w:spacing w:val="3"/>
            </w:rPr>
            <w:t>Financial</w:t>
          </w:r>
          <w:r>
            <w:rPr>
              <w:spacing w:val="-16"/>
            </w:rPr>
            <w:t> </w:t>
          </w:r>
          <w:r>
            <w:rPr/>
            <w:t>Statements</w:t>
            <w:tab/>
            <w:t>27</w:t>
          </w:r>
        </w:p>
        <w:p>
          <w:pPr>
            <w:pStyle w:val="TOC1"/>
            <w:tabs>
              <w:tab w:pos="9099" w:val="right" w:leader="dot"/>
            </w:tabs>
          </w:pPr>
          <w:r>
            <w:rPr/>
            <w:t>Report of</w:t>
          </w:r>
          <w:r>
            <w:rPr>
              <w:spacing w:val="8"/>
            </w:rPr>
            <w:t> </w:t>
          </w:r>
          <w:r>
            <w:rPr/>
            <w:t>Independent</w:t>
          </w:r>
          <w:r>
            <w:rPr>
              <w:spacing w:val="-1"/>
            </w:rPr>
            <w:t> </w:t>
          </w:r>
          <w:r>
            <w:rPr/>
            <w:t>Auditors</w:t>
            <w:tab/>
            <w:t>39</w:t>
          </w:r>
        </w:p>
        <w:p>
          <w:pPr>
            <w:pStyle w:val="TOC1"/>
            <w:tabs>
              <w:tab w:pos="9099" w:val="right" w:leader="dot"/>
            </w:tabs>
          </w:pPr>
          <w:r>
            <w:rPr/>
            <w:t>Quarterly </w:t>
          </w:r>
          <w:r>
            <w:rPr>
              <w:spacing w:val="3"/>
            </w:rPr>
            <w:t>Financial</w:t>
          </w:r>
          <w:r>
            <w:rPr>
              <w:spacing w:val="-16"/>
            </w:rPr>
            <w:t> </w:t>
          </w:r>
          <w:r>
            <w:rPr/>
            <w:t>Data</w:t>
            <w:tab/>
            <w:t>40</w:t>
          </w:r>
        </w:p>
        <w:p>
          <w:pPr>
            <w:pStyle w:val="TOC1"/>
            <w:tabs>
              <w:tab w:pos="9099" w:val="right" w:leader="dot"/>
            </w:tabs>
          </w:pPr>
          <w:hyperlink w:history="true" w:anchor="_TOC_250002">
            <w:r>
              <w:rPr>
                <w:spacing w:val="-3"/>
              </w:rPr>
              <w:t>Common </w:t>
            </w:r>
            <w:r>
              <w:rPr>
                <w:spacing w:val="-4"/>
              </w:rPr>
              <w:t>Stock </w:t>
            </w:r>
            <w:r>
              <w:rPr/>
              <w:t>Price Ranges</w:t>
            </w:r>
            <w:r>
              <w:rPr>
                <w:spacing w:val="30"/>
              </w:rPr>
              <w:t> </w:t>
            </w:r>
            <w:r>
              <w:rPr/>
              <w:t>and</w:t>
            </w:r>
            <w:r>
              <w:rPr>
                <w:spacing w:val="-1"/>
              </w:rPr>
              <w:t> </w:t>
            </w:r>
            <w:r>
              <w:rPr/>
              <w:t>Dividends</w:t>
              <w:tab/>
              <w:t>40</w:t>
            </w:r>
          </w:hyperlink>
        </w:p>
        <w:p>
          <w:pPr>
            <w:pStyle w:val="TOC1"/>
            <w:tabs>
              <w:tab w:pos="9099" w:val="right" w:leader="dot"/>
            </w:tabs>
          </w:pPr>
          <w:hyperlink w:history="true" w:anchor="_TOC_250001">
            <w:r>
              <w:rPr>
                <w:spacing w:val="3"/>
              </w:rPr>
              <w:t>Ten-Year</w:t>
            </w:r>
            <w:r>
              <w:rPr>
                <w:spacing w:val="-23"/>
              </w:rPr>
              <w:t> </w:t>
            </w:r>
            <w:r>
              <w:rPr>
                <w:spacing w:val="-3"/>
              </w:rPr>
              <w:t>Summary</w:t>
              <w:tab/>
            </w:r>
            <w:r>
              <w:rPr/>
              <w:t>41</w:t>
            </w:r>
          </w:hyperlink>
        </w:p>
        <w:p>
          <w:pPr>
            <w:pStyle w:val="TOC1"/>
            <w:tabs>
              <w:tab w:pos="9099" w:val="right" w:leader="dot"/>
            </w:tabs>
          </w:pPr>
          <w:hyperlink w:history="true" w:anchor="_TOC_250000">
            <w:r>
              <w:rPr/>
              <w:t>Corporate</w:t>
            </w:r>
            <w:r>
              <w:rPr>
                <w:spacing w:val="15"/>
              </w:rPr>
              <w:t> </w:t>
            </w:r>
            <w:r>
              <w:rPr/>
              <w:t>Data</w:t>
              <w:tab/>
              <w:t>42</w:t>
            </w:r>
          </w:hyperlink>
        </w:p>
        <w:p>
          <w:pPr>
            <w:pStyle w:val="TOC1"/>
            <w:tabs>
              <w:tab w:pos="9099" w:val="right" w:leader="dot"/>
            </w:tabs>
          </w:pPr>
          <w:r>
            <w:rPr>
              <w:spacing w:val="2"/>
            </w:rPr>
            <w:t>Directors</w:t>
          </w:r>
          <w:r>
            <w:rPr>
              <w:spacing w:val="-14"/>
            </w:rPr>
            <w:t> </w:t>
          </w:r>
          <w:r>
            <w:rPr>
              <w:spacing w:val="-3"/>
            </w:rPr>
            <w:t>And</w:t>
          </w:r>
          <w:r>
            <w:rPr>
              <w:spacing w:val="7"/>
            </w:rPr>
            <w:t> </w:t>
          </w:r>
          <w:r>
            <w:rPr/>
            <w:t>Officers</w:t>
            <w:tab/>
            <w:t>43</w:t>
          </w:r>
        </w:p>
      </w:sdtContent>
    </w:sdt>
    <w:p>
      <w:pPr>
        <w:spacing w:after="0"/>
        <w:sectPr>
          <w:footerReference w:type="default" r:id="rId5"/>
          <w:type w:val="continuous"/>
          <w:pgSz w:w="12240" w:h="15840"/>
          <w:pgMar w:footer="790" w:top="1280" w:bottom="980" w:left="1700" w:right="1320"/>
          <w:pgNumType w:start="1"/>
        </w:sectPr>
      </w:pPr>
    </w:p>
    <w:p>
      <w:pPr>
        <w:pStyle w:val="Heading1"/>
        <w:spacing w:before="69"/>
        <w:ind w:left="2020"/>
      </w:pPr>
      <w:bookmarkStart w:name="_TOC_250004" w:id="1"/>
      <w:bookmarkEnd w:id="1"/>
      <w:r>
        <w:rPr/>
        <w:t>Consolidated Highlights</w:t>
      </w:r>
    </w:p>
    <w:p>
      <w:pPr>
        <w:spacing w:before="88"/>
        <w:ind w:left="2020" w:right="0" w:firstLine="0"/>
        <w:jc w:val="left"/>
        <w:rPr>
          <w:sz w:val="24"/>
        </w:rPr>
      </w:pPr>
      <w:r>
        <w:rPr>
          <w:sz w:val="24"/>
        </w:rPr>
        <w:t>(dollars in thousands except per share amounts)</w:t>
      </w:r>
    </w:p>
    <w:p>
      <w:pPr>
        <w:pStyle w:val="BodyText"/>
      </w:pPr>
    </w:p>
    <w:p>
      <w:pPr>
        <w:pStyle w:val="BodyText"/>
        <w:spacing w:before="1"/>
        <w:rPr>
          <w:sz w:val="23"/>
        </w:rPr>
      </w:pPr>
    </w:p>
    <w:tbl>
      <w:tblPr>
        <w:tblW w:w="0" w:type="auto"/>
        <w:jc w:val="left"/>
        <w:tblInd w:w="17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42"/>
        <w:gridCol w:w="1642"/>
        <w:gridCol w:w="1397"/>
        <w:gridCol w:w="1527"/>
        <w:gridCol w:w="442"/>
      </w:tblGrid>
      <w:tr>
        <w:trPr>
          <w:trHeight w:val="293" w:hRule="exact"/>
        </w:trPr>
        <w:tc>
          <w:tcPr>
            <w:tcW w:w="4842" w:type="dxa"/>
          </w:tcPr>
          <w:p>
            <w:pPr/>
          </w:p>
        </w:tc>
        <w:tc>
          <w:tcPr>
            <w:tcW w:w="1642" w:type="dxa"/>
          </w:tcPr>
          <w:p>
            <w:pPr>
              <w:pStyle w:val="TableParagraph"/>
              <w:spacing w:line="225" w:lineRule="exact"/>
              <w:ind w:left="549" w:right="607"/>
              <w:jc w:val="center"/>
              <w:rPr>
                <w:sz w:val="20"/>
              </w:rPr>
            </w:pPr>
            <w:r>
              <w:rPr>
                <w:sz w:val="20"/>
              </w:rPr>
              <w:t>1995</w:t>
            </w:r>
          </w:p>
        </w:tc>
        <w:tc>
          <w:tcPr>
            <w:tcW w:w="1397" w:type="dxa"/>
          </w:tcPr>
          <w:p>
            <w:pPr>
              <w:pStyle w:val="TableParagraph"/>
              <w:spacing w:line="225" w:lineRule="exact"/>
              <w:ind w:left="545"/>
              <w:jc w:val="left"/>
              <w:rPr>
                <w:sz w:val="20"/>
              </w:rPr>
            </w:pPr>
            <w:r>
              <w:rPr>
                <w:sz w:val="20"/>
              </w:rPr>
              <w:t>1994</w:t>
            </w:r>
          </w:p>
        </w:tc>
        <w:tc>
          <w:tcPr>
            <w:tcW w:w="1969" w:type="dxa"/>
            <w:gridSpan w:val="2"/>
          </w:tcPr>
          <w:p>
            <w:pPr>
              <w:pStyle w:val="TableParagraph"/>
              <w:spacing w:line="225" w:lineRule="exact"/>
              <w:ind w:left="84"/>
              <w:jc w:val="left"/>
              <w:rPr>
                <w:sz w:val="20"/>
              </w:rPr>
            </w:pPr>
            <w:r>
              <w:rPr>
                <w:sz w:val="20"/>
              </w:rPr>
              <w:t>Percent Change</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11"/>
                <w:sz w:val="20"/>
              </w:rPr>
              <w:t> </w:t>
            </w:r>
            <w:r>
              <w:rPr>
                <w:sz w:val="20"/>
              </w:rPr>
              <w:t>revenues </w:t>
            </w:r>
            <w:r>
              <w:rPr>
                <w:spacing w:val="-12"/>
                <w:sz w:val="20"/>
              </w:rPr>
              <w:t> </w:t>
            </w:r>
            <w:r>
              <w:rPr>
                <w:w w:val="100"/>
                <w:sz w:val="20"/>
                <w:u w:val="single"/>
              </w:rPr>
              <w:t> </w:t>
            </w:r>
            <w:r>
              <w:rPr>
                <w:sz w:val="20"/>
                <w:u w:val="single"/>
              </w:rPr>
              <w:tab/>
            </w:r>
          </w:p>
        </w:tc>
        <w:tc>
          <w:tcPr>
            <w:tcW w:w="1642" w:type="dxa"/>
          </w:tcPr>
          <w:p>
            <w:pPr>
              <w:pStyle w:val="TableParagraph"/>
              <w:spacing w:before="62"/>
              <w:ind w:right="313"/>
              <w:rPr>
                <w:sz w:val="20"/>
              </w:rPr>
            </w:pPr>
            <w:r>
              <w:rPr>
                <w:sz w:val="20"/>
              </w:rPr>
              <w:t>$2,872,751</w:t>
            </w:r>
          </w:p>
        </w:tc>
        <w:tc>
          <w:tcPr>
            <w:tcW w:w="1397" w:type="dxa"/>
          </w:tcPr>
          <w:p>
            <w:pPr>
              <w:pStyle w:val="TableParagraph"/>
              <w:spacing w:before="62"/>
              <w:ind w:right="85"/>
              <w:rPr>
                <w:sz w:val="20"/>
              </w:rPr>
            </w:pPr>
            <w:r>
              <w:rPr>
                <w:sz w:val="20"/>
              </w:rPr>
              <w:t>$2,591,933</w:t>
            </w:r>
          </w:p>
        </w:tc>
        <w:tc>
          <w:tcPr>
            <w:tcW w:w="1969" w:type="dxa"/>
            <w:gridSpan w:val="2"/>
          </w:tcPr>
          <w:p>
            <w:pPr>
              <w:pStyle w:val="TableParagraph"/>
              <w:spacing w:before="62"/>
              <w:ind w:left="739" w:right="754"/>
              <w:jc w:val="center"/>
              <w:rPr>
                <w:sz w:val="20"/>
              </w:rPr>
            </w:pPr>
            <w:r>
              <w:rPr>
                <w:sz w:val="20"/>
              </w:rPr>
              <w:t>10.8</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6"/>
                <w:sz w:val="20"/>
              </w:rPr>
              <w:t> </w:t>
            </w:r>
            <w:r>
              <w:rPr>
                <w:sz w:val="20"/>
              </w:rPr>
              <w:t>expenses</w:t>
            </w:r>
            <w:r>
              <w:rPr>
                <w:spacing w:val="23"/>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$2,559,220</w:t>
            </w:r>
          </w:p>
        </w:tc>
        <w:tc>
          <w:tcPr>
            <w:tcW w:w="1397" w:type="dxa"/>
          </w:tcPr>
          <w:p>
            <w:pPr>
              <w:pStyle w:val="TableParagraph"/>
              <w:spacing w:before="62"/>
              <w:ind w:right="85"/>
              <w:rPr>
                <w:sz w:val="20"/>
              </w:rPr>
            </w:pPr>
            <w:r>
              <w:rPr>
                <w:sz w:val="20"/>
              </w:rPr>
              <w:t>$2,275,224</w:t>
            </w:r>
          </w:p>
        </w:tc>
        <w:tc>
          <w:tcPr>
            <w:tcW w:w="1969" w:type="dxa"/>
            <w:gridSpan w:val="2"/>
          </w:tcPr>
          <w:p>
            <w:pPr>
              <w:pStyle w:val="TableParagraph"/>
              <w:spacing w:before="62"/>
              <w:ind w:left="739" w:right="754"/>
              <w:jc w:val="center"/>
              <w:rPr>
                <w:sz w:val="20"/>
              </w:rPr>
            </w:pPr>
            <w:r>
              <w:rPr>
                <w:sz w:val="20"/>
              </w:rPr>
              <w:t>12.5</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7"/>
                <w:sz w:val="20"/>
              </w:rPr>
              <w:t> </w:t>
            </w:r>
            <w:r>
              <w:rPr>
                <w:sz w:val="20"/>
              </w:rPr>
              <w:t>income</w:t>
            </w:r>
            <w:r>
              <w:rPr>
                <w:spacing w:val="2"/>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$313,531</w:t>
            </w:r>
          </w:p>
        </w:tc>
        <w:tc>
          <w:tcPr>
            <w:tcW w:w="1397" w:type="dxa"/>
          </w:tcPr>
          <w:p>
            <w:pPr>
              <w:pStyle w:val="TableParagraph"/>
              <w:spacing w:before="62"/>
              <w:ind w:right="85"/>
              <w:rPr>
                <w:sz w:val="20"/>
              </w:rPr>
            </w:pPr>
            <w:r>
              <w:rPr>
                <w:sz w:val="20"/>
              </w:rPr>
              <w:t>$316,709</w:t>
            </w:r>
          </w:p>
        </w:tc>
        <w:tc>
          <w:tcPr>
            <w:tcW w:w="1969" w:type="dxa"/>
            <w:gridSpan w:val="2"/>
          </w:tcPr>
          <w:p>
            <w:pPr>
              <w:pStyle w:val="TableParagraph"/>
              <w:spacing w:before="62"/>
              <w:ind w:left="739" w:right="777"/>
              <w:jc w:val="center"/>
              <w:rPr>
                <w:sz w:val="20"/>
              </w:rPr>
            </w:pPr>
            <w:r>
              <w:rPr>
                <w:sz w:val="20"/>
              </w:rPr>
              <w:t>(1.0)</w:t>
            </w: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w:t>
            </w:r>
            <w:r>
              <w:rPr>
                <w:spacing w:val="7"/>
                <w:sz w:val="20"/>
              </w:rPr>
              <w:t> </w:t>
            </w:r>
            <w:r>
              <w:rPr>
                <w:sz w:val="20"/>
              </w:rPr>
              <w:t>margin </w:t>
            </w:r>
            <w:r>
              <w:rPr>
                <w:spacing w:val="-20"/>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10.9%</w:t>
            </w:r>
          </w:p>
        </w:tc>
        <w:tc>
          <w:tcPr>
            <w:tcW w:w="1397" w:type="dxa"/>
          </w:tcPr>
          <w:p>
            <w:pPr>
              <w:pStyle w:val="TableParagraph"/>
              <w:spacing w:before="62"/>
              <w:ind w:right="82"/>
              <w:rPr>
                <w:sz w:val="20"/>
              </w:rPr>
            </w:pPr>
            <w:r>
              <w:rPr>
                <w:sz w:val="20"/>
              </w:rPr>
              <w:t>12.2%</w:t>
            </w:r>
          </w:p>
        </w:tc>
        <w:tc>
          <w:tcPr>
            <w:tcW w:w="1969" w:type="dxa"/>
            <w:gridSpan w:val="2"/>
          </w:tcPr>
          <w:p>
            <w:pPr>
              <w:pStyle w:val="TableParagraph"/>
              <w:spacing w:before="62"/>
              <w:ind w:left="377"/>
              <w:jc w:val="left"/>
              <w:rPr>
                <w:sz w:val="20"/>
              </w:rPr>
            </w:pPr>
            <w:r>
              <w:rPr>
                <w:sz w:val="20"/>
              </w:rPr>
              <w:t>(1.3) pts.</w:t>
            </w:r>
          </w:p>
        </w:tc>
      </w:tr>
      <w:tr>
        <w:trPr>
          <w:trHeight w:val="360" w:hRule="exact"/>
        </w:trPr>
        <w:tc>
          <w:tcPr>
            <w:tcW w:w="4842" w:type="dxa"/>
          </w:tcPr>
          <w:p>
            <w:pPr>
              <w:pStyle w:val="TableParagraph"/>
              <w:tabs>
                <w:tab w:pos="1590" w:val="left" w:leader="none"/>
                <w:tab w:pos="4511" w:val="left" w:leader="none"/>
              </w:tabs>
              <w:spacing w:before="62"/>
              <w:ind w:left="50"/>
              <w:jc w:val="left"/>
              <w:rPr>
                <w:sz w:val="20"/>
              </w:rPr>
            </w:pPr>
            <w:r>
              <w:rPr>
                <w:sz w:val="20"/>
              </w:rPr>
              <w:t>Net</w:t>
            </w:r>
            <w:r>
              <w:rPr>
                <w:spacing w:val="5"/>
                <w:sz w:val="20"/>
              </w:rPr>
              <w:t> </w:t>
            </w:r>
            <w:r>
              <w:rPr>
                <w:sz w:val="20"/>
              </w:rPr>
              <w:t>income</w:t>
              <w:tab/>
            </w:r>
            <w:r>
              <w:rPr>
                <w:w w:val="100"/>
                <w:sz w:val="20"/>
                <w:u w:val="single"/>
              </w:rPr>
              <w:t> </w:t>
            </w:r>
            <w:r>
              <w:rPr>
                <w:sz w:val="20"/>
                <w:u w:val="single"/>
              </w:rPr>
              <w:tab/>
            </w:r>
          </w:p>
        </w:tc>
        <w:tc>
          <w:tcPr>
            <w:tcW w:w="1642" w:type="dxa"/>
          </w:tcPr>
          <w:p>
            <w:pPr>
              <w:pStyle w:val="TableParagraph"/>
              <w:spacing w:before="62"/>
              <w:ind w:right="311"/>
              <w:rPr>
                <w:sz w:val="20"/>
              </w:rPr>
            </w:pPr>
            <w:r>
              <w:rPr>
                <w:sz w:val="20"/>
              </w:rPr>
              <w:t>$182,626</w:t>
            </w:r>
          </w:p>
        </w:tc>
        <w:tc>
          <w:tcPr>
            <w:tcW w:w="1397" w:type="dxa"/>
          </w:tcPr>
          <w:p>
            <w:pPr>
              <w:pStyle w:val="TableParagraph"/>
              <w:spacing w:before="62"/>
              <w:ind w:right="85"/>
              <w:rPr>
                <w:sz w:val="20"/>
              </w:rPr>
            </w:pPr>
            <w:r>
              <w:rPr>
                <w:sz w:val="20"/>
              </w:rPr>
              <w:t>$179,331</w:t>
            </w:r>
          </w:p>
        </w:tc>
        <w:tc>
          <w:tcPr>
            <w:tcW w:w="1969" w:type="dxa"/>
            <w:gridSpan w:val="2"/>
          </w:tcPr>
          <w:p>
            <w:pPr>
              <w:pStyle w:val="TableParagraph"/>
              <w:spacing w:before="62"/>
              <w:ind w:left="739" w:right="647"/>
              <w:jc w:val="center"/>
              <w:rPr>
                <w:sz w:val="20"/>
              </w:rPr>
            </w:pPr>
            <w:r>
              <w:rPr>
                <w:sz w:val="20"/>
              </w:rPr>
              <w:t>1.8</w:t>
            </w:r>
          </w:p>
        </w:tc>
      </w:tr>
      <w:tr>
        <w:trPr>
          <w:trHeight w:val="293" w:hRule="exact"/>
        </w:trPr>
        <w:tc>
          <w:tcPr>
            <w:tcW w:w="4842" w:type="dxa"/>
          </w:tcPr>
          <w:p>
            <w:pPr>
              <w:pStyle w:val="TableParagraph"/>
              <w:tabs>
                <w:tab w:pos="1590" w:val="left" w:leader="none"/>
                <w:tab w:pos="4511" w:val="left" w:leader="none"/>
              </w:tabs>
              <w:spacing w:before="62"/>
              <w:ind w:left="50"/>
              <w:jc w:val="left"/>
              <w:rPr>
                <w:sz w:val="20"/>
              </w:rPr>
            </w:pPr>
            <w:r>
              <w:rPr>
                <w:sz w:val="20"/>
              </w:rPr>
              <w:t>Net</w:t>
            </w:r>
            <w:r>
              <w:rPr>
                <w:spacing w:val="6"/>
                <w:sz w:val="20"/>
              </w:rPr>
              <w:t> </w:t>
            </w:r>
            <w:r>
              <w:rPr>
                <w:sz w:val="20"/>
              </w:rPr>
              <w:t>margin</w:t>
              <w:tab/>
            </w:r>
            <w:r>
              <w:rPr>
                <w:w w:val="100"/>
                <w:sz w:val="20"/>
                <w:u w:val="single"/>
              </w:rPr>
              <w:t> </w:t>
            </w:r>
            <w:r>
              <w:rPr>
                <w:sz w:val="20"/>
                <w:u w:val="single"/>
              </w:rPr>
              <w:tab/>
            </w:r>
          </w:p>
        </w:tc>
        <w:tc>
          <w:tcPr>
            <w:tcW w:w="1642" w:type="dxa"/>
          </w:tcPr>
          <w:p>
            <w:pPr>
              <w:pStyle w:val="TableParagraph"/>
              <w:spacing w:before="62"/>
              <w:ind w:right="308"/>
              <w:rPr>
                <w:sz w:val="20"/>
              </w:rPr>
            </w:pPr>
            <w:r>
              <w:rPr>
                <w:sz w:val="20"/>
              </w:rPr>
              <w:t>6.4%</w:t>
            </w:r>
          </w:p>
        </w:tc>
        <w:tc>
          <w:tcPr>
            <w:tcW w:w="1397" w:type="dxa"/>
          </w:tcPr>
          <w:p>
            <w:pPr>
              <w:pStyle w:val="TableParagraph"/>
              <w:spacing w:before="62"/>
              <w:ind w:right="82"/>
              <w:rPr>
                <w:sz w:val="20"/>
              </w:rPr>
            </w:pPr>
            <w:r>
              <w:rPr>
                <w:sz w:val="20"/>
              </w:rPr>
              <w:t>6.9%</w:t>
            </w:r>
          </w:p>
        </w:tc>
        <w:tc>
          <w:tcPr>
            <w:tcW w:w="1969" w:type="dxa"/>
            <w:gridSpan w:val="2"/>
          </w:tcPr>
          <w:p>
            <w:pPr>
              <w:pStyle w:val="TableParagraph"/>
              <w:spacing w:before="62"/>
              <w:ind w:left="377"/>
              <w:jc w:val="left"/>
              <w:rPr>
                <w:sz w:val="20"/>
              </w:rPr>
            </w:pPr>
            <w:r>
              <w:rPr>
                <w:sz w:val="20"/>
              </w:rPr>
              <w:t>(0.5) pts.</w:t>
            </w:r>
          </w:p>
        </w:tc>
      </w:tr>
      <w:tr>
        <w:trPr>
          <w:trHeight w:val="427" w:hRule="exact"/>
        </w:trPr>
        <w:tc>
          <w:tcPr>
            <w:tcW w:w="4842" w:type="dxa"/>
          </w:tcPr>
          <w:p>
            <w:pPr>
              <w:pStyle w:val="TableParagraph"/>
              <w:spacing w:before="129"/>
              <w:ind w:left="50"/>
              <w:jc w:val="left"/>
              <w:rPr>
                <w:sz w:val="20"/>
              </w:rPr>
            </w:pPr>
            <w:r>
              <w:rPr>
                <w:sz w:val="20"/>
              </w:rPr>
              <w:t>Net income per common and</w:t>
            </w:r>
          </w:p>
        </w:tc>
        <w:tc>
          <w:tcPr>
            <w:tcW w:w="1642" w:type="dxa"/>
          </w:tcPr>
          <w:p>
            <w:pPr/>
          </w:p>
        </w:tc>
        <w:tc>
          <w:tcPr>
            <w:tcW w:w="1397" w:type="dxa"/>
          </w:tcPr>
          <w:p>
            <w:pPr/>
          </w:p>
        </w:tc>
        <w:tc>
          <w:tcPr>
            <w:tcW w:w="1969" w:type="dxa"/>
            <w:gridSpan w:val="2"/>
          </w:tcPr>
          <w:p>
            <w:pPr/>
          </w:p>
        </w:tc>
      </w:tr>
      <w:tr>
        <w:trPr>
          <w:trHeight w:val="360" w:hRule="exact"/>
        </w:trPr>
        <w:tc>
          <w:tcPr>
            <w:tcW w:w="4842" w:type="dxa"/>
          </w:tcPr>
          <w:p>
            <w:pPr>
              <w:pStyle w:val="TableParagraph"/>
              <w:tabs>
                <w:tab w:pos="4101" w:val="left" w:leader="none"/>
              </w:tabs>
              <w:spacing w:before="62"/>
              <w:ind w:right="327"/>
              <w:rPr>
                <w:sz w:val="20"/>
              </w:rPr>
            </w:pPr>
            <w:r>
              <w:rPr>
                <w:spacing w:val="-3"/>
                <w:sz w:val="20"/>
              </w:rPr>
              <w:t>common </w:t>
            </w:r>
            <w:r>
              <w:rPr>
                <w:sz w:val="20"/>
              </w:rPr>
              <w:t>equivalent</w:t>
            </w:r>
            <w:r>
              <w:rPr>
                <w:spacing w:val="28"/>
                <w:sz w:val="20"/>
              </w:rPr>
              <w:t> </w:t>
            </w:r>
            <w:r>
              <w:rPr>
                <w:sz w:val="20"/>
              </w:rPr>
              <w:t>share </w:t>
            </w:r>
            <w:r>
              <w:rPr>
                <w:spacing w:val="-26"/>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$1.23</w:t>
            </w:r>
          </w:p>
        </w:tc>
        <w:tc>
          <w:tcPr>
            <w:tcW w:w="1397" w:type="dxa"/>
          </w:tcPr>
          <w:p>
            <w:pPr>
              <w:pStyle w:val="TableParagraph"/>
              <w:spacing w:before="62"/>
              <w:ind w:right="85"/>
              <w:rPr>
                <w:sz w:val="20"/>
              </w:rPr>
            </w:pPr>
            <w:r>
              <w:rPr>
                <w:sz w:val="20"/>
              </w:rPr>
              <w:t>$1.22</w:t>
            </w:r>
          </w:p>
        </w:tc>
        <w:tc>
          <w:tcPr>
            <w:tcW w:w="1527" w:type="dxa"/>
          </w:tcPr>
          <w:p>
            <w:pPr>
              <w:pStyle w:val="TableParagraph"/>
              <w:spacing w:before="62"/>
              <w:ind w:right="354"/>
              <w:rPr>
                <w:sz w:val="20"/>
              </w:rPr>
            </w:pPr>
            <w:r>
              <w:rPr>
                <w:sz w:val="20"/>
              </w:rPr>
              <w:t>0.8</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Stockholders’</w:t>
            </w:r>
            <w:r>
              <w:rPr>
                <w:spacing w:val="-1"/>
                <w:sz w:val="20"/>
              </w:rPr>
              <w:t> </w:t>
            </w:r>
            <w:r>
              <w:rPr>
                <w:sz w:val="20"/>
              </w:rPr>
              <w:t>equity</w:t>
            </w:r>
            <w:r>
              <w:rPr>
                <w:spacing w:val="20"/>
                <w:sz w:val="20"/>
              </w:rPr>
              <w:t> </w:t>
            </w:r>
            <w:r>
              <w:rPr>
                <w:w w:val="100"/>
                <w:sz w:val="20"/>
                <w:u w:val="single"/>
              </w:rPr>
              <w:t> </w:t>
            </w:r>
            <w:r>
              <w:rPr>
                <w:sz w:val="20"/>
                <w:u w:val="single"/>
              </w:rPr>
              <w:tab/>
            </w:r>
          </w:p>
        </w:tc>
        <w:tc>
          <w:tcPr>
            <w:tcW w:w="1642" w:type="dxa"/>
          </w:tcPr>
          <w:p>
            <w:pPr/>
          </w:p>
        </w:tc>
        <w:tc>
          <w:tcPr>
            <w:tcW w:w="1397" w:type="dxa"/>
          </w:tcPr>
          <w:p>
            <w:pPr>
              <w:pStyle w:val="TableParagraph"/>
              <w:spacing w:before="62"/>
              <w:ind w:right="85"/>
              <w:rPr>
                <w:sz w:val="20"/>
              </w:rPr>
            </w:pPr>
            <w:r>
              <w:rPr>
                <w:sz w:val="20"/>
              </w:rPr>
              <w:t>$1,427,318</w:t>
            </w:r>
          </w:p>
        </w:tc>
        <w:tc>
          <w:tcPr>
            <w:tcW w:w="1527" w:type="dxa"/>
          </w:tcPr>
          <w:p>
            <w:pPr>
              <w:pStyle w:val="TableParagraph"/>
              <w:spacing w:before="62"/>
              <w:ind w:right="354"/>
              <w:rPr>
                <w:sz w:val="20"/>
              </w:rPr>
            </w:pPr>
            <w:r>
              <w:rPr>
                <w:sz w:val="20"/>
              </w:rPr>
              <w:t>$1,238,706</w:t>
            </w:r>
          </w:p>
        </w:tc>
        <w:tc>
          <w:tcPr>
            <w:tcW w:w="442" w:type="dxa"/>
          </w:tcPr>
          <w:p>
            <w:pPr>
              <w:pStyle w:val="TableParagraph"/>
              <w:spacing w:before="62"/>
              <w:ind w:left="3"/>
              <w:jc w:val="left"/>
              <w:rPr>
                <w:sz w:val="20"/>
              </w:rPr>
            </w:pPr>
            <w:r>
              <w:rPr>
                <w:sz w:val="20"/>
              </w:rPr>
              <w:t>15.2</w:t>
            </w:r>
          </w:p>
        </w:tc>
      </w:tr>
      <w:tr>
        <w:trPr>
          <w:trHeight w:val="360" w:hRule="exact"/>
        </w:trPr>
        <w:tc>
          <w:tcPr>
            <w:tcW w:w="4842" w:type="dxa"/>
          </w:tcPr>
          <w:p>
            <w:pPr>
              <w:pStyle w:val="TableParagraph"/>
              <w:tabs>
                <w:tab w:pos="4511" w:val="left" w:leader="none"/>
              </w:tabs>
              <w:spacing w:before="62"/>
              <w:ind w:left="50"/>
              <w:jc w:val="left"/>
              <w:rPr>
                <w:sz w:val="20"/>
              </w:rPr>
            </w:pPr>
            <w:r>
              <w:rPr>
                <w:spacing w:val="-3"/>
                <w:sz w:val="20"/>
              </w:rPr>
              <w:t>Return </w:t>
            </w:r>
            <w:r>
              <w:rPr>
                <w:sz w:val="20"/>
              </w:rPr>
              <w:t>on average stockholders’</w:t>
            </w:r>
            <w:r>
              <w:rPr>
                <w:spacing w:val="20"/>
                <w:sz w:val="20"/>
              </w:rPr>
              <w:t> </w:t>
            </w:r>
            <w:r>
              <w:rPr>
                <w:sz w:val="20"/>
              </w:rPr>
              <w:t>equity</w:t>
            </w:r>
            <w:r>
              <w:rPr>
                <w:spacing w:val="-9"/>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13.7%</w:t>
            </w:r>
          </w:p>
        </w:tc>
        <w:tc>
          <w:tcPr>
            <w:tcW w:w="1397" w:type="dxa"/>
          </w:tcPr>
          <w:p>
            <w:pPr>
              <w:pStyle w:val="TableParagraph"/>
              <w:spacing w:before="62"/>
              <w:ind w:right="82"/>
              <w:rPr>
                <w:sz w:val="20"/>
              </w:rPr>
            </w:pPr>
            <w:r>
              <w:rPr>
                <w:sz w:val="20"/>
              </w:rPr>
              <w:t>15.6%</w:t>
            </w:r>
          </w:p>
        </w:tc>
        <w:tc>
          <w:tcPr>
            <w:tcW w:w="1527" w:type="dxa"/>
          </w:tcPr>
          <w:p>
            <w:pPr>
              <w:pStyle w:val="TableParagraph"/>
              <w:spacing w:before="62"/>
              <w:ind w:right="353"/>
              <w:rPr>
                <w:sz w:val="20"/>
              </w:rPr>
            </w:pPr>
            <w:r>
              <w:rPr>
                <w:sz w:val="20"/>
              </w:rPr>
              <w:t>(1.9) pts.</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Debt as a percentage of invested</w:t>
            </w:r>
            <w:r>
              <w:rPr>
                <w:spacing w:val="9"/>
                <w:sz w:val="20"/>
              </w:rPr>
              <w:t> </w:t>
            </w:r>
            <w:r>
              <w:rPr>
                <w:sz w:val="20"/>
              </w:rPr>
              <w:t>capital</w:t>
            </w:r>
            <w:r>
              <w:rPr>
                <w:spacing w:val="-10"/>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31.7%</w:t>
            </w:r>
          </w:p>
        </w:tc>
        <w:tc>
          <w:tcPr>
            <w:tcW w:w="1397" w:type="dxa"/>
          </w:tcPr>
          <w:p>
            <w:pPr>
              <w:pStyle w:val="TableParagraph"/>
              <w:spacing w:before="62"/>
              <w:ind w:right="82"/>
              <w:rPr>
                <w:sz w:val="20"/>
              </w:rPr>
            </w:pPr>
            <w:r>
              <w:rPr>
                <w:sz w:val="20"/>
              </w:rPr>
              <w:t>32.0%</w:t>
            </w:r>
          </w:p>
        </w:tc>
        <w:tc>
          <w:tcPr>
            <w:tcW w:w="1527" w:type="dxa"/>
          </w:tcPr>
          <w:p>
            <w:pPr>
              <w:pStyle w:val="TableParagraph"/>
              <w:spacing w:before="62"/>
              <w:ind w:right="353"/>
              <w:rPr>
                <w:sz w:val="20"/>
              </w:rPr>
            </w:pPr>
            <w:r>
              <w:rPr>
                <w:sz w:val="20"/>
              </w:rPr>
              <w:t>(0.3) pts.</w:t>
            </w:r>
          </w:p>
        </w:tc>
        <w:tc>
          <w:tcPr>
            <w:tcW w:w="442" w:type="dxa"/>
          </w:tcPr>
          <w:p>
            <w:pPr/>
          </w:p>
        </w:tc>
      </w:tr>
      <w:tr>
        <w:trPr>
          <w:trHeight w:val="360" w:hRule="exact"/>
        </w:trPr>
        <w:tc>
          <w:tcPr>
            <w:tcW w:w="4842" w:type="dxa"/>
          </w:tcPr>
          <w:p>
            <w:pPr>
              <w:pStyle w:val="TableParagraph"/>
              <w:spacing w:before="62"/>
              <w:ind w:left="50"/>
              <w:jc w:val="left"/>
              <w:rPr>
                <w:sz w:val="20"/>
              </w:rPr>
            </w:pPr>
            <w:r>
              <w:rPr>
                <w:sz w:val="20"/>
              </w:rPr>
              <w:t>Stockholders’ equity per common share</w:t>
            </w:r>
          </w:p>
        </w:tc>
        <w:tc>
          <w:tcPr>
            <w:tcW w:w="1642" w:type="dxa"/>
          </w:tcPr>
          <w:p>
            <w:pPr/>
          </w:p>
        </w:tc>
        <w:tc>
          <w:tcPr>
            <w:tcW w:w="1397" w:type="dxa"/>
          </w:tcPr>
          <w:p>
            <w:pPr/>
          </w:p>
        </w:tc>
        <w:tc>
          <w:tcPr>
            <w:tcW w:w="1527" w:type="dxa"/>
          </w:tcPr>
          <w:p>
            <w:pPr/>
          </w:p>
        </w:tc>
        <w:tc>
          <w:tcPr>
            <w:tcW w:w="442" w:type="dxa"/>
          </w:tcPr>
          <w:p>
            <w:pPr/>
          </w:p>
        </w:tc>
      </w:tr>
      <w:tr>
        <w:trPr>
          <w:trHeight w:val="360" w:hRule="exact"/>
        </w:trPr>
        <w:tc>
          <w:tcPr>
            <w:tcW w:w="4842" w:type="dxa"/>
          </w:tcPr>
          <w:p>
            <w:pPr>
              <w:pStyle w:val="TableParagraph"/>
              <w:tabs>
                <w:tab w:pos="4101" w:val="left" w:leader="none"/>
              </w:tabs>
              <w:spacing w:before="62"/>
              <w:ind w:right="327"/>
              <w:rPr>
                <w:sz w:val="20"/>
              </w:rPr>
            </w:pPr>
            <w:r>
              <w:rPr>
                <w:spacing w:val="-2"/>
                <w:sz w:val="20"/>
              </w:rPr>
              <w:t>outstanding  </w:t>
            </w:r>
            <w:r>
              <w:rPr>
                <w:spacing w:val="-20"/>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$9.91</w:t>
            </w:r>
          </w:p>
        </w:tc>
        <w:tc>
          <w:tcPr>
            <w:tcW w:w="1397" w:type="dxa"/>
          </w:tcPr>
          <w:p>
            <w:pPr>
              <w:pStyle w:val="TableParagraph"/>
              <w:spacing w:before="62"/>
              <w:ind w:right="85"/>
              <w:rPr>
                <w:sz w:val="20"/>
              </w:rPr>
            </w:pPr>
            <w:r>
              <w:rPr>
                <w:sz w:val="20"/>
              </w:rPr>
              <w:t>$8.65</w:t>
            </w:r>
          </w:p>
        </w:tc>
        <w:tc>
          <w:tcPr>
            <w:tcW w:w="1527" w:type="dxa"/>
          </w:tcPr>
          <w:p>
            <w:pPr>
              <w:pStyle w:val="TableParagraph"/>
              <w:spacing w:before="62"/>
              <w:ind w:right="354"/>
              <w:rPr>
                <w:sz w:val="20"/>
              </w:rPr>
            </w:pPr>
            <w:r>
              <w:rPr>
                <w:sz w:val="20"/>
              </w:rPr>
              <w:t>14.6</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3"/>
                <w:sz w:val="20"/>
              </w:rPr>
              <w:t>Revenue </w:t>
            </w:r>
            <w:r>
              <w:rPr>
                <w:sz w:val="20"/>
              </w:rPr>
              <w:t>passengers</w:t>
            </w:r>
            <w:r>
              <w:rPr>
                <w:spacing w:val="10"/>
                <w:sz w:val="20"/>
              </w:rPr>
              <w:t> </w:t>
            </w:r>
            <w:r>
              <w:rPr>
                <w:sz w:val="20"/>
              </w:rPr>
              <w:t>carried </w:t>
            </w:r>
            <w:r>
              <w:rPr>
                <w:spacing w:val="-22"/>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44,785,573</w:t>
            </w:r>
          </w:p>
        </w:tc>
        <w:tc>
          <w:tcPr>
            <w:tcW w:w="1397" w:type="dxa"/>
          </w:tcPr>
          <w:p>
            <w:pPr>
              <w:pStyle w:val="TableParagraph"/>
              <w:spacing w:before="62"/>
              <w:ind w:right="85"/>
              <w:rPr>
                <w:sz w:val="20"/>
              </w:rPr>
            </w:pPr>
            <w:r>
              <w:rPr>
                <w:sz w:val="20"/>
              </w:rPr>
              <w:t>42,742,602</w:t>
            </w:r>
          </w:p>
        </w:tc>
        <w:tc>
          <w:tcPr>
            <w:tcW w:w="1527" w:type="dxa"/>
          </w:tcPr>
          <w:p>
            <w:pPr>
              <w:pStyle w:val="TableParagraph"/>
              <w:spacing w:before="62"/>
              <w:ind w:right="354"/>
              <w:rPr>
                <w:sz w:val="20"/>
              </w:rPr>
            </w:pPr>
            <w:r>
              <w:rPr>
                <w:sz w:val="20"/>
              </w:rPr>
              <w:t>4.8</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3"/>
                <w:sz w:val="20"/>
              </w:rPr>
              <w:t>Revenue </w:t>
            </w:r>
            <w:r>
              <w:rPr>
                <w:sz w:val="20"/>
              </w:rPr>
              <w:t>passenger miles (RPM)</w:t>
            </w:r>
            <w:r>
              <w:rPr>
                <w:spacing w:val="23"/>
                <w:sz w:val="20"/>
              </w:rPr>
              <w:t> </w:t>
            </w:r>
            <w:r>
              <w:rPr>
                <w:sz w:val="20"/>
              </w:rPr>
              <w:t>(000s)</w:t>
            </w:r>
            <w:r>
              <w:rPr>
                <w:spacing w:val="3"/>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23,327,804</w:t>
            </w:r>
          </w:p>
        </w:tc>
        <w:tc>
          <w:tcPr>
            <w:tcW w:w="1397" w:type="dxa"/>
          </w:tcPr>
          <w:p>
            <w:pPr>
              <w:pStyle w:val="TableParagraph"/>
              <w:spacing w:before="62"/>
              <w:ind w:right="85"/>
              <w:rPr>
                <w:sz w:val="20"/>
              </w:rPr>
            </w:pPr>
            <w:r>
              <w:rPr>
                <w:sz w:val="20"/>
              </w:rPr>
              <w:t>21,611,266</w:t>
            </w:r>
          </w:p>
        </w:tc>
        <w:tc>
          <w:tcPr>
            <w:tcW w:w="1527" w:type="dxa"/>
          </w:tcPr>
          <w:p>
            <w:pPr>
              <w:pStyle w:val="TableParagraph"/>
              <w:spacing w:before="62"/>
              <w:ind w:right="354"/>
              <w:rPr>
                <w:sz w:val="20"/>
              </w:rPr>
            </w:pPr>
            <w:r>
              <w:rPr>
                <w:sz w:val="20"/>
              </w:rPr>
              <w:t>7.9</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Available seat miles (ASM)</w:t>
            </w:r>
            <w:r>
              <w:rPr>
                <w:spacing w:val="19"/>
                <w:sz w:val="20"/>
              </w:rPr>
              <w:t> </w:t>
            </w:r>
            <w:r>
              <w:rPr>
                <w:sz w:val="20"/>
              </w:rPr>
              <w:t>(000s)</w:t>
            </w:r>
            <w:r>
              <w:rPr>
                <w:spacing w:val="-15"/>
                <w:sz w:val="20"/>
              </w:rPr>
              <w:t> </w:t>
            </w:r>
            <w:r>
              <w:rPr>
                <w:w w:val="100"/>
                <w:sz w:val="20"/>
                <w:u w:val="single"/>
              </w:rPr>
              <w:t> </w:t>
            </w:r>
            <w:r>
              <w:rPr>
                <w:sz w:val="20"/>
                <w:u w:val="single"/>
              </w:rPr>
              <w:tab/>
            </w:r>
          </w:p>
        </w:tc>
        <w:tc>
          <w:tcPr>
            <w:tcW w:w="1642" w:type="dxa"/>
          </w:tcPr>
          <w:p>
            <w:pPr>
              <w:pStyle w:val="TableParagraph"/>
              <w:spacing w:before="62"/>
              <w:ind w:right="310"/>
              <w:rPr>
                <w:sz w:val="20"/>
              </w:rPr>
            </w:pPr>
            <w:r>
              <w:rPr>
                <w:sz w:val="20"/>
              </w:rPr>
              <w:t>36,180,001</w:t>
            </w:r>
          </w:p>
        </w:tc>
        <w:tc>
          <w:tcPr>
            <w:tcW w:w="1397" w:type="dxa"/>
          </w:tcPr>
          <w:p>
            <w:pPr>
              <w:pStyle w:val="TableParagraph"/>
              <w:spacing w:before="62"/>
              <w:ind w:right="85"/>
              <w:rPr>
                <w:sz w:val="20"/>
              </w:rPr>
            </w:pPr>
            <w:r>
              <w:rPr>
                <w:sz w:val="20"/>
              </w:rPr>
              <w:t>32,123,974</w:t>
            </w:r>
          </w:p>
        </w:tc>
        <w:tc>
          <w:tcPr>
            <w:tcW w:w="1527" w:type="dxa"/>
          </w:tcPr>
          <w:p>
            <w:pPr>
              <w:pStyle w:val="TableParagraph"/>
              <w:spacing w:before="62"/>
              <w:ind w:right="354"/>
              <w:rPr>
                <w:sz w:val="20"/>
              </w:rPr>
            </w:pPr>
            <w:r>
              <w:rPr>
                <w:sz w:val="20"/>
              </w:rPr>
              <w:t>12.6</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5"/>
                <w:sz w:val="20"/>
              </w:rPr>
              <w:t>Passenger  </w:t>
            </w:r>
            <w:r>
              <w:rPr>
                <w:sz w:val="20"/>
              </w:rPr>
              <w:t>load</w:t>
            </w:r>
            <w:r>
              <w:rPr>
                <w:spacing w:val="-9"/>
                <w:sz w:val="20"/>
              </w:rPr>
              <w:t> </w:t>
            </w:r>
            <w:r>
              <w:rPr>
                <w:sz w:val="20"/>
              </w:rPr>
              <w:t>factor</w:t>
            </w:r>
            <w:r>
              <w:rPr>
                <w:spacing w:val="-22"/>
                <w:sz w:val="20"/>
              </w:rPr>
              <w:t> </w:t>
            </w:r>
            <w:r>
              <w:rPr>
                <w:w w:val="100"/>
                <w:sz w:val="20"/>
                <w:u w:val="single"/>
              </w:rPr>
              <w:t> </w:t>
            </w:r>
            <w:r>
              <w:rPr>
                <w:sz w:val="20"/>
                <w:u w:val="single"/>
              </w:rPr>
              <w:tab/>
            </w:r>
          </w:p>
        </w:tc>
        <w:tc>
          <w:tcPr>
            <w:tcW w:w="1642" w:type="dxa"/>
          </w:tcPr>
          <w:p>
            <w:pPr>
              <w:pStyle w:val="TableParagraph"/>
              <w:spacing w:before="62"/>
              <w:ind w:right="308"/>
              <w:rPr>
                <w:sz w:val="20"/>
              </w:rPr>
            </w:pPr>
            <w:r>
              <w:rPr>
                <w:sz w:val="20"/>
              </w:rPr>
              <w:t>64.5%</w:t>
            </w:r>
          </w:p>
        </w:tc>
        <w:tc>
          <w:tcPr>
            <w:tcW w:w="1397" w:type="dxa"/>
          </w:tcPr>
          <w:p>
            <w:pPr>
              <w:pStyle w:val="TableParagraph"/>
              <w:spacing w:before="62"/>
              <w:ind w:right="82"/>
              <w:rPr>
                <w:sz w:val="20"/>
              </w:rPr>
            </w:pPr>
            <w:r>
              <w:rPr>
                <w:sz w:val="20"/>
              </w:rPr>
              <w:t>67.3%</w:t>
            </w:r>
          </w:p>
        </w:tc>
        <w:tc>
          <w:tcPr>
            <w:tcW w:w="1527" w:type="dxa"/>
          </w:tcPr>
          <w:p>
            <w:pPr>
              <w:pStyle w:val="TableParagraph"/>
              <w:spacing w:before="62"/>
              <w:ind w:right="353"/>
              <w:rPr>
                <w:sz w:val="20"/>
              </w:rPr>
            </w:pPr>
            <w:r>
              <w:rPr>
                <w:sz w:val="20"/>
              </w:rPr>
              <w:t>(2.8) pts.</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pacing w:val="-5"/>
                <w:sz w:val="20"/>
              </w:rPr>
              <w:t>Passenger  </w:t>
            </w:r>
            <w:r>
              <w:rPr>
                <w:sz w:val="20"/>
              </w:rPr>
              <w:t>revenue yield per RPM</w:t>
            </w:r>
            <w:r>
              <w:rPr>
                <w:spacing w:val="-31"/>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11.83¢</w:t>
            </w:r>
          </w:p>
        </w:tc>
        <w:tc>
          <w:tcPr>
            <w:tcW w:w="1397" w:type="dxa"/>
          </w:tcPr>
          <w:p>
            <w:pPr>
              <w:pStyle w:val="TableParagraph"/>
              <w:spacing w:before="62"/>
              <w:ind w:right="85"/>
              <w:rPr>
                <w:sz w:val="20"/>
              </w:rPr>
            </w:pPr>
            <w:r>
              <w:rPr>
                <w:sz w:val="20"/>
              </w:rPr>
              <w:t>11.56¢</w:t>
            </w:r>
          </w:p>
        </w:tc>
        <w:tc>
          <w:tcPr>
            <w:tcW w:w="1527" w:type="dxa"/>
          </w:tcPr>
          <w:p>
            <w:pPr>
              <w:pStyle w:val="TableParagraph"/>
              <w:spacing w:before="62"/>
              <w:ind w:right="354"/>
              <w:rPr>
                <w:sz w:val="20"/>
              </w:rPr>
            </w:pPr>
            <w:r>
              <w:rPr>
                <w:sz w:val="20"/>
              </w:rPr>
              <w:t>2.3</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 revenue yield per</w:t>
            </w:r>
            <w:r>
              <w:rPr>
                <w:spacing w:val="21"/>
                <w:sz w:val="20"/>
              </w:rPr>
              <w:t> </w:t>
            </w:r>
            <w:r>
              <w:rPr>
                <w:spacing w:val="-3"/>
                <w:sz w:val="20"/>
              </w:rPr>
              <w:t>ASM </w:t>
            </w:r>
            <w:r>
              <w:rPr>
                <w:spacing w:val="-12"/>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7.94¢</w:t>
            </w:r>
          </w:p>
        </w:tc>
        <w:tc>
          <w:tcPr>
            <w:tcW w:w="1397" w:type="dxa"/>
          </w:tcPr>
          <w:p>
            <w:pPr>
              <w:pStyle w:val="TableParagraph"/>
              <w:spacing w:before="62"/>
              <w:ind w:right="85"/>
              <w:rPr>
                <w:sz w:val="20"/>
              </w:rPr>
            </w:pPr>
            <w:r>
              <w:rPr>
                <w:sz w:val="20"/>
              </w:rPr>
              <w:t>8.07¢</w:t>
            </w:r>
          </w:p>
        </w:tc>
        <w:tc>
          <w:tcPr>
            <w:tcW w:w="1527" w:type="dxa"/>
          </w:tcPr>
          <w:p>
            <w:pPr>
              <w:pStyle w:val="TableParagraph"/>
              <w:spacing w:before="62"/>
              <w:ind w:right="352"/>
              <w:rPr>
                <w:sz w:val="20"/>
              </w:rPr>
            </w:pPr>
            <w:r>
              <w:rPr>
                <w:sz w:val="20"/>
              </w:rPr>
              <w:t>(1.6)</w:t>
            </w:r>
          </w:p>
        </w:tc>
        <w:tc>
          <w:tcPr>
            <w:tcW w:w="442" w:type="dxa"/>
          </w:tcPr>
          <w:p>
            <w:pPr/>
          </w:p>
        </w:tc>
      </w:tr>
      <w:tr>
        <w:trPr>
          <w:trHeight w:val="360" w:hRule="exact"/>
        </w:trPr>
        <w:tc>
          <w:tcPr>
            <w:tcW w:w="4842" w:type="dxa"/>
          </w:tcPr>
          <w:p>
            <w:pPr>
              <w:pStyle w:val="TableParagraph"/>
              <w:tabs>
                <w:tab w:pos="4511" w:val="left" w:leader="none"/>
              </w:tabs>
              <w:spacing w:before="62"/>
              <w:ind w:left="50"/>
              <w:jc w:val="left"/>
              <w:rPr>
                <w:sz w:val="20"/>
              </w:rPr>
            </w:pPr>
            <w:r>
              <w:rPr>
                <w:sz w:val="20"/>
              </w:rPr>
              <w:t>Operating expenses per</w:t>
            </w:r>
            <w:r>
              <w:rPr>
                <w:spacing w:val="11"/>
                <w:sz w:val="20"/>
              </w:rPr>
              <w:t> </w:t>
            </w:r>
            <w:r>
              <w:rPr>
                <w:sz w:val="20"/>
              </w:rPr>
              <w:t>ASM</w:t>
            </w:r>
            <w:r>
              <w:rPr>
                <w:w w:val="100"/>
                <w:sz w:val="20"/>
                <w:u w:val="single"/>
              </w:rPr>
              <w:t> </w:t>
            </w:r>
            <w:r>
              <w:rPr>
                <w:sz w:val="20"/>
                <w:u w:val="single"/>
              </w:rPr>
              <w:tab/>
            </w:r>
          </w:p>
        </w:tc>
        <w:tc>
          <w:tcPr>
            <w:tcW w:w="1642" w:type="dxa"/>
          </w:tcPr>
          <w:p>
            <w:pPr>
              <w:pStyle w:val="TableParagraph"/>
              <w:spacing w:before="62"/>
              <w:ind w:right="311"/>
              <w:rPr>
                <w:sz w:val="20"/>
              </w:rPr>
            </w:pPr>
            <w:r>
              <w:rPr>
                <w:sz w:val="20"/>
              </w:rPr>
              <w:t>7.07¢</w:t>
            </w:r>
          </w:p>
        </w:tc>
        <w:tc>
          <w:tcPr>
            <w:tcW w:w="1397" w:type="dxa"/>
          </w:tcPr>
          <w:p>
            <w:pPr>
              <w:pStyle w:val="TableParagraph"/>
              <w:spacing w:before="62"/>
              <w:ind w:right="85"/>
              <w:rPr>
                <w:sz w:val="20"/>
              </w:rPr>
            </w:pPr>
            <w:r>
              <w:rPr>
                <w:sz w:val="20"/>
              </w:rPr>
              <w:t>7.08¢</w:t>
            </w:r>
          </w:p>
        </w:tc>
        <w:tc>
          <w:tcPr>
            <w:tcW w:w="1527" w:type="dxa"/>
          </w:tcPr>
          <w:p>
            <w:pPr>
              <w:pStyle w:val="TableParagraph"/>
              <w:spacing w:before="62"/>
              <w:ind w:right="352"/>
              <w:rPr>
                <w:sz w:val="20"/>
              </w:rPr>
            </w:pPr>
            <w:r>
              <w:rPr>
                <w:sz w:val="20"/>
              </w:rPr>
              <w:t>(0.1)</w:t>
            </w:r>
          </w:p>
        </w:tc>
        <w:tc>
          <w:tcPr>
            <w:tcW w:w="442" w:type="dxa"/>
          </w:tcPr>
          <w:p>
            <w:pPr/>
          </w:p>
        </w:tc>
      </w:tr>
      <w:tr>
        <w:trPr>
          <w:trHeight w:val="293" w:hRule="exact"/>
        </w:trPr>
        <w:tc>
          <w:tcPr>
            <w:tcW w:w="4842" w:type="dxa"/>
          </w:tcPr>
          <w:p>
            <w:pPr>
              <w:pStyle w:val="TableParagraph"/>
              <w:tabs>
                <w:tab w:pos="4511" w:val="left" w:leader="none"/>
              </w:tabs>
              <w:spacing w:before="62"/>
              <w:ind w:left="50"/>
              <w:jc w:val="left"/>
              <w:rPr>
                <w:sz w:val="20"/>
              </w:rPr>
            </w:pPr>
            <w:r>
              <w:rPr>
                <w:sz w:val="20"/>
              </w:rPr>
              <w:t>Number of Employees at</w:t>
            </w:r>
            <w:r>
              <w:rPr>
                <w:spacing w:val="7"/>
                <w:sz w:val="20"/>
              </w:rPr>
              <w:t> </w:t>
            </w:r>
            <w:r>
              <w:rPr>
                <w:sz w:val="20"/>
              </w:rPr>
              <w:t>yearend </w:t>
            </w:r>
            <w:r>
              <w:rPr>
                <w:spacing w:val="-20"/>
                <w:sz w:val="20"/>
              </w:rPr>
              <w:t> </w:t>
            </w:r>
            <w:r>
              <w:rPr>
                <w:w w:val="100"/>
                <w:sz w:val="20"/>
                <w:u w:val="single"/>
              </w:rPr>
              <w:t> </w:t>
            </w:r>
            <w:r>
              <w:rPr>
                <w:sz w:val="20"/>
                <w:u w:val="single"/>
              </w:rPr>
              <w:tab/>
            </w:r>
          </w:p>
        </w:tc>
        <w:tc>
          <w:tcPr>
            <w:tcW w:w="1642" w:type="dxa"/>
          </w:tcPr>
          <w:p>
            <w:pPr>
              <w:pStyle w:val="TableParagraph"/>
              <w:spacing w:before="62"/>
              <w:ind w:right="311"/>
              <w:rPr>
                <w:sz w:val="20"/>
              </w:rPr>
            </w:pPr>
            <w:r>
              <w:rPr>
                <w:sz w:val="20"/>
              </w:rPr>
              <w:t>19,933</w:t>
            </w:r>
          </w:p>
        </w:tc>
        <w:tc>
          <w:tcPr>
            <w:tcW w:w="1397" w:type="dxa"/>
          </w:tcPr>
          <w:p>
            <w:pPr>
              <w:pStyle w:val="TableParagraph"/>
              <w:spacing w:before="62"/>
              <w:ind w:right="85"/>
              <w:rPr>
                <w:sz w:val="20"/>
              </w:rPr>
            </w:pPr>
            <w:r>
              <w:rPr>
                <w:sz w:val="20"/>
              </w:rPr>
              <w:t>16,818</w:t>
            </w:r>
          </w:p>
        </w:tc>
        <w:tc>
          <w:tcPr>
            <w:tcW w:w="1527" w:type="dxa"/>
          </w:tcPr>
          <w:p>
            <w:pPr>
              <w:pStyle w:val="TableParagraph"/>
              <w:spacing w:before="62"/>
              <w:ind w:right="354"/>
              <w:rPr>
                <w:sz w:val="20"/>
              </w:rPr>
            </w:pPr>
            <w:r>
              <w:rPr>
                <w:sz w:val="20"/>
              </w:rPr>
              <w:t>18.5</w:t>
            </w:r>
          </w:p>
        </w:tc>
        <w:tc>
          <w:tcPr>
            <w:tcW w:w="442" w:type="dxa"/>
          </w:tcPr>
          <w:p>
            <w:pPr/>
          </w:p>
        </w:tc>
      </w:tr>
    </w:tbl>
    <w:p>
      <w:pPr>
        <w:pStyle w:val="BodyText"/>
        <w:rPr>
          <w:sz w:val="26"/>
        </w:rPr>
      </w:pPr>
    </w:p>
    <w:p>
      <w:pPr>
        <w:pStyle w:val="BodyText"/>
        <w:rPr>
          <w:sz w:val="26"/>
        </w:rPr>
      </w:pPr>
    </w:p>
    <w:p>
      <w:pPr>
        <w:pStyle w:val="BodyText"/>
        <w:rPr>
          <w:sz w:val="26"/>
        </w:rPr>
      </w:pPr>
    </w:p>
    <w:p>
      <w:pPr>
        <w:pStyle w:val="BodyText"/>
        <w:spacing w:before="7"/>
        <w:rPr>
          <w:sz w:val="22"/>
        </w:rPr>
      </w:pPr>
    </w:p>
    <w:p>
      <w:pPr>
        <w:spacing w:before="1" w:after="7"/>
        <w:ind w:left="219" w:right="0" w:firstLine="0"/>
        <w:jc w:val="left"/>
        <w:rPr>
          <w:b/>
          <w:sz w:val="24"/>
        </w:rPr>
      </w:pPr>
      <w:r>
        <w:rPr>
          <w:b/>
          <w:sz w:val="24"/>
        </w:rPr>
        <w:t>Net Income (in millions)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$33</w:t>
            </w:r>
          </w:p>
        </w:tc>
        <w:tc>
          <w:tcPr>
            <w:tcW w:w="1440" w:type="dxa"/>
          </w:tcPr>
          <w:p>
            <w:pPr>
              <w:pStyle w:val="TableParagraph"/>
              <w:spacing w:before="82"/>
              <w:ind w:left="324" w:right="326"/>
              <w:jc w:val="center"/>
              <w:rPr>
                <w:sz w:val="24"/>
              </w:rPr>
            </w:pPr>
            <w:r>
              <w:rPr>
                <w:sz w:val="24"/>
              </w:rPr>
              <w:t>$97</w:t>
            </w:r>
          </w:p>
        </w:tc>
        <w:tc>
          <w:tcPr>
            <w:tcW w:w="1440" w:type="dxa"/>
          </w:tcPr>
          <w:p>
            <w:pPr>
              <w:pStyle w:val="TableParagraph"/>
              <w:spacing w:before="82"/>
              <w:ind w:left="324" w:right="326"/>
              <w:jc w:val="center"/>
              <w:rPr>
                <w:sz w:val="24"/>
              </w:rPr>
            </w:pPr>
            <w:r>
              <w:rPr>
                <w:sz w:val="24"/>
              </w:rPr>
              <w:t>$154</w:t>
            </w:r>
          </w:p>
        </w:tc>
        <w:tc>
          <w:tcPr>
            <w:tcW w:w="1440" w:type="dxa"/>
          </w:tcPr>
          <w:p>
            <w:pPr>
              <w:pStyle w:val="TableParagraph"/>
              <w:spacing w:before="82"/>
              <w:ind w:left="324" w:right="326"/>
              <w:jc w:val="center"/>
              <w:rPr>
                <w:sz w:val="24"/>
              </w:rPr>
            </w:pPr>
            <w:r>
              <w:rPr>
                <w:sz w:val="24"/>
              </w:rPr>
              <w:t>$179</w:t>
            </w:r>
          </w:p>
        </w:tc>
        <w:tc>
          <w:tcPr>
            <w:tcW w:w="1440" w:type="dxa"/>
          </w:tcPr>
          <w:p>
            <w:pPr>
              <w:pStyle w:val="TableParagraph"/>
              <w:spacing w:before="82"/>
              <w:ind w:left="324" w:right="326"/>
              <w:jc w:val="center"/>
              <w:rPr>
                <w:sz w:val="24"/>
              </w:rPr>
            </w:pPr>
            <w:r>
              <w:rPr>
                <w:sz w:val="24"/>
              </w:rPr>
              <w:t>$183</w:t>
            </w:r>
          </w:p>
        </w:tc>
      </w:tr>
    </w:tbl>
    <w:p>
      <w:pPr>
        <w:pStyle w:val="BodyText"/>
        <w:rPr>
          <w:b/>
          <w:sz w:val="38"/>
        </w:rPr>
      </w:pPr>
    </w:p>
    <w:p>
      <w:pPr>
        <w:spacing w:before="0" w:after="6"/>
        <w:ind w:left="220" w:right="0" w:firstLine="0"/>
        <w:jc w:val="left"/>
        <w:rPr>
          <w:b/>
          <w:sz w:val="24"/>
        </w:rPr>
      </w:pPr>
      <w:r>
        <w:rPr>
          <w:b/>
          <w:sz w:val="24"/>
        </w:rPr>
        <w:t>Net Income Per Share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$.25</w:t>
            </w:r>
          </w:p>
        </w:tc>
        <w:tc>
          <w:tcPr>
            <w:tcW w:w="1440" w:type="dxa"/>
          </w:tcPr>
          <w:p>
            <w:pPr>
              <w:pStyle w:val="TableParagraph"/>
              <w:spacing w:before="82"/>
              <w:ind w:left="324" w:right="326"/>
              <w:jc w:val="center"/>
              <w:rPr>
                <w:sz w:val="24"/>
              </w:rPr>
            </w:pPr>
            <w:r>
              <w:rPr>
                <w:sz w:val="24"/>
              </w:rPr>
              <w:t>$.68</w:t>
            </w:r>
          </w:p>
        </w:tc>
        <w:tc>
          <w:tcPr>
            <w:tcW w:w="1440" w:type="dxa"/>
          </w:tcPr>
          <w:p>
            <w:pPr>
              <w:pStyle w:val="TableParagraph"/>
              <w:spacing w:before="82"/>
              <w:ind w:left="407"/>
              <w:jc w:val="left"/>
              <w:rPr>
                <w:sz w:val="24"/>
              </w:rPr>
            </w:pPr>
            <w:r>
              <w:rPr>
                <w:sz w:val="24"/>
              </w:rPr>
              <w:t>$1.05</w:t>
            </w:r>
          </w:p>
        </w:tc>
        <w:tc>
          <w:tcPr>
            <w:tcW w:w="1440" w:type="dxa"/>
          </w:tcPr>
          <w:p>
            <w:pPr>
              <w:pStyle w:val="TableParagraph"/>
              <w:spacing w:before="82"/>
              <w:ind w:left="407"/>
              <w:jc w:val="left"/>
              <w:rPr>
                <w:sz w:val="24"/>
              </w:rPr>
            </w:pPr>
            <w:r>
              <w:rPr>
                <w:sz w:val="24"/>
              </w:rPr>
              <w:t>$1.22</w:t>
            </w:r>
          </w:p>
        </w:tc>
        <w:tc>
          <w:tcPr>
            <w:tcW w:w="1440" w:type="dxa"/>
          </w:tcPr>
          <w:p>
            <w:pPr>
              <w:pStyle w:val="TableParagraph"/>
              <w:spacing w:before="82"/>
              <w:ind w:left="407"/>
              <w:jc w:val="left"/>
              <w:rPr>
                <w:sz w:val="24"/>
              </w:rPr>
            </w:pPr>
            <w:r>
              <w:rPr>
                <w:sz w:val="24"/>
              </w:rPr>
              <w:t>$1.23</w:t>
            </w:r>
          </w:p>
        </w:tc>
      </w:tr>
    </w:tbl>
    <w:p>
      <w:pPr>
        <w:spacing w:after="0"/>
        <w:jc w:val="left"/>
        <w:rPr>
          <w:sz w:val="24"/>
        </w:rPr>
        <w:sectPr>
          <w:pgSz w:w="12240" w:h="15840"/>
          <w:pgMar w:header="0" w:footer="790" w:top="1280" w:bottom="980" w:left="1580" w:right="540"/>
        </w:sectPr>
      </w:pPr>
    </w:p>
    <w:p>
      <w:pPr>
        <w:spacing w:line="314" w:lineRule="auto" w:before="69"/>
        <w:ind w:left="100" w:right="115" w:firstLine="0"/>
        <w:jc w:val="left"/>
        <w:rPr>
          <w:sz w:val="24"/>
        </w:rPr>
      </w:pPr>
      <w:r>
        <w:rPr>
          <w:b/>
          <w:sz w:val="24"/>
        </w:rPr>
        <w:t>Southwest Airlines Co. </w:t>
      </w:r>
      <w:r>
        <w:rPr>
          <w:sz w:val="24"/>
        </w:rPr>
        <w:t>is the nation’s low fare, high Customer Satisfaction airline. </w:t>
      </w:r>
      <w:r>
        <w:rPr>
          <w:spacing w:val="6"/>
          <w:sz w:val="24"/>
        </w:rPr>
        <w:t>We </w:t>
      </w:r>
      <w:r>
        <w:rPr>
          <w:sz w:val="24"/>
        </w:rPr>
        <w:t>primarily serve shorthaul city pairs, providing single class air transportation which targets the business commuter as well as leisure travelers. </w:t>
      </w:r>
      <w:r>
        <w:rPr>
          <w:spacing w:val="2"/>
          <w:sz w:val="24"/>
        </w:rPr>
        <w:t>The </w:t>
      </w:r>
      <w:r>
        <w:rPr>
          <w:sz w:val="24"/>
        </w:rPr>
        <w:t>Company, incorporated in Texas, commenced Customer Service on June 18, 1971 with three Boeing 737 </w:t>
      </w:r>
      <w:r>
        <w:rPr>
          <w:spacing w:val="2"/>
          <w:sz w:val="24"/>
        </w:rPr>
        <w:t>aircraft </w:t>
      </w:r>
      <w:r>
        <w:rPr>
          <w:sz w:val="24"/>
        </w:rPr>
        <w:t>serving three Texas cities—Dallas, Houston, and </w:t>
      </w:r>
      <w:r>
        <w:rPr>
          <w:spacing w:val="-3"/>
          <w:sz w:val="24"/>
        </w:rPr>
        <w:t>San </w:t>
      </w:r>
      <w:r>
        <w:rPr>
          <w:sz w:val="24"/>
        </w:rPr>
        <w:t>Antonio. At yearend 1995, Southwest operated 224 Boeing 737 </w:t>
      </w:r>
      <w:r>
        <w:rPr>
          <w:spacing w:val="2"/>
          <w:sz w:val="24"/>
        </w:rPr>
        <w:t>aircraft </w:t>
      </w:r>
      <w:r>
        <w:rPr>
          <w:sz w:val="24"/>
        </w:rPr>
        <w:t>and provided service to 46 </w:t>
      </w:r>
      <w:r>
        <w:rPr>
          <w:spacing w:val="2"/>
          <w:sz w:val="24"/>
        </w:rPr>
        <w:t>airports </w:t>
      </w:r>
      <w:r>
        <w:rPr>
          <w:sz w:val="24"/>
        </w:rPr>
        <w:t>in 45 cities principally in the midwestern, southwestern, and western regions of the United </w:t>
      </w:r>
      <w:r>
        <w:rPr>
          <w:spacing w:val="-4"/>
          <w:sz w:val="24"/>
        </w:rPr>
        <w:t>States. </w:t>
      </w:r>
      <w:r>
        <w:rPr>
          <w:sz w:val="24"/>
        </w:rPr>
        <w:t>Southwest has one of the lowest operating cost structures and consistently offers the lowest and simplest fares in the domestic airline industry. LUV is our stock exchange symbol, selected to </w:t>
      </w:r>
      <w:r>
        <w:rPr>
          <w:spacing w:val="2"/>
          <w:sz w:val="24"/>
        </w:rPr>
        <w:t>represent </w:t>
      </w:r>
      <w:r>
        <w:rPr>
          <w:sz w:val="24"/>
        </w:rPr>
        <w:t>our home at Dallas Love </w:t>
      </w:r>
      <w:r>
        <w:rPr>
          <w:spacing w:val="3"/>
          <w:sz w:val="24"/>
        </w:rPr>
        <w:t>Field, </w:t>
      </w:r>
      <w:r>
        <w:rPr>
          <w:sz w:val="24"/>
        </w:rPr>
        <w:t>as well as the theme of our Employee and Customer</w:t>
      </w:r>
      <w:r>
        <w:rPr>
          <w:spacing w:val="-3"/>
          <w:sz w:val="24"/>
        </w:rPr>
        <w:t> </w:t>
      </w:r>
      <w:r>
        <w:rPr>
          <w:sz w:val="24"/>
        </w:rPr>
        <w:t>relationships.</w:t>
      </w:r>
    </w:p>
    <w:p>
      <w:pPr>
        <w:pStyle w:val="BodyText"/>
        <w:spacing w:before="4"/>
        <w:rPr>
          <w:sz w:val="31"/>
        </w:rPr>
      </w:pPr>
    </w:p>
    <w:p>
      <w:pPr>
        <w:spacing w:line="312" w:lineRule="auto" w:before="0"/>
        <w:ind w:left="100" w:right="132" w:firstLine="0"/>
        <w:jc w:val="both"/>
        <w:rPr>
          <w:sz w:val="24"/>
        </w:rPr>
      </w:pPr>
      <w:r>
        <w:rPr>
          <w:sz w:val="24"/>
        </w:rPr>
        <w:t>Last year, our annual report was the blueprint for building </w:t>
      </w:r>
      <w:r>
        <w:rPr>
          <w:sz w:val="24"/>
          <w:u w:val="single"/>
        </w:rPr>
        <w:t>a </w:t>
      </w:r>
      <w:r>
        <w:rPr>
          <w:sz w:val="24"/>
        </w:rPr>
        <w:t>low fare airline. Two of our competitors, the United Shuttle and Continental Lite, sincerely flattered us with their imitations. But thanks to the 20,000 mavericks who work for us, our 24- year record of success remained intact.</w:t>
      </w:r>
    </w:p>
    <w:p>
      <w:pPr>
        <w:pStyle w:val="BodyText"/>
        <w:spacing w:before="6"/>
        <w:rPr>
          <w:sz w:val="31"/>
        </w:rPr>
      </w:pPr>
    </w:p>
    <w:p>
      <w:pPr>
        <w:spacing w:line="312" w:lineRule="auto" w:before="1"/>
        <w:ind w:left="100" w:right="201" w:firstLine="0"/>
        <w:jc w:val="left"/>
        <w:rPr>
          <w:sz w:val="24"/>
        </w:rPr>
      </w:pPr>
      <w:r>
        <w:rPr>
          <w:sz w:val="24"/>
        </w:rPr>
        <w:t>This year, for the first time in our history, we’ve decided to share our Six Secrets of Success. Now there’s simply no reason why every airline can’t be just as successful as Southwest Airlines. Except for this: If you want to be </w:t>
      </w:r>
      <w:r>
        <w:rPr>
          <w:sz w:val="24"/>
          <w:u w:val="single"/>
        </w:rPr>
        <w:t>THE </w:t>
      </w:r>
      <w:r>
        <w:rPr>
          <w:sz w:val="24"/>
        </w:rPr>
        <w:t>Low Fare Airline, you’ll need our remarkable Employees and their unwavering Southwest Spirit.</w:t>
      </w:r>
    </w:p>
    <w:p>
      <w:pPr>
        <w:pStyle w:val="BodyText"/>
        <w:spacing w:before="7"/>
        <w:rPr>
          <w:sz w:val="31"/>
        </w:rPr>
      </w:pPr>
    </w:p>
    <w:p>
      <w:pPr>
        <w:spacing w:before="0"/>
        <w:ind w:left="100" w:right="0" w:firstLine="0"/>
        <w:jc w:val="left"/>
        <w:rPr>
          <w:sz w:val="24"/>
        </w:rPr>
      </w:pPr>
      <w:r>
        <w:rPr>
          <w:sz w:val="24"/>
        </w:rPr>
        <w:t>Hey, we never said it would be easy!</w:t>
      </w:r>
    </w:p>
    <w:p>
      <w:pPr>
        <w:spacing w:after="0"/>
        <w:jc w:val="left"/>
        <w:rPr>
          <w:sz w:val="24"/>
        </w:rPr>
        <w:sectPr>
          <w:pgSz w:w="12240" w:h="15840"/>
          <w:pgMar w:header="0" w:footer="790" w:top="1280" w:bottom="980" w:left="1700" w:right="1700"/>
        </w:sectPr>
      </w:pPr>
    </w:p>
    <w:p>
      <w:pPr>
        <w:spacing w:before="69"/>
        <w:ind w:left="120" w:right="0" w:firstLine="0"/>
        <w:jc w:val="left"/>
        <w:rPr>
          <w:b/>
          <w:sz w:val="24"/>
        </w:rPr>
      </w:pPr>
      <w:r>
        <w:rPr>
          <w:b/>
          <w:sz w:val="24"/>
        </w:rPr>
        <w:t>To Our Shareholders:</w:t>
      </w:r>
    </w:p>
    <w:p>
      <w:pPr>
        <w:pStyle w:val="BodyText"/>
        <w:rPr>
          <w:b/>
          <w:sz w:val="26"/>
        </w:rPr>
      </w:pPr>
    </w:p>
    <w:p>
      <w:pPr>
        <w:spacing w:line="312" w:lineRule="auto" w:before="149"/>
        <w:ind w:left="120" w:right="815" w:firstLine="0"/>
        <w:jc w:val="left"/>
        <w:rPr>
          <w:sz w:val="24"/>
        </w:rPr>
      </w:pPr>
      <w:r>
        <w:rPr>
          <w:sz w:val="24"/>
        </w:rPr>
        <w:t>In fourth quarter 1994 and first quarter 1995, our year over year earnings were down substantially as the proud and beloved People of Southwest Airlines defended themselves against simultaneous assaults from Continental Lite and the United Shuttle. Because of my supreme confidence in the dedication, martial vigor, and extreme valor of our People, I predicted in our 1994 Annual Report that Southwest’s fortunes would begin to recover in the second quarter of 1995. I also said that:</w:t>
      </w:r>
    </w:p>
    <w:p>
      <w:pPr>
        <w:pStyle w:val="BodyText"/>
        <w:spacing w:before="6"/>
        <w:rPr>
          <w:sz w:val="31"/>
        </w:rPr>
      </w:pPr>
    </w:p>
    <w:p>
      <w:pPr>
        <w:spacing w:line="312" w:lineRule="auto" w:before="0"/>
        <w:ind w:left="119" w:right="942" w:firstLine="0"/>
        <w:jc w:val="left"/>
        <w:rPr>
          <w:sz w:val="24"/>
        </w:rPr>
      </w:pPr>
      <w:r>
        <w:rPr>
          <w:spacing w:val="3"/>
          <w:sz w:val="24"/>
        </w:rPr>
        <w:t>“While </w:t>
      </w:r>
      <w:r>
        <w:rPr>
          <w:sz w:val="24"/>
        </w:rPr>
        <w:t>a number of other airlines </w:t>
      </w:r>
      <w:r>
        <w:rPr>
          <w:spacing w:val="-3"/>
          <w:sz w:val="24"/>
        </w:rPr>
        <w:t>may </w:t>
      </w:r>
      <w:r>
        <w:rPr>
          <w:sz w:val="24"/>
        </w:rPr>
        <w:t>attempt to imitate Southwest, none of them can duplicate the spirit, unity, ‘can do’ attitudes, and marvelous </w:t>
      </w:r>
      <w:r>
        <w:rPr>
          <w:i/>
          <w:sz w:val="24"/>
        </w:rPr>
        <w:t>esprit de corps </w:t>
      </w:r>
      <w:r>
        <w:rPr>
          <w:sz w:val="24"/>
        </w:rPr>
        <w:t>of the Southwest Employees, who continually provide superb Customer Service to each other and to the traveling public. Just as the past has belonged to Southwest because of our People’s goodwill, dedication, and energy, so shall Southwest seize the</w:t>
      </w:r>
      <w:r>
        <w:rPr>
          <w:spacing w:val="34"/>
          <w:sz w:val="24"/>
        </w:rPr>
        <w:t> </w:t>
      </w:r>
      <w:r>
        <w:rPr>
          <w:sz w:val="24"/>
        </w:rPr>
        <w:t>future!”</w:t>
      </w:r>
    </w:p>
    <w:p>
      <w:pPr>
        <w:pStyle w:val="BodyText"/>
        <w:spacing w:before="6"/>
        <w:rPr>
          <w:sz w:val="31"/>
        </w:rPr>
      </w:pPr>
    </w:p>
    <w:p>
      <w:pPr>
        <w:spacing w:line="312" w:lineRule="auto" w:before="0"/>
        <w:ind w:left="119" w:right="0" w:firstLine="0"/>
        <w:jc w:val="left"/>
        <w:rPr>
          <w:sz w:val="24"/>
        </w:rPr>
      </w:pPr>
      <w:r>
        <w:rPr>
          <w:sz w:val="24"/>
        </w:rPr>
        <w:t>As of today, Continental Lite has ceased to exist and the United Shuttle has substantially receded from Southwest’s Oakland, California, markets. Because of our Employees’ indefatigable efforts, a 72 percent year over year decline in first quarter 1995 profits has been transmogrified into a 1995 record annual profit of</w:t>
      </w:r>
    </w:p>
    <w:p>
      <w:pPr>
        <w:spacing w:line="312" w:lineRule="auto" w:before="3"/>
        <w:ind w:left="119" w:right="0" w:firstLine="0"/>
        <w:jc w:val="left"/>
        <w:rPr>
          <w:sz w:val="24"/>
        </w:rPr>
      </w:pPr>
      <w:r>
        <w:rPr>
          <w:sz w:val="24"/>
        </w:rPr>
        <w:t>$182,626,000 ($1.23 per share), a two percent increase over the $179,331,000 ($1.22 per share) of 1994.</w:t>
      </w:r>
    </w:p>
    <w:p>
      <w:pPr>
        <w:pStyle w:val="BodyText"/>
        <w:spacing w:before="7"/>
        <w:rPr>
          <w:sz w:val="31"/>
        </w:rPr>
      </w:pPr>
    </w:p>
    <w:p>
      <w:pPr>
        <w:spacing w:line="312" w:lineRule="auto" w:before="0"/>
        <w:ind w:left="119" w:right="0" w:firstLine="0"/>
        <w:jc w:val="left"/>
        <w:rPr>
          <w:sz w:val="24"/>
        </w:rPr>
      </w:pPr>
      <w:r>
        <w:rPr>
          <w:sz w:val="24"/>
        </w:rPr>
        <w:t>Our fourth quarter 1995 earnings of $43,359,000 ($.29 per share) made a very substantial contribution to our 1995 “turnaround,” as they exceeded 1994’s</w:t>
      </w:r>
    </w:p>
    <w:p>
      <w:pPr>
        <w:spacing w:before="3"/>
        <w:ind w:left="119" w:right="0" w:firstLine="0"/>
        <w:jc w:val="left"/>
        <w:rPr>
          <w:sz w:val="24"/>
        </w:rPr>
      </w:pPr>
      <w:r>
        <w:rPr>
          <w:sz w:val="24"/>
        </w:rPr>
        <w:t>$20,343,000 ($.14 per share) by 113 percent.</w:t>
      </w:r>
    </w:p>
    <w:p>
      <w:pPr>
        <w:pStyle w:val="BodyText"/>
        <w:spacing w:before="6"/>
        <w:rPr>
          <w:sz w:val="38"/>
        </w:rPr>
      </w:pPr>
    </w:p>
    <w:p>
      <w:pPr>
        <w:spacing w:line="312" w:lineRule="auto" w:before="0"/>
        <w:ind w:left="119" w:right="131" w:firstLine="0"/>
        <w:jc w:val="left"/>
        <w:rPr>
          <w:sz w:val="24"/>
        </w:rPr>
      </w:pPr>
      <w:r>
        <w:rPr>
          <w:sz w:val="24"/>
        </w:rPr>
        <w:t>Despite the adverse cost impact of the recently effective 4.3 cents per gallon federal jet fuel tax, accompanied, as well, by thus far moderate increases in jet fuel prices, from this early vantage point we presently anticipate, barring any unforeseen and deleterious external events, that our first quarter 1996 earnings will substantially exceed those of first quarter 1995.</w:t>
      </w:r>
    </w:p>
    <w:p>
      <w:pPr>
        <w:spacing w:after="0" w:line="312" w:lineRule="auto"/>
        <w:jc w:val="left"/>
        <w:rPr>
          <w:sz w:val="24"/>
        </w:rPr>
        <w:sectPr>
          <w:pgSz w:w="12240" w:h="15840"/>
          <w:pgMar w:header="0" w:footer="790" w:top="1280" w:bottom="980" w:left="1680" w:right="1680"/>
        </w:sectPr>
      </w:pPr>
    </w:p>
    <w:p>
      <w:pPr>
        <w:spacing w:line="312" w:lineRule="auto" w:before="74"/>
        <w:ind w:left="100" w:right="115" w:firstLine="0"/>
        <w:jc w:val="left"/>
        <w:rPr>
          <w:sz w:val="24"/>
        </w:rPr>
      </w:pPr>
      <w:r>
        <w:rPr>
          <w:sz w:val="24"/>
        </w:rPr>
        <w:t>During 1996, we anticipate adding 20 new Boeing 737-300s to our fleet and removing three older 737-200s therefrom. Our net increase in available seat mile capacity is expected to be approximately 13 percent.</w:t>
      </w:r>
    </w:p>
    <w:p>
      <w:pPr>
        <w:pStyle w:val="BodyText"/>
        <w:spacing w:before="7"/>
        <w:rPr>
          <w:sz w:val="31"/>
        </w:rPr>
      </w:pPr>
    </w:p>
    <w:p>
      <w:pPr>
        <w:spacing w:line="312" w:lineRule="auto" w:before="0"/>
        <w:ind w:left="100" w:right="201" w:firstLine="0"/>
        <w:jc w:val="left"/>
        <w:rPr>
          <w:sz w:val="24"/>
        </w:rPr>
      </w:pPr>
      <w:r>
        <w:rPr>
          <w:sz w:val="24"/>
        </w:rPr>
        <w:t>As of this writing, our just inaugurated service to Tampa and Ft. Lauderdale is already producing average daily load factors in excess of our system averages, and we are, therefore, optimistic that Florida will be a successful addition to our growing route system. We will inaugurate service to Orlando in April 1996, and we currently plan to devote at least eleven of our twenty 1996 aircraft deliveries to our new Florida markets.</w:t>
      </w:r>
    </w:p>
    <w:p>
      <w:pPr>
        <w:pStyle w:val="BodyText"/>
        <w:spacing w:before="7"/>
        <w:rPr>
          <w:sz w:val="31"/>
        </w:rPr>
      </w:pPr>
    </w:p>
    <w:p>
      <w:pPr>
        <w:spacing w:line="312" w:lineRule="auto" w:before="0"/>
        <w:ind w:left="100" w:right="115" w:firstLine="0"/>
        <w:jc w:val="left"/>
        <w:rPr>
          <w:sz w:val="24"/>
        </w:rPr>
      </w:pPr>
      <w:r>
        <w:rPr>
          <w:sz w:val="24"/>
        </w:rPr>
        <w:t>As American Airlines has “dehubbed” Nashville, we have been steadily adding replacement service, and Southwest is now the largest Nashville air carrier in terms of daily flight departures. In 1996, we will inaugurate nonstop service from Nashville to Tampa and Orlando and one-stop service to Ft. Lauderdale.</w:t>
      </w:r>
    </w:p>
    <w:p>
      <w:pPr>
        <w:pStyle w:val="BodyText"/>
        <w:spacing w:before="7"/>
        <w:rPr>
          <w:sz w:val="31"/>
        </w:rPr>
      </w:pPr>
    </w:p>
    <w:p>
      <w:pPr>
        <w:spacing w:line="312" w:lineRule="auto" w:before="0"/>
        <w:ind w:left="100" w:right="194" w:firstLine="0"/>
        <w:jc w:val="left"/>
        <w:rPr>
          <w:sz w:val="24"/>
        </w:rPr>
      </w:pPr>
      <w:r>
        <w:rPr>
          <w:spacing w:val="-4"/>
          <w:sz w:val="24"/>
        </w:rPr>
        <w:t>After </w:t>
      </w:r>
      <w:r>
        <w:rPr>
          <w:sz w:val="24"/>
        </w:rPr>
        <w:t>beginning 1995 with a truly dismal first quarter earnings performance, I am especially pleased and extremely happy to be able to </w:t>
      </w:r>
      <w:r>
        <w:rPr>
          <w:spacing w:val="2"/>
          <w:sz w:val="24"/>
        </w:rPr>
        <w:t>report </w:t>
      </w:r>
      <w:r>
        <w:rPr>
          <w:sz w:val="24"/>
        </w:rPr>
        <w:t>to our Shareholders 1995 annual financial results slightly improved over those for 1994. How was  this “miracle” of 1995 accomplished? It was achieved through the fighting spirit of the marvelous People of Southwest Airlines. </w:t>
      </w:r>
      <w:r>
        <w:rPr>
          <w:spacing w:val="3"/>
          <w:sz w:val="24"/>
        </w:rPr>
        <w:t>They </w:t>
      </w:r>
      <w:r>
        <w:rPr>
          <w:sz w:val="24"/>
        </w:rPr>
        <w:t>never give in and they never give up; that is why they are </w:t>
      </w:r>
      <w:r>
        <w:rPr>
          <w:spacing w:val="-4"/>
          <w:sz w:val="24"/>
        </w:rPr>
        <w:t>my </w:t>
      </w:r>
      <w:r>
        <w:rPr>
          <w:sz w:val="24"/>
        </w:rPr>
        <w:t>heroines and </w:t>
      </w:r>
      <w:r>
        <w:rPr>
          <w:spacing w:val="-4"/>
          <w:sz w:val="24"/>
        </w:rPr>
        <w:t>my</w:t>
      </w:r>
      <w:r>
        <w:rPr>
          <w:spacing w:val="16"/>
          <w:sz w:val="24"/>
        </w:rPr>
        <w:t> </w:t>
      </w:r>
      <w:r>
        <w:rPr>
          <w:sz w:val="24"/>
        </w:rPr>
        <w:t>heroes!</w:t>
      </w:r>
    </w:p>
    <w:p>
      <w:pPr>
        <w:pStyle w:val="BodyText"/>
        <w:spacing w:before="7"/>
        <w:rPr>
          <w:sz w:val="31"/>
        </w:rPr>
      </w:pPr>
    </w:p>
    <w:p>
      <w:pPr>
        <w:spacing w:line="312" w:lineRule="auto" w:before="0"/>
        <w:ind w:left="5140" w:right="1319" w:firstLine="0"/>
        <w:jc w:val="left"/>
        <w:rPr>
          <w:sz w:val="24"/>
        </w:rPr>
      </w:pPr>
      <w:r>
        <w:rPr>
          <w:sz w:val="24"/>
        </w:rPr>
        <w:t>Most sincerely, Herbert D. Kelleher</w:t>
      </w:r>
    </w:p>
    <w:p>
      <w:pPr>
        <w:spacing w:line="312" w:lineRule="auto" w:before="3"/>
        <w:ind w:left="5140" w:right="958" w:firstLine="0"/>
        <w:jc w:val="left"/>
        <w:rPr>
          <w:sz w:val="24"/>
        </w:rPr>
      </w:pPr>
      <w:r>
        <w:rPr>
          <w:sz w:val="24"/>
        </w:rPr>
        <w:t>Chairman, President, and Chief Executive Officer January 27, 1996</w:t>
      </w:r>
    </w:p>
    <w:p>
      <w:pPr>
        <w:pStyle w:val="BodyText"/>
        <w:spacing w:before="6"/>
        <w:rPr>
          <w:sz w:val="31"/>
        </w:rPr>
      </w:pPr>
    </w:p>
    <w:p>
      <w:pPr>
        <w:spacing w:before="0"/>
        <w:ind w:left="100" w:right="0" w:firstLine="0"/>
        <w:jc w:val="left"/>
        <w:rPr>
          <w:sz w:val="24"/>
        </w:rPr>
      </w:pPr>
      <w:r>
        <w:rPr>
          <w:sz w:val="24"/>
        </w:rPr>
        <w:t>P.S. Our People are also a heck of a lot of fun to be with!</w:t>
      </w:r>
    </w:p>
    <w:p>
      <w:pPr>
        <w:spacing w:after="0"/>
        <w:jc w:val="left"/>
        <w:rPr>
          <w:sz w:val="24"/>
        </w:rPr>
        <w:sectPr>
          <w:pgSz w:w="12240" w:h="15840"/>
          <w:pgMar w:header="0" w:footer="790" w:top="1280" w:bottom="980" w:left="1700" w:right="1700"/>
        </w:sectPr>
      </w:pPr>
    </w:p>
    <w:p>
      <w:pPr>
        <w:spacing w:before="69"/>
        <w:ind w:left="100" w:right="0" w:firstLine="0"/>
        <w:jc w:val="left"/>
        <w:rPr>
          <w:b/>
          <w:sz w:val="24"/>
        </w:rPr>
      </w:pPr>
      <w:r>
        <w:rPr>
          <w:b/>
          <w:sz w:val="24"/>
        </w:rPr>
        <w:t>SECRET NUMBER 1</w:t>
      </w:r>
    </w:p>
    <w:p>
      <w:pPr>
        <w:spacing w:before="83"/>
        <w:ind w:left="100" w:right="0" w:firstLine="0"/>
        <w:jc w:val="left"/>
        <w:rPr>
          <w:b/>
          <w:sz w:val="24"/>
        </w:rPr>
      </w:pPr>
      <w:r>
        <w:rPr>
          <w:b/>
          <w:sz w:val="24"/>
        </w:rPr>
        <w:t>Stick to what you’re good at.</w:t>
      </w:r>
    </w:p>
    <w:p>
      <w:pPr>
        <w:pStyle w:val="BodyText"/>
        <w:spacing w:before="11"/>
        <w:rPr>
          <w:b/>
          <w:sz w:val="38"/>
        </w:rPr>
      </w:pPr>
    </w:p>
    <w:p>
      <w:pPr>
        <w:spacing w:line="312" w:lineRule="auto" w:before="0"/>
        <w:ind w:left="1900" w:right="115" w:firstLine="0"/>
        <w:jc w:val="left"/>
        <w:rPr>
          <w:sz w:val="24"/>
        </w:rPr>
      </w:pPr>
      <w:r>
        <w:rPr>
          <w:sz w:val="24"/>
        </w:rPr>
        <w:t>Since 1971, Southwest Airlines has offered single class service on lots of short-to-medium range flights to convenient airports. It’s an idea that has propelled us to new heights.</w:t>
      </w:r>
    </w:p>
    <w:p>
      <w:pPr>
        <w:pStyle w:val="BodyText"/>
        <w:rPr>
          <w:sz w:val="26"/>
        </w:rPr>
      </w:pPr>
    </w:p>
    <w:p>
      <w:pPr>
        <w:pStyle w:val="BodyText"/>
        <w:spacing w:before="10"/>
        <w:rPr>
          <w:sz w:val="36"/>
        </w:rPr>
      </w:pPr>
    </w:p>
    <w:p>
      <w:pPr>
        <w:spacing w:line="312" w:lineRule="auto" w:before="0"/>
        <w:ind w:left="1900" w:right="115" w:firstLine="0"/>
        <w:jc w:val="left"/>
        <w:rPr>
          <w:sz w:val="24"/>
        </w:rPr>
      </w:pPr>
      <w:r>
        <w:rPr>
          <w:sz w:val="24"/>
        </w:rPr>
        <w:t>“Our focus is, and has always been, shorthaul, point-to-point travel. That’s why 80 percent of our Customers fly nonstop.”</w:t>
      </w:r>
    </w:p>
    <w:p>
      <w:pPr>
        <w:spacing w:before="3"/>
        <w:ind w:left="5016" w:right="1371" w:firstLine="0"/>
        <w:jc w:val="right"/>
        <w:rPr>
          <w:sz w:val="24"/>
        </w:rPr>
      </w:pPr>
      <w:r>
        <w:rPr>
          <w:sz w:val="24"/>
        </w:rPr>
        <w:t>Gary C. Kelly</w:t>
      </w:r>
    </w:p>
    <w:p>
      <w:pPr>
        <w:spacing w:line="312" w:lineRule="auto" w:before="84"/>
        <w:ind w:left="6061" w:right="115" w:hanging="20"/>
        <w:jc w:val="left"/>
        <w:rPr>
          <w:sz w:val="24"/>
        </w:rPr>
      </w:pPr>
      <w:r>
        <w:rPr>
          <w:sz w:val="24"/>
        </w:rPr>
        <w:t>Vice President-Finance, Chief Financial Officer</w:t>
      </w:r>
    </w:p>
    <w:p>
      <w:pPr>
        <w:pStyle w:val="BodyText"/>
        <w:spacing w:before="7"/>
        <w:rPr>
          <w:sz w:val="31"/>
        </w:rPr>
      </w:pPr>
    </w:p>
    <w:p>
      <w:pPr>
        <w:spacing w:line="312" w:lineRule="auto" w:before="0"/>
        <w:ind w:left="100" w:right="208" w:firstLine="0"/>
        <w:jc w:val="left"/>
        <w:rPr>
          <w:sz w:val="24"/>
        </w:rPr>
      </w:pPr>
      <w:r>
        <w:rPr>
          <w:sz w:val="24"/>
        </w:rPr>
        <w:t>Since Southwest’s inception, we have fundamentally adhered to our shorthaul, high frequency, low-fare, point-to-point market niche. As a consequence, Southwest provides service only to communities that have ample local traffic to profitably support our high-frequency operation. Since our focus is on local, not connecting, shorthaul traffic, we do not interline with other jet carriers or have any commuter feeder relationships. As a consequence, approximately 80 percent of our Customers fly nonstop.</w:t>
      </w:r>
    </w:p>
    <w:p>
      <w:pPr>
        <w:pStyle w:val="BodyText"/>
        <w:spacing w:before="6"/>
        <w:rPr>
          <w:sz w:val="31"/>
        </w:rPr>
      </w:pPr>
    </w:p>
    <w:p>
      <w:pPr>
        <w:spacing w:line="312" w:lineRule="auto" w:before="1"/>
        <w:ind w:left="100" w:right="115" w:firstLine="0"/>
        <w:jc w:val="left"/>
        <w:rPr>
          <w:sz w:val="24"/>
        </w:rPr>
      </w:pPr>
      <w:r>
        <w:rPr>
          <w:sz w:val="24"/>
        </w:rPr>
        <w:t>Southwest schedules its aircraft on a point-to-point as opposed to a hub-and- spoke basis. Our extensive point-to-point routing system provides more direct nonstop routings to better serve the needs of the business as well as the leisure shorthaul passenger. By avoiding hubs, we minimize connections, delays, and our Customers’ total travel time. In addition, many of the airports we serve are conveniently located satellite or downtown airports such as Dallas Love Field, Houston Hobby, Chicago Midway, Oakland, Burbank, Ft. Lauderdale, and Baltimore. These airports are typically less congested than hub airports and, therefore, improve our ability to maintain our outstanding ontime performance record.</w:t>
      </w:r>
    </w:p>
    <w:p>
      <w:pPr>
        <w:pStyle w:val="BodyText"/>
        <w:spacing w:before="7"/>
        <w:rPr>
          <w:sz w:val="31"/>
        </w:rPr>
      </w:pPr>
    </w:p>
    <w:p>
      <w:pPr>
        <w:spacing w:line="312" w:lineRule="auto" w:before="0"/>
        <w:ind w:left="100" w:right="208" w:firstLine="0"/>
        <w:jc w:val="left"/>
        <w:rPr>
          <w:sz w:val="24"/>
        </w:rPr>
      </w:pPr>
      <w:r>
        <w:rPr>
          <w:sz w:val="24"/>
        </w:rPr>
        <w:t>Although we served only 46 airports at the end of 1995, we had over 2,000 flights per day. The average number of daily departures per airport was approximately 45. Our largest airports are Phoenix Sky Harbor, Dallas Love</w:t>
      </w:r>
    </w:p>
    <w:p>
      <w:pPr>
        <w:spacing w:after="0" w:line="312" w:lineRule="auto"/>
        <w:jc w:val="left"/>
        <w:rPr>
          <w:sz w:val="24"/>
        </w:rPr>
        <w:sectPr>
          <w:pgSz w:w="12240" w:h="15840"/>
          <w:pgMar w:header="0" w:footer="790" w:top="1280" w:bottom="980" w:left="1700" w:right="1700"/>
        </w:sectPr>
      </w:pPr>
    </w:p>
    <w:p>
      <w:pPr>
        <w:spacing w:line="312" w:lineRule="auto" w:before="74"/>
        <w:ind w:left="220" w:right="229" w:firstLine="0"/>
        <w:jc w:val="left"/>
        <w:rPr>
          <w:sz w:val="24"/>
        </w:rPr>
      </w:pPr>
      <w:r>
        <w:rPr>
          <w:sz w:val="24"/>
        </w:rPr>
        <w:t>Field, Houston Hobby, and Las Vegas McCarran with 168, 137, 136, and 128 daily flights, respectively. At the airports we serve, we consistently have among the largest number of Customers boarded of all airlines. We ranked first or second in terms of Customers boarded in the majority of our 46 airports served in 1995.</w:t>
      </w:r>
    </w:p>
    <w:p>
      <w:pPr>
        <w:pStyle w:val="BodyText"/>
        <w:spacing w:before="7"/>
        <w:rPr>
          <w:sz w:val="31"/>
        </w:rPr>
      </w:pPr>
    </w:p>
    <w:p>
      <w:pPr>
        <w:spacing w:line="312" w:lineRule="auto" w:before="0"/>
        <w:ind w:left="220" w:right="138" w:firstLine="0"/>
        <w:jc w:val="left"/>
        <w:rPr>
          <w:sz w:val="24"/>
        </w:rPr>
      </w:pPr>
      <w:r>
        <w:rPr>
          <w:sz w:val="24"/>
        </w:rPr>
        <w:t>As a result of the combination of low fares, high frequencies, convenience, and outstanding Customer Service, </w:t>
      </w:r>
      <w:r>
        <w:rPr>
          <w:spacing w:val="-3"/>
          <w:sz w:val="24"/>
        </w:rPr>
        <w:t>we </w:t>
      </w:r>
      <w:r>
        <w:rPr>
          <w:sz w:val="24"/>
        </w:rPr>
        <w:t>dominate the majority of the shorthaul markets </w:t>
      </w:r>
      <w:r>
        <w:rPr>
          <w:spacing w:val="-3"/>
          <w:sz w:val="24"/>
        </w:rPr>
        <w:t>we </w:t>
      </w:r>
      <w:r>
        <w:rPr>
          <w:sz w:val="24"/>
        </w:rPr>
        <w:t>serve. </w:t>
      </w:r>
      <w:r>
        <w:rPr>
          <w:spacing w:val="6"/>
          <w:sz w:val="24"/>
        </w:rPr>
        <w:t>We </w:t>
      </w:r>
      <w:r>
        <w:rPr>
          <w:sz w:val="24"/>
        </w:rPr>
        <w:t>consistently </w:t>
      </w:r>
      <w:r>
        <w:rPr>
          <w:spacing w:val="2"/>
          <w:sz w:val="24"/>
        </w:rPr>
        <w:t>rank </w:t>
      </w:r>
      <w:r>
        <w:rPr>
          <w:sz w:val="24"/>
        </w:rPr>
        <w:t>first in market share in approximately 80 to 90 percent of our top 100 city-pair markets, and, in the aggregate, 60 to 70 percent of the total market share. Southwest also carries the most passengers in the top 100 U.S. markets despite serving only 41 of</w:t>
      </w:r>
      <w:r>
        <w:rPr>
          <w:spacing w:val="4"/>
          <w:sz w:val="24"/>
        </w:rPr>
        <w:t> </w:t>
      </w:r>
      <w:r>
        <w:rPr>
          <w:sz w:val="24"/>
        </w:rPr>
        <w:t>them.</w:t>
      </w:r>
    </w:p>
    <w:p>
      <w:pPr>
        <w:pStyle w:val="BodyText"/>
        <w:spacing w:before="2"/>
        <w:rPr>
          <w:sz w:val="31"/>
        </w:rPr>
      </w:pPr>
    </w:p>
    <w:p>
      <w:pPr>
        <w:spacing w:before="0" w:after="6"/>
        <w:ind w:left="220" w:right="0" w:firstLine="0"/>
        <w:jc w:val="left"/>
        <w:rPr>
          <w:b/>
          <w:sz w:val="24"/>
        </w:rPr>
      </w:pPr>
      <w:r>
        <w:rPr>
          <w:b/>
          <w:sz w:val="24"/>
        </w:rPr>
        <w:t>Operating Revenue Per Available Seat Mile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446"/>
              <w:jc w:val="left"/>
              <w:rPr>
                <w:b/>
                <w:sz w:val="24"/>
              </w:rPr>
            </w:pPr>
            <w:r>
              <w:rPr>
                <w:b/>
                <w:color w:val="FFFFFF"/>
                <w:sz w:val="24"/>
              </w:rPr>
              <w:t>1991</w:t>
            </w:r>
          </w:p>
        </w:tc>
        <w:tc>
          <w:tcPr>
            <w:tcW w:w="1440" w:type="dxa"/>
            <w:shd w:val="clear" w:color="auto" w:fill="666666"/>
          </w:tcPr>
          <w:p>
            <w:pPr>
              <w:pStyle w:val="TableParagraph"/>
              <w:spacing w:before="77"/>
              <w:ind w:left="441"/>
              <w:jc w:val="left"/>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412"/>
              <w:jc w:val="left"/>
              <w:rPr>
                <w:sz w:val="24"/>
              </w:rPr>
            </w:pPr>
            <w:r>
              <w:rPr>
                <w:sz w:val="24"/>
              </w:rPr>
              <w:t>7.10¢</w:t>
            </w:r>
          </w:p>
        </w:tc>
        <w:tc>
          <w:tcPr>
            <w:tcW w:w="1440" w:type="dxa"/>
          </w:tcPr>
          <w:p>
            <w:pPr>
              <w:pStyle w:val="TableParagraph"/>
              <w:spacing w:before="82"/>
              <w:ind w:left="407"/>
              <w:jc w:val="left"/>
              <w:rPr>
                <w:sz w:val="24"/>
              </w:rPr>
            </w:pPr>
            <w:r>
              <w:rPr>
                <w:sz w:val="24"/>
              </w:rPr>
              <w:t>7.89¢</w:t>
            </w:r>
          </w:p>
        </w:tc>
        <w:tc>
          <w:tcPr>
            <w:tcW w:w="1440" w:type="dxa"/>
          </w:tcPr>
          <w:p>
            <w:pPr>
              <w:pStyle w:val="TableParagraph"/>
              <w:spacing w:before="82"/>
              <w:ind w:left="407"/>
              <w:jc w:val="left"/>
              <w:rPr>
                <w:sz w:val="24"/>
              </w:rPr>
            </w:pPr>
            <w:r>
              <w:rPr>
                <w:sz w:val="24"/>
              </w:rPr>
              <w:t>8.35¢</w:t>
            </w:r>
          </w:p>
        </w:tc>
        <w:tc>
          <w:tcPr>
            <w:tcW w:w="1440" w:type="dxa"/>
          </w:tcPr>
          <w:p>
            <w:pPr>
              <w:pStyle w:val="TableParagraph"/>
              <w:spacing w:before="82"/>
              <w:ind w:left="407"/>
              <w:jc w:val="left"/>
              <w:rPr>
                <w:sz w:val="24"/>
              </w:rPr>
            </w:pPr>
            <w:r>
              <w:rPr>
                <w:sz w:val="24"/>
              </w:rPr>
              <w:t>8.07¢</w:t>
            </w:r>
          </w:p>
        </w:tc>
        <w:tc>
          <w:tcPr>
            <w:tcW w:w="1440" w:type="dxa"/>
          </w:tcPr>
          <w:p>
            <w:pPr>
              <w:pStyle w:val="TableParagraph"/>
              <w:spacing w:before="82"/>
              <w:ind w:left="407"/>
              <w:jc w:val="left"/>
              <w:rPr>
                <w:sz w:val="24"/>
              </w:rPr>
            </w:pPr>
            <w:r>
              <w:rPr>
                <w:sz w:val="24"/>
              </w:rPr>
              <w:t>7.94¢</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Operating Expense Per Available Seat Mile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105"/>
              <w:jc w:val="left"/>
              <w:rPr>
                <w:b/>
                <w:sz w:val="24"/>
              </w:rPr>
            </w:pPr>
            <w:r>
              <w:rPr>
                <w:b/>
                <w:color w:val="FFFFFF"/>
                <w:sz w:val="24"/>
              </w:rPr>
              <w:t>1991</w:t>
            </w:r>
          </w:p>
        </w:tc>
        <w:tc>
          <w:tcPr>
            <w:tcW w:w="1440" w:type="dxa"/>
            <w:shd w:val="clear" w:color="auto" w:fill="666666"/>
          </w:tcPr>
          <w:p>
            <w:pPr>
              <w:pStyle w:val="TableParagraph"/>
              <w:spacing w:before="77"/>
              <w:ind w:left="100"/>
              <w:jc w:val="left"/>
              <w:rPr>
                <w:b/>
                <w:sz w:val="24"/>
              </w:rPr>
            </w:pPr>
            <w:r>
              <w:rPr>
                <w:b/>
                <w:color w:val="FFFFFF"/>
                <w:sz w:val="24"/>
              </w:rPr>
              <w:t>1992</w:t>
            </w:r>
          </w:p>
        </w:tc>
        <w:tc>
          <w:tcPr>
            <w:tcW w:w="1440" w:type="dxa"/>
            <w:shd w:val="clear" w:color="auto" w:fill="666666"/>
          </w:tcPr>
          <w:p>
            <w:pPr>
              <w:pStyle w:val="TableParagraph"/>
              <w:spacing w:before="77"/>
              <w:ind w:left="100"/>
              <w:jc w:val="left"/>
              <w:rPr>
                <w:b/>
                <w:sz w:val="24"/>
              </w:rPr>
            </w:pPr>
            <w:r>
              <w:rPr>
                <w:b/>
                <w:color w:val="FFFFFF"/>
                <w:sz w:val="24"/>
              </w:rPr>
              <w:t>1993</w:t>
            </w:r>
          </w:p>
        </w:tc>
        <w:tc>
          <w:tcPr>
            <w:tcW w:w="1440" w:type="dxa"/>
            <w:shd w:val="clear" w:color="auto" w:fill="666666"/>
          </w:tcPr>
          <w:p>
            <w:pPr>
              <w:pStyle w:val="TableParagraph"/>
              <w:spacing w:before="77"/>
              <w:ind w:left="100"/>
              <w:jc w:val="left"/>
              <w:rPr>
                <w:b/>
                <w:sz w:val="24"/>
              </w:rPr>
            </w:pPr>
            <w:r>
              <w:rPr>
                <w:b/>
                <w:color w:val="FFFFFF"/>
                <w:sz w:val="24"/>
              </w:rPr>
              <w:t>1994</w:t>
            </w:r>
          </w:p>
        </w:tc>
        <w:tc>
          <w:tcPr>
            <w:tcW w:w="1440" w:type="dxa"/>
            <w:shd w:val="clear" w:color="auto" w:fill="666666"/>
          </w:tcPr>
          <w:p>
            <w:pPr>
              <w:pStyle w:val="TableParagraph"/>
              <w:spacing w:before="77"/>
              <w:ind w:left="100"/>
              <w:jc w:val="left"/>
              <w:rPr>
                <w:b/>
                <w:sz w:val="24"/>
              </w:rPr>
            </w:pPr>
            <w:r>
              <w:rPr>
                <w:b/>
                <w:color w:val="FFFFFF"/>
                <w:sz w:val="24"/>
              </w:rPr>
              <w:t>1995</w:t>
            </w:r>
          </w:p>
        </w:tc>
      </w:tr>
      <w:tr>
        <w:trPr>
          <w:trHeight w:val="374" w:hRule="exact"/>
        </w:trPr>
        <w:tc>
          <w:tcPr>
            <w:tcW w:w="1445" w:type="dxa"/>
          </w:tcPr>
          <w:p>
            <w:pPr>
              <w:pStyle w:val="TableParagraph"/>
              <w:spacing w:before="82"/>
              <w:ind w:left="105"/>
              <w:jc w:val="left"/>
              <w:rPr>
                <w:sz w:val="24"/>
              </w:rPr>
            </w:pPr>
            <w:r>
              <w:rPr>
                <w:sz w:val="24"/>
              </w:rPr>
              <w:t>6.76¢</w:t>
            </w:r>
          </w:p>
        </w:tc>
        <w:tc>
          <w:tcPr>
            <w:tcW w:w="1440" w:type="dxa"/>
          </w:tcPr>
          <w:p>
            <w:pPr>
              <w:pStyle w:val="TableParagraph"/>
              <w:spacing w:before="82"/>
              <w:ind w:left="100"/>
              <w:jc w:val="left"/>
              <w:rPr>
                <w:sz w:val="24"/>
              </w:rPr>
            </w:pPr>
            <w:r>
              <w:rPr>
                <w:sz w:val="24"/>
              </w:rPr>
              <w:t>7.03¢</w:t>
            </w:r>
          </w:p>
        </w:tc>
        <w:tc>
          <w:tcPr>
            <w:tcW w:w="1440" w:type="dxa"/>
          </w:tcPr>
          <w:p>
            <w:pPr>
              <w:pStyle w:val="TableParagraph"/>
              <w:spacing w:before="82"/>
              <w:ind w:left="100"/>
              <w:jc w:val="left"/>
              <w:rPr>
                <w:sz w:val="24"/>
              </w:rPr>
            </w:pPr>
            <w:r>
              <w:rPr>
                <w:sz w:val="24"/>
              </w:rPr>
              <w:t>7.25¢</w:t>
            </w:r>
          </w:p>
        </w:tc>
        <w:tc>
          <w:tcPr>
            <w:tcW w:w="1440" w:type="dxa"/>
          </w:tcPr>
          <w:p>
            <w:pPr>
              <w:pStyle w:val="TableParagraph"/>
              <w:spacing w:before="82"/>
              <w:ind w:left="100"/>
              <w:jc w:val="left"/>
              <w:rPr>
                <w:sz w:val="24"/>
              </w:rPr>
            </w:pPr>
            <w:r>
              <w:rPr>
                <w:sz w:val="24"/>
              </w:rPr>
              <w:t>7.08¢</w:t>
            </w:r>
          </w:p>
        </w:tc>
        <w:tc>
          <w:tcPr>
            <w:tcW w:w="1440" w:type="dxa"/>
          </w:tcPr>
          <w:p>
            <w:pPr>
              <w:pStyle w:val="TableParagraph"/>
              <w:spacing w:before="82"/>
              <w:ind w:left="100"/>
              <w:jc w:val="left"/>
              <w:rPr>
                <w:sz w:val="24"/>
              </w:rPr>
            </w:pPr>
            <w:r>
              <w:rPr>
                <w:sz w:val="24"/>
              </w:rPr>
              <w:t>7.07¢</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1280" w:bottom="980" w:left="1580" w:right="1700"/>
        </w:sectPr>
      </w:pPr>
    </w:p>
    <w:p>
      <w:pPr>
        <w:pStyle w:val="Heading1"/>
        <w:spacing w:before="69"/>
      </w:pPr>
      <w:r>
        <w:rPr/>
        <w:t>SECRET NUMBER 2</w:t>
      </w:r>
    </w:p>
    <w:p>
      <w:pPr>
        <w:spacing w:before="83"/>
        <w:ind w:left="100" w:right="0" w:firstLine="0"/>
        <w:jc w:val="left"/>
        <w:rPr>
          <w:b/>
          <w:sz w:val="24"/>
        </w:rPr>
      </w:pPr>
      <w:r>
        <w:rPr>
          <w:b/>
          <w:sz w:val="24"/>
        </w:rPr>
        <w:t>Keep it simple.</w:t>
      </w:r>
    </w:p>
    <w:p>
      <w:pPr>
        <w:pStyle w:val="BodyText"/>
        <w:spacing w:before="11"/>
        <w:rPr>
          <w:b/>
          <w:sz w:val="38"/>
        </w:rPr>
      </w:pPr>
    </w:p>
    <w:p>
      <w:pPr>
        <w:spacing w:line="312" w:lineRule="auto" w:before="0"/>
        <w:ind w:left="1900" w:right="115" w:firstLine="0"/>
        <w:jc w:val="left"/>
        <w:rPr>
          <w:sz w:val="24"/>
        </w:rPr>
      </w:pPr>
      <w:r>
        <w:rPr>
          <w:sz w:val="24"/>
        </w:rPr>
        <w:t>Southwest Airlines honors some simple no-nos: No assigned seats. No meals. No hassles. No problems. Do our Customers like the way we do business? You could say they’re simply nuts about it!</w:t>
      </w:r>
    </w:p>
    <w:p>
      <w:pPr>
        <w:pStyle w:val="BodyText"/>
        <w:spacing w:before="7"/>
        <w:rPr>
          <w:sz w:val="31"/>
        </w:rPr>
      </w:pPr>
    </w:p>
    <w:p>
      <w:pPr>
        <w:spacing w:line="312" w:lineRule="auto" w:before="0"/>
        <w:ind w:left="1900" w:right="115" w:firstLine="0"/>
        <w:jc w:val="left"/>
        <w:rPr>
          <w:sz w:val="24"/>
        </w:rPr>
      </w:pPr>
      <w:r>
        <w:rPr>
          <w:sz w:val="24"/>
        </w:rPr>
        <w:t>“We believe simpler is always better. Most people’s lives are complicated enough. Why add to their problems?”</w:t>
      </w:r>
    </w:p>
    <w:p>
      <w:pPr>
        <w:spacing w:line="312" w:lineRule="auto" w:before="3"/>
        <w:ind w:left="5016" w:right="1202" w:firstLine="0"/>
        <w:jc w:val="right"/>
        <w:rPr>
          <w:sz w:val="24"/>
        </w:rPr>
      </w:pPr>
      <w:r>
        <w:rPr>
          <w:sz w:val="24"/>
        </w:rPr>
        <w:t>Gary A. Barron</w:t>
      </w:r>
      <w:r>
        <w:rPr>
          <w:w w:val="99"/>
          <w:sz w:val="24"/>
        </w:rPr>
        <w:t> </w:t>
      </w:r>
      <w:r>
        <w:rPr>
          <w:sz w:val="24"/>
        </w:rPr>
        <w:t>Executive Vice</w:t>
      </w:r>
    </w:p>
    <w:p>
      <w:pPr>
        <w:spacing w:before="3"/>
        <w:ind w:left="1540" w:right="0" w:firstLine="0"/>
        <w:jc w:val="left"/>
        <w:rPr>
          <w:sz w:val="24"/>
        </w:rPr>
      </w:pPr>
      <w:r>
        <w:rPr>
          <w:sz w:val="24"/>
        </w:rPr>
        <w:t>President-</w:t>
      </w:r>
    </w:p>
    <w:p>
      <w:pPr>
        <w:spacing w:before="84"/>
        <w:ind w:left="5016" w:right="177" w:firstLine="0"/>
        <w:jc w:val="right"/>
        <w:rPr>
          <w:sz w:val="24"/>
        </w:rPr>
      </w:pPr>
      <w:r>
        <w:rPr>
          <w:sz w:val="24"/>
        </w:rPr>
        <w:t>Chief Operations Officer</w:t>
      </w:r>
    </w:p>
    <w:p>
      <w:pPr>
        <w:pStyle w:val="BodyText"/>
      </w:pPr>
    </w:p>
    <w:p>
      <w:pPr>
        <w:spacing w:line="312" w:lineRule="auto" w:before="214"/>
        <w:ind w:left="100" w:right="115" w:firstLine="0"/>
        <w:jc w:val="left"/>
        <w:rPr>
          <w:sz w:val="24"/>
        </w:rPr>
      </w:pPr>
      <w:r>
        <w:rPr>
          <w:sz w:val="24"/>
        </w:rPr>
        <w:t>Simplicity is a basic philosophy at Southwest Airlines. Southwest was built to meet the needs of the shorthaul, point-to-point traveler, and this is our focus. We fly only one aircraft type, the Boeing 737. This drastically simplifies scheduling, maintenance, flight operations, and training activities.</w:t>
      </w:r>
    </w:p>
    <w:p>
      <w:pPr>
        <w:pStyle w:val="BodyText"/>
        <w:spacing w:before="7"/>
        <w:rPr>
          <w:sz w:val="31"/>
        </w:rPr>
      </w:pPr>
    </w:p>
    <w:p>
      <w:pPr>
        <w:spacing w:line="312" w:lineRule="auto" w:before="0"/>
        <w:ind w:left="100" w:right="201" w:firstLine="0"/>
        <w:jc w:val="left"/>
        <w:rPr>
          <w:sz w:val="24"/>
        </w:rPr>
      </w:pPr>
      <w:r>
        <w:rPr>
          <w:sz w:val="24"/>
        </w:rPr>
        <w:t>At yearend 1995, we had 224 Boeing 737 aircraft in our fleet, consisting of 149 - 300s; 50 -200s; and 25 -500s. In 1994, Southwest agreed to be the launch customer with The Boeing Company for the third time and will add the new -700 model to our fleet beginning in fourth quarter 1997. Our agreement with Boeing allows for a comparatively lower capital cost, and the -700 is expected to be quieter, more fuel-efficient and more easily maintainable than its -300 counterpart. The new aircraft model should also have the capability to fly faster, longer, and higher. The -700 is expected to carry the same type rating as the rest of the 737 family, thereby allowing for the same simplified scheduling, training, and maintenance as today. Operating a single aircraft type has proven to be efficient and safe for our high frequency, shorthaul, point-to-point market focus.</w:t>
      </w:r>
    </w:p>
    <w:p>
      <w:pPr>
        <w:pStyle w:val="BodyText"/>
        <w:spacing w:before="7"/>
        <w:rPr>
          <w:sz w:val="31"/>
        </w:rPr>
      </w:pPr>
    </w:p>
    <w:p>
      <w:pPr>
        <w:spacing w:line="312" w:lineRule="auto" w:before="0"/>
        <w:ind w:left="100" w:right="115" w:firstLine="0"/>
        <w:jc w:val="left"/>
        <w:rPr>
          <w:sz w:val="24"/>
        </w:rPr>
      </w:pPr>
      <w:r>
        <w:rPr>
          <w:sz w:val="24"/>
        </w:rPr>
        <w:t>From an operational perspective, we utilize simple, quick, and efficient ticketing and boarding procedures to minimize our Customers’ total trip time. We also avoid costly and complicated interlining arrangements with other carriers.</w:t>
      </w:r>
    </w:p>
    <w:p>
      <w:pPr>
        <w:spacing w:after="0" w:line="312" w:lineRule="auto"/>
        <w:jc w:val="left"/>
        <w:rPr>
          <w:sz w:val="24"/>
        </w:rPr>
        <w:sectPr>
          <w:pgSz w:w="12240" w:h="15840"/>
          <w:pgMar w:header="0" w:footer="790" w:top="1280" w:bottom="980" w:left="1700" w:right="1700"/>
        </w:sectPr>
      </w:pPr>
    </w:p>
    <w:p>
      <w:pPr>
        <w:pStyle w:val="BodyText"/>
        <w:spacing w:before="6"/>
        <w:rPr>
          <w:sz w:val="10"/>
        </w:rPr>
      </w:pPr>
    </w:p>
    <w:p>
      <w:pPr>
        <w:spacing w:line="312" w:lineRule="auto" w:before="93"/>
        <w:ind w:left="220" w:right="235" w:firstLine="0"/>
        <w:jc w:val="left"/>
        <w:rPr>
          <w:sz w:val="24"/>
        </w:rPr>
      </w:pPr>
      <w:r>
        <w:rPr>
          <w:sz w:val="24"/>
        </w:rPr>
        <w:t>Since our average flight approximates just one hour, </w:t>
      </w:r>
      <w:r>
        <w:rPr>
          <w:spacing w:val="-3"/>
          <w:sz w:val="24"/>
        </w:rPr>
        <w:t>we </w:t>
      </w:r>
      <w:r>
        <w:rPr>
          <w:sz w:val="24"/>
        </w:rPr>
        <w:t>offer </w:t>
      </w:r>
      <w:r>
        <w:rPr>
          <w:spacing w:val="2"/>
          <w:sz w:val="24"/>
        </w:rPr>
        <w:t>reserved </w:t>
      </w:r>
      <w:r>
        <w:rPr>
          <w:sz w:val="24"/>
        </w:rPr>
        <w:t>but open seating in our comfortable single class 737 cabin. Additionally, our infight service is simplifed because meals are neither practical nor</w:t>
      </w:r>
      <w:r>
        <w:rPr>
          <w:spacing w:val="26"/>
          <w:sz w:val="24"/>
        </w:rPr>
        <w:t> </w:t>
      </w:r>
      <w:r>
        <w:rPr>
          <w:sz w:val="24"/>
        </w:rPr>
        <w:t>necessary.</w:t>
      </w:r>
    </w:p>
    <w:p>
      <w:pPr>
        <w:pStyle w:val="BodyText"/>
        <w:spacing w:before="7"/>
        <w:rPr>
          <w:sz w:val="31"/>
        </w:rPr>
      </w:pPr>
    </w:p>
    <w:p>
      <w:pPr>
        <w:spacing w:line="312" w:lineRule="auto" w:before="0"/>
        <w:ind w:left="220" w:right="229" w:firstLine="0"/>
        <w:jc w:val="left"/>
        <w:rPr>
          <w:sz w:val="24"/>
        </w:rPr>
      </w:pPr>
      <w:r>
        <w:rPr>
          <w:sz w:val="24"/>
        </w:rPr>
        <w:t>Our fare structure is the simplest in the domestic airline industry, and our Company Club frequent flyer program is also simple, generously rewarding our frequent flyers with free trips.</w:t>
      </w:r>
    </w:p>
    <w:p>
      <w:pPr>
        <w:pStyle w:val="BodyText"/>
        <w:spacing w:before="7"/>
        <w:rPr>
          <w:sz w:val="31"/>
        </w:rPr>
      </w:pPr>
    </w:p>
    <w:p>
      <w:pPr>
        <w:spacing w:line="312" w:lineRule="auto" w:before="0"/>
        <w:ind w:left="220" w:right="49" w:firstLine="0"/>
        <w:jc w:val="left"/>
        <w:rPr>
          <w:sz w:val="24"/>
        </w:rPr>
      </w:pPr>
      <w:r>
        <w:rPr>
          <w:sz w:val="24"/>
        </w:rPr>
        <w:t>Consistent with our “keep it simple” approach, Southwest was the first major airline to introduce Ticketless Travel, which makes “ticketing” on Southwest even easier. Southwest’s unique Ticketless system, which was fully implemented in January 1995, eliminates the inconvenience of acquiring a paper ticket.</w:t>
      </w:r>
    </w:p>
    <w:p>
      <w:pPr>
        <w:spacing w:line="312" w:lineRule="auto" w:before="3"/>
        <w:ind w:left="220" w:right="229" w:firstLine="0"/>
        <w:jc w:val="left"/>
        <w:rPr>
          <w:sz w:val="24"/>
        </w:rPr>
      </w:pPr>
      <w:r>
        <w:rPr>
          <w:sz w:val="24"/>
        </w:rPr>
        <w:t>Currently, 35 percent of our Customers use Ticketless Travel, and we believe this percentage will grow as our Customers experience its ease and convenience. Our Customers will soon be able to book Southwest Ticketless Travel directly using our Home Page on the Internet (http://www.iflyswa.com). When it comes to technology and streamlining our operations, our Employees are on the leading edge.</w:t>
      </w:r>
    </w:p>
    <w:p>
      <w:pPr>
        <w:pStyle w:val="BodyText"/>
        <w:spacing w:before="6"/>
        <w:rPr>
          <w:sz w:val="31"/>
        </w:rPr>
      </w:pPr>
    </w:p>
    <w:p>
      <w:pPr>
        <w:spacing w:line="312" w:lineRule="auto" w:before="0"/>
        <w:ind w:left="220" w:right="0" w:firstLine="0"/>
        <w:jc w:val="left"/>
        <w:rPr>
          <w:sz w:val="24"/>
        </w:rPr>
      </w:pPr>
      <w:r>
        <w:rPr>
          <w:sz w:val="24"/>
        </w:rPr>
        <w:t>While our approach may be simple, our Customer Satisfaction consistently ranks best in the industry because we deliver what the Customer wants in shorthaul markets.</w:t>
      </w:r>
    </w:p>
    <w:p>
      <w:pPr>
        <w:pStyle w:val="BodyText"/>
        <w:spacing w:before="1"/>
        <w:rPr>
          <w:sz w:val="31"/>
        </w:rPr>
      </w:pPr>
    </w:p>
    <w:p>
      <w:pPr>
        <w:spacing w:before="0" w:after="6"/>
        <w:ind w:left="220" w:right="0" w:firstLine="0"/>
        <w:jc w:val="left"/>
        <w:rPr>
          <w:b/>
          <w:sz w:val="24"/>
        </w:rPr>
      </w:pPr>
      <w:r>
        <w:rPr>
          <w:b/>
          <w:sz w:val="24"/>
        </w:rPr>
        <w:t>Passengers Carried Per Employee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446"/>
              <w:jc w:val="left"/>
              <w:rPr>
                <w:b/>
                <w:sz w:val="24"/>
              </w:rPr>
            </w:pPr>
            <w:r>
              <w:rPr>
                <w:b/>
                <w:color w:val="FFFFFF"/>
                <w:sz w:val="24"/>
              </w:rPr>
              <w:t>1991</w:t>
            </w:r>
          </w:p>
        </w:tc>
        <w:tc>
          <w:tcPr>
            <w:tcW w:w="1440" w:type="dxa"/>
            <w:shd w:val="clear" w:color="auto" w:fill="666666"/>
          </w:tcPr>
          <w:p>
            <w:pPr>
              <w:pStyle w:val="TableParagraph"/>
              <w:spacing w:before="77"/>
              <w:ind w:left="441"/>
              <w:jc w:val="left"/>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412"/>
              <w:jc w:val="left"/>
              <w:rPr>
                <w:sz w:val="24"/>
              </w:rPr>
            </w:pPr>
            <w:r>
              <w:rPr>
                <w:sz w:val="24"/>
              </w:rPr>
              <w:t>2,450</w:t>
            </w:r>
          </w:p>
        </w:tc>
        <w:tc>
          <w:tcPr>
            <w:tcW w:w="1440" w:type="dxa"/>
          </w:tcPr>
          <w:p>
            <w:pPr>
              <w:pStyle w:val="TableParagraph"/>
              <w:spacing w:before="82"/>
              <w:ind w:left="407"/>
              <w:jc w:val="left"/>
              <w:rPr>
                <w:sz w:val="24"/>
              </w:rPr>
            </w:pPr>
            <w:r>
              <w:rPr>
                <w:sz w:val="24"/>
              </w:rPr>
              <w:t>2,597</w:t>
            </w:r>
          </w:p>
        </w:tc>
        <w:tc>
          <w:tcPr>
            <w:tcW w:w="1440" w:type="dxa"/>
          </w:tcPr>
          <w:p>
            <w:pPr>
              <w:pStyle w:val="TableParagraph"/>
              <w:spacing w:before="82"/>
              <w:ind w:left="407"/>
              <w:jc w:val="left"/>
              <w:rPr>
                <w:sz w:val="24"/>
              </w:rPr>
            </w:pPr>
            <w:r>
              <w:rPr>
                <w:sz w:val="24"/>
              </w:rPr>
              <w:t>2,633</w:t>
            </w:r>
          </w:p>
        </w:tc>
        <w:tc>
          <w:tcPr>
            <w:tcW w:w="1440" w:type="dxa"/>
          </w:tcPr>
          <w:p>
            <w:pPr>
              <w:pStyle w:val="TableParagraph"/>
              <w:spacing w:before="82"/>
              <w:ind w:left="407"/>
              <w:jc w:val="left"/>
              <w:rPr>
                <w:sz w:val="24"/>
              </w:rPr>
            </w:pPr>
            <w:r>
              <w:rPr>
                <w:sz w:val="24"/>
              </w:rPr>
              <w:t>2,676</w:t>
            </w:r>
          </w:p>
        </w:tc>
        <w:tc>
          <w:tcPr>
            <w:tcW w:w="1440" w:type="dxa"/>
          </w:tcPr>
          <w:p>
            <w:pPr>
              <w:pStyle w:val="TableParagraph"/>
              <w:spacing w:before="82"/>
              <w:ind w:left="407"/>
              <w:jc w:val="left"/>
              <w:rPr>
                <w:sz w:val="24"/>
              </w:rPr>
            </w:pPr>
            <w:r>
              <w:rPr>
                <w:sz w:val="24"/>
              </w:rPr>
              <w:t>2,379</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Passenger Revenue Per Passenger Mile</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11.22¢</w:t>
            </w:r>
          </w:p>
        </w:tc>
        <w:tc>
          <w:tcPr>
            <w:tcW w:w="1440" w:type="dxa"/>
          </w:tcPr>
          <w:p>
            <w:pPr>
              <w:pStyle w:val="TableParagraph"/>
              <w:spacing w:before="82"/>
              <w:ind w:left="324" w:right="326"/>
              <w:jc w:val="center"/>
              <w:rPr>
                <w:sz w:val="24"/>
              </w:rPr>
            </w:pPr>
            <w:r>
              <w:rPr>
                <w:sz w:val="24"/>
              </w:rPr>
              <w:t>11.78¢</w:t>
            </w:r>
          </w:p>
        </w:tc>
        <w:tc>
          <w:tcPr>
            <w:tcW w:w="1440" w:type="dxa"/>
          </w:tcPr>
          <w:p>
            <w:pPr>
              <w:pStyle w:val="TableParagraph"/>
              <w:spacing w:before="82"/>
              <w:ind w:left="324" w:right="326"/>
              <w:jc w:val="center"/>
              <w:rPr>
                <w:sz w:val="24"/>
              </w:rPr>
            </w:pPr>
            <w:r>
              <w:rPr>
                <w:sz w:val="24"/>
              </w:rPr>
              <w:t>11.77¢</w:t>
            </w:r>
          </w:p>
        </w:tc>
        <w:tc>
          <w:tcPr>
            <w:tcW w:w="1440" w:type="dxa"/>
          </w:tcPr>
          <w:p>
            <w:pPr>
              <w:pStyle w:val="TableParagraph"/>
              <w:spacing w:before="82"/>
              <w:ind w:left="324" w:right="326"/>
              <w:jc w:val="center"/>
              <w:rPr>
                <w:sz w:val="24"/>
              </w:rPr>
            </w:pPr>
            <w:r>
              <w:rPr>
                <w:sz w:val="24"/>
              </w:rPr>
              <w:t>11.56¢</w:t>
            </w:r>
          </w:p>
        </w:tc>
        <w:tc>
          <w:tcPr>
            <w:tcW w:w="1440" w:type="dxa"/>
          </w:tcPr>
          <w:p>
            <w:pPr>
              <w:pStyle w:val="TableParagraph"/>
              <w:spacing w:before="82"/>
              <w:ind w:left="324" w:right="326"/>
              <w:jc w:val="center"/>
              <w:rPr>
                <w:sz w:val="24"/>
              </w:rPr>
            </w:pPr>
            <w:r>
              <w:rPr>
                <w:sz w:val="24"/>
              </w:rPr>
              <w:t>11.83¢</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1500" w:bottom="980" w:left="1580" w:right="1700"/>
        </w:sectPr>
      </w:pPr>
    </w:p>
    <w:p>
      <w:pPr>
        <w:spacing w:before="69"/>
        <w:ind w:left="100" w:right="0" w:firstLine="0"/>
        <w:jc w:val="left"/>
        <w:rPr>
          <w:b/>
          <w:sz w:val="24"/>
        </w:rPr>
      </w:pPr>
      <w:r>
        <w:rPr>
          <w:b/>
          <w:sz w:val="24"/>
        </w:rPr>
        <w:t>SECRET NUMBER 3</w:t>
      </w:r>
    </w:p>
    <w:p>
      <w:pPr>
        <w:spacing w:before="83"/>
        <w:ind w:left="100" w:right="0" w:firstLine="0"/>
        <w:jc w:val="left"/>
        <w:rPr>
          <w:b/>
          <w:sz w:val="24"/>
        </w:rPr>
      </w:pPr>
      <w:r>
        <w:rPr>
          <w:b/>
          <w:sz w:val="24"/>
        </w:rPr>
        <w:t>Keep fares low, costs lower.</w:t>
      </w:r>
    </w:p>
    <w:p>
      <w:pPr>
        <w:pStyle w:val="BodyText"/>
        <w:spacing w:before="11"/>
        <w:rPr>
          <w:b/>
          <w:sz w:val="38"/>
        </w:rPr>
      </w:pPr>
    </w:p>
    <w:p>
      <w:pPr>
        <w:spacing w:line="312" w:lineRule="auto" w:before="0"/>
        <w:ind w:left="1900" w:right="256" w:firstLine="0"/>
        <w:jc w:val="left"/>
        <w:rPr>
          <w:sz w:val="24"/>
        </w:rPr>
      </w:pPr>
      <w:r>
        <w:rPr>
          <w:sz w:val="24"/>
        </w:rPr>
        <w:t>Southwest Airlines believes in low fares by philosophy. The only way to keep our fares low is to keep our costs even lower. It’s our primary goal. And you can take that to the bank!</w:t>
      </w:r>
    </w:p>
    <w:p>
      <w:pPr>
        <w:pStyle w:val="BodyText"/>
        <w:spacing w:before="7"/>
        <w:rPr>
          <w:sz w:val="31"/>
        </w:rPr>
      </w:pPr>
    </w:p>
    <w:p>
      <w:pPr>
        <w:spacing w:line="312" w:lineRule="auto" w:before="0"/>
        <w:ind w:left="1900" w:right="0" w:firstLine="0"/>
        <w:jc w:val="left"/>
        <w:rPr>
          <w:sz w:val="24"/>
        </w:rPr>
      </w:pPr>
      <w:r>
        <w:rPr>
          <w:sz w:val="24"/>
        </w:rPr>
        <w:t>“Southwest is </w:t>
      </w:r>
      <w:r>
        <w:rPr>
          <w:sz w:val="24"/>
          <w:u w:val="single"/>
        </w:rPr>
        <w:t>THE </w:t>
      </w:r>
      <w:r>
        <w:rPr>
          <w:sz w:val="24"/>
        </w:rPr>
        <w:t>Low Fare Airline because we are </w:t>
      </w:r>
      <w:r>
        <w:rPr>
          <w:sz w:val="24"/>
          <w:u w:val="single"/>
        </w:rPr>
        <w:t>THE </w:t>
      </w:r>
      <w:r>
        <w:rPr>
          <w:sz w:val="24"/>
        </w:rPr>
        <w:t>Low Cost Airline. You can’t have one without the other.”</w:t>
      </w:r>
    </w:p>
    <w:p>
      <w:pPr>
        <w:spacing w:line="312" w:lineRule="auto" w:before="3"/>
        <w:ind w:left="6042" w:right="1010" w:firstLine="0"/>
        <w:jc w:val="left"/>
        <w:rPr>
          <w:sz w:val="24"/>
        </w:rPr>
      </w:pPr>
      <w:r>
        <w:rPr>
          <w:sz w:val="24"/>
        </w:rPr>
        <w:t>John G. Denison Executive Vice</w:t>
      </w:r>
    </w:p>
    <w:p>
      <w:pPr>
        <w:spacing w:before="3"/>
        <w:ind w:left="1540" w:right="0" w:firstLine="0"/>
        <w:jc w:val="left"/>
        <w:rPr>
          <w:sz w:val="24"/>
        </w:rPr>
      </w:pPr>
      <w:r>
        <w:rPr>
          <w:sz w:val="24"/>
        </w:rPr>
        <w:t>President-</w:t>
      </w:r>
    </w:p>
    <w:p>
      <w:pPr>
        <w:spacing w:before="84"/>
        <w:ind w:left="0" w:right="728" w:firstLine="0"/>
        <w:jc w:val="right"/>
        <w:rPr>
          <w:sz w:val="24"/>
        </w:rPr>
      </w:pPr>
      <w:r>
        <w:rPr>
          <w:sz w:val="24"/>
        </w:rPr>
        <w:t>Corporate Services</w:t>
      </w:r>
    </w:p>
    <w:p>
      <w:pPr>
        <w:pStyle w:val="BodyText"/>
      </w:pPr>
    </w:p>
    <w:p>
      <w:pPr>
        <w:spacing w:line="312" w:lineRule="auto" w:before="214"/>
        <w:ind w:left="100" w:right="235" w:firstLine="0"/>
        <w:jc w:val="left"/>
        <w:rPr>
          <w:sz w:val="24"/>
        </w:rPr>
      </w:pPr>
      <w:r>
        <w:rPr>
          <w:sz w:val="24"/>
        </w:rPr>
        <w:t>Since our inaugural flight almost 25 years ago, Southwest has provided low fares to our Customers. </w:t>
      </w:r>
      <w:r>
        <w:rPr>
          <w:spacing w:val="-4"/>
          <w:sz w:val="24"/>
        </w:rPr>
        <w:t>After </w:t>
      </w:r>
      <w:r>
        <w:rPr>
          <w:sz w:val="24"/>
        </w:rPr>
        <w:t>all, low fares are what the shorthaul traveler wants most from safe air transportation. Low fares are an integral part of our strategy, and Southwest is </w:t>
      </w:r>
      <w:r>
        <w:rPr>
          <w:sz w:val="24"/>
          <w:u w:val="single"/>
        </w:rPr>
        <w:t>THE </w:t>
      </w:r>
      <w:r>
        <w:rPr>
          <w:sz w:val="24"/>
        </w:rPr>
        <w:t>Low </w:t>
      </w:r>
      <w:r>
        <w:rPr>
          <w:spacing w:val="3"/>
          <w:sz w:val="24"/>
        </w:rPr>
        <w:t>Fare </w:t>
      </w:r>
      <w:r>
        <w:rPr>
          <w:sz w:val="24"/>
        </w:rPr>
        <w:t>Airline every day, everywhere </w:t>
      </w:r>
      <w:r>
        <w:rPr>
          <w:spacing w:val="-3"/>
          <w:sz w:val="24"/>
        </w:rPr>
        <w:t>we </w:t>
      </w:r>
      <w:r>
        <w:rPr>
          <w:sz w:val="24"/>
        </w:rPr>
        <w:t>fly. To offer low fares profitably, </w:t>
      </w:r>
      <w:r>
        <w:rPr>
          <w:spacing w:val="-3"/>
          <w:sz w:val="24"/>
        </w:rPr>
        <w:t>we </w:t>
      </w:r>
      <w:r>
        <w:rPr>
          <w:sz w:val="24"/>
        </w:rPr>
        <w:t>must keep our costs even lower—and </w:t>
      </w:r>
      <w:r>
        <w:rPr>
          <w:spacing w:val="-3"/>
          <w:sz w:val="24"/>
        </w:rPr>
        <w:t>we </w:t>
      </w:r>
      <w:r>
        <w:rPr>
          <w:sz w:val="24"/>
        </w:rPr>
        <w:t>do! Southwest is also </w:t>
      </w:r>
      <w:r>
        <w:rPr>
          <w:sz w:val="24"/>
          <w:u w:val="single"/>
        </w:rPr>
        <w:t>THE </w:t>
      </w:r>
      <w:r>
        <w:rPr>
          <w:sz w:val="24"/>
        </w:rPr>
        <w:t>Low Cost Airline, with the lowest cost structure in the domestic airline</w:t>
      </w:r>
      <w:r>
        <w:rPr>
          <w:spacing w:val="17"/>
          <w:sz w:val="24"/>
        </w:rPr>
        <w:t> </w:t>
      </w:r>
      <w:r>
        <w:rPr>
          <w:sz w:val="24"/>
        </w:rPr>
        <w:t>industry.</w:t>
      </w:r>
    </w:p>
    <w:p>
      <w:pPr>
        <w:pStyle w:val="BodyText"/>
        <w:spacing w:before="7"/>
        <w:rPr>
          <w:sz w:val="31"/>
        </w:rPr>
      </w:pPr>
    </w:p>
    <w:p>
      <w:pPr>
        <w:spacing w:line="312" w:lineRule="auto" w:before="0"/>
        <w:ind w:left="100" w:right="256" w:firstLine="0"/>
        <w:jc w:val="left"/>
        <w:rPr>
          <w:sz w:val="24"/>
        </w:rPr>
      </w:pPr>
      <w:r>
        <w:rPr>
          <w:spacing w:val="2"/>
          <w:sz w:val="24"/>
        </w:rPr>
        <w:t>The </w:t>
      </w:r>
      <w:r>
        <w:rPr>
          <w:sz w:val="24"/>
        </w:rPr>
        <w:t>key to maintaining our low costs is our high productivity. Southwest continually achieves the highest asset utilization and Employee productivity of any U.S. airline. </w:t>
      </w:r>
      <w:r>
        <w:rPr>
          <w:spacing w:val="6"/>
          <w:sz w:val="24"/>
        </w:rPr>
        <w:t>We </w:t>
      </w:r>
      <w:r>
        <w:rPr>
          <w:sz w:val="24"/>
        </w:rPr>
        <w:t>schedule our </w:t>
      </w:r>
      <w:r>
        <w:rPr>
          <w:spacing w:val="2"/>
          <w:sz w:val="24"/>
        </w:rPr>
        <w:t>aircraft </w:t>
      </w:r>
      <w:r>
        <w:rPr>
          <w:sz w:val="24"/>
        </w:rPr>
        <w:t>to minimize the amount of time the </w:t>
      </w:r>
      <w:r>
        <w:rPr>
          <w:spacing w:val="2"/>
          <w:sz w:val="24"/>
        </w:rPr>
        <w:t>aircraft </w:t>
      </w:r>
      <w:r>
        <w:rPr>
          <w:sz w:val="24"/>
        </w:rPr>
        <w:t>is at the gate, approximately 20 minutes, thereby allowing each Southwest Employee to consistently handle an average of approximately 2,500 Customers per year. </w:t>
      </w:r>
      <w:r>
        <w:rPr>
          <w:spacing w:val="-3"/>
          <w:sz w:val="24"/>
        </w:rPr>
        <w:t>Even </w:t>
      </w:r>
      <w:r>
        <w:rPr>
          <w:sz w:val="24"/>
        </w:rPr>
        <w:t>though </w:t>
      </w:r>
      <w:r>
        <w:rPr>
          <w:spacing w:val="-3"/>
          <w:sz w:val="24"/>
        </w:rPr>
        <w:t>we </w:t>
      </w:r>
      <w:r>
        <w:rPr>
          <w:sz w:val="24"/>
        </w:rPr>
        <w:t>pay our Employees at or above industry levels, </w:t>
      </w:r>
      <w:r>
        <w:rPr>
          <w:spacing w:val="-3"/>
          <w:sz w:val="24"/>
        </w:rPr>
        <w:t>we </w:t>
      </w:r>
      <w:r>
        <w:rPr>
          <w:sz w:val="24"/>
        </w:rPr>
        <w:t>achieve competitive unit labor costs due to their high</w:t>
      </w:r>
      <w:r>
        <w:rPr>
          <w:spacing w:val="50"/>
          <w:sz w:val="24"/>
        </w:rPr>
        <w:t> </w:t>
      </w:r>
      <w:r>
        <w:rPr>
          <w:sz w:val="24"/>
        </w:rPr>
        <w:t>productivity.</w:t>
      </w:r>
    </w:p>
    <w:p>
      <w:pPr>
        <w:pStyle w:val="BodyText"/>
        <w:spacing w:before="7"/>
        <w:rPr>
          <w:sz w:val="31"/>
        </w:rPr>
      </w:pPr>
    </w:p>
    <w:p>
      <w:pPr>
        <w:spacing w:line="312" w:lineRule="auto" w:before="0"/>
        <w:ind w:left="100" w:right="132" w:firstLine="0"/>
        <w:jc w:val="left"/>
        <w:rPr>
          <w:sz w:val="24"/>
        </w:rPr>
      </w:pPr>
      <w:r>
        <w:rPr>
          <w:sz w:val="24"/>
        </w:rPr>
        <w:t>As a consequence of our quick turns, </w:t>
      </w:r>
      <w:r>
        <w:rPr>
          <w:spacing w:val="-3"/>
          <w:sz w:val="24"/>
        </w:rPr>
        <w:t>we </w:t>
      </w:r>
      <w:r>
        <w:rPr>
          <w:sz w:val="24"/>
        </w:rPr>
        <w:t>require fewer </w:t>
      </w:r>
      <w:r>
        <w:rPr>
          <w:spacing w:val="2"/>
          <w:sz w:val="24"/>
        </w:rPr>
        <w:t>aircraft </w:t>
      </w:r>
      <w:r>
        <w:rPr>
          <w:sz w:val="24"/>
        </w:rPr>
        <w:t>and aircraft facilities than would otherwise be necessary. Additionally, our commitment to  one </w:t>
      </w:r>
      <w:r>
        <w:rPr>
          <w:spacing w:val="2"/>
          <w:sz w:val="24"/>
        </w:rPr>
        <w:t>aircraft </w:t>
      </w:r>
      <w:r>
        <w:rPr>
          <w:sz w:val="24"/>
        </w:rPr>
        <w:t>type significantly simplifies our operation, which improves our overall productivity and lowers our</w:t>
      </w:r>
      <w:r>
        <w:rPr>
          <w:spacing w:val="9"/>
          <w:sz w:val="24"/>
        </w:rPr>
        <w:t> </w:t>
      </w:r>
      <w:r>
        <w:rPr>
          <w:sz w:val="24"/>
        </w:rPr>
        <w:t>costs.</w:t>
      </w:r>
    </w:p>
    <w:p>
      <w:pPr>
        <w:spacing w:after="0" w:line="312" w:lineRule="auto"/>
        <w:jc w:val="left"/>
        <w:rPr>
          <w:sz w:val="24"/>
        </w:rPr>
        <w:sectPr>
          <w:footerReference w:type="default" r:id="rId6"/>
          <w:pgSz w:w="12240" w:h="15840"/>
          <w:pgMar w:footer="790" w:header="0" w:top="1280" w:bottom="980" w:left="1700" w:right="1680"/>
        </w:sectPr>
      </w:pPr>
    </w:p>
    <w:p>
      <w:pPr>
        <w:spacing w:line="312" w:lineRule="auto" w:before="74"/>
        <w:ind w:left="220" w:right="240" w:firstLine="0"/>
        <w:jc w:val="left"/>
        <w:rPr>
          <w:sz w:val="24"/>
        </w:rPr>
      </w:pPr>
      <w:r>
        <w:rPr>
          <w:sz w:val="24"/>
        </w:rPr>
        <w:t>Our Employees’ dedication and efforts enabled us to </w:t>
      </w:r>
      <w:r>
        <w:rPr>
          <w:spacing w:val="2"/>
          <w:sz w:val="24"/>
        </w:rPr>
        <w:t>reduce </w:t>
      </w:r>
      <w:r>
        <w:rPr>
          <w:sz w:val="24"/>
        </w:rPr>
        <w:t>our unit costs for the second year in a row. Lowering our distribution costs was one of the leading factors in this notable accomplishment. As a result of our dominant market presence, reliable low fares, and the ease of dealing with us directly, our distribution costs have always been lower than the other </w:t>
      </w:r>
      <w:r>
        <w:rPr>
          <w:spacing w:val="-3"/>
          <w:sz w:val="24"/>
        </w:rPr>
        <w:t>major </w:t>
      </w:r>
      <w:r>
        <w:rPr>
          <w:sz w:val="24"/>
        </w:rPr>
        <w:t>carriers; however, with the successful implementation of </w:t>
      </w:r>
      <w:r>
        <w:rPr>
          <w:spacing w:val="3"/>
          <w:sz w:val="24"/>
        </w:rPr>
        <w:t>Ticketless Travel </w:t>
      </w:r>
      <w:r>
        <w:rPr>
          <w:sz w:val="24"/>
        </w:rPr>
        <w:t>(reducing annual operating expense by approximately $25 million), and our entry into Basic </w:t>
      </w:r>
      <w:r>
        <w:rPr>
          <w:spacing w:val="-4"/>
          <w:sz w:val="24"/>
        </w:rPr>
        <w:t>SABRE, </w:t>
      </w:r>
      <w:r>
        <w:rPr>
          <w:spacing w:val="-3"/>
          <w:sz w:val="24"/>
        </w:rPr>
        <w:t>we </w:t>
      </w:r>
      <w:r>
        <w:rPr>
          <w:sz w:val="24"/>
        </w:rPr>
        <w:t>lowered our distribution costs even</w:t>
      </w:r>
      <w:r>
        <w:rPr>
          <w:spacing w:val="41"/>
          <w:sz w:val="24"/>
        </w:rPr>
        <w:t> </w:t>
      </w:r>
      <w:r>
        <w:rPr>
          <w:sz w:val="24"/>
        </w:rPr>
        <w:t>further.</w:t>
      </w:r>
    </w:p>
    <w:p>
      <w:pPr>
        <w:pStyle w:val="BodyText"/>
        <w:spacing w:before="7"/>
        <w:rPr>
          <w:sz w:val="31"/>
        </w:rPr>
      </w:pPr>
    </w:p>
    <w:p>
      <w:pPr>
        <w:spacing w:line="312" w:lineRule="auto" w:before="0"/>
        <w:ind w:left="220" w:right="171" w:firstLine="0"/>
        <w:jc w:val="left"/>
        <w:rPr>
          <w:sz w:val="24"/>
        </w:rPr>
      </w:pPr>
      <w:r>
        <w:rPr>
          <w:spacing w:val="3"/>
          <w:sz w:val="24"/>
        </w:rPr>
        <w:t>Thanks </w:t>
      </w:r>
      <w:r>
        <w:rPr>
          <w:sz w:val="24"/>
        </w:rPr>
        <w:t>to the Culture at Southwest Airlines, </w:t>
      </w:r>
      <w:r>
        <w:rPr>
          <w:spacing w:val="-3"/>
          <w:sz w:val="24"/>
        </w:rPr>
        <w:t>we </w:t>
      </w:r>
      <w:r>
        <w:rPr>
          <w:sz w:val="24"/>
        </w:rPr>
        <w:t>do not have to motivate our Employees with programs to </w:t>
      </w:r>
      <w:r>
        <w:rPr>
          <w:spacing w:val="2"/>
          <w:sz w:val="24"/>
        </w:rPr>
        <w:t>reduce </w:t>
      </w:r>
      <w:r>
        <w:rPr>
          <w:sz w:val="24"/>
        </w:rPr>
        <w:t>costs; </w:t>
      </w:r>
      <w:r>
        <w:rPr>
          <w:spacing w:val="2"/>
          <w:sz w:val="24"/>
        </w:rPr>
        <w:t>rather, </w:t>
      </w:r>
      <w:r>
        <w:rPr>
          <w:sz w:val="24"/>
        </w:rPr>
        <w:t>it is their goal each and every day. </w:t>
      </w:r>
      <w:r>
        <w:rPr>
          <w:spacing w:val="2"/>
          <w:sz w:val="24"/>
        </w:rPr>
        <w:t>The </w:t>
      </w:r>
      <w:r>
        <w:rPr>
          <w:sz w:val="24"/>
        </w:rPr>
        <w:t>unprecedented ten-year agreement with our superb Pilot group, exchanging stock options for pay </w:t>
      </w:r>
      <w:r>
        <w:rPr>
          <w:spacing w:val="2"/>
          <w:sz w:val="24"/>
        </w:rPr>
        <w:t>rate </w:t>
      </w:r>
      <w:r>
        <w:rPr>
          <w:sz w:val="24"/>
        </w:rPr>
        <w:t>increases, is just one example of how our Employees’ interests are aligned with those of our Customers and the Shareholders of Southwest Airlines. Our focus on low costs has always been paramount, and 1996 will be no exception. </w:t>
      </w:r>
      <w:r>
        <w:rPr>
          <w:spacing w:val="6"/>
          <w:sz w:val="24"/>
        </w:rPr>
        <w:t>We </w:t>
      </w:r>
      <w:r>
        <w:rPr>
          <w:sz w:val="24"/>
        </w:rPr>
        <w:t>are currently undertaking numerous </w:t>
      </w:r>
      <w:r>
        <w:rPr>
          <w:spacing w:val="-3"/>
          <w:sz w:val="24"/>
        </w:rPr>
        <w:t>major </w:t>
      </w:r>
      <w:r>
        <w:rPr>
          <w:sz w:val="24"/>
        </w:rPr>
        <w:t>cost reduction initiatives, which </w:t>
      </w:r>
      <w:r>
        <w:rPr>
          <w:spacing w:val="-3"/>
          <w:sz w:val="24"/>
        </w:rPr>
        <w:t>we </w:t>
      </w:r>
      <w:r>
        <w:rPr>
          <w:sz w:val="24"/>
        </w:rPr>
        <w:t>hope will result in even  lower costs over the next several years. Keeping costs low is simply a way of life at Southwest</w:t>
      </w:r>
      <w:r>
        <w:rPr>
          <w:spacing w:val="5"/>
          <w:sz w:val="24"/>
        </w:rPr>
        <w:t> </w:t>
      </w:r>
      <w:r>
        <w:rPr>
          <w:sz w:val="24"/>
        </w:rPr>
        <w:t>Airlines.</w:t>
      </w:r>
    </w:p>
    <w:p>
      <w:pPr>
        <w:pStyle w:val="BodyText"/>
        <w:spacing w:before="2"/>
        <w:rPr>
          <w:sz w:val="31"/>
        </w:rPr>
      </w:pPr>
    </w:p>
    <w:p>
      <w:pPr>
        <w:spacing w:before="0" w:after="6"/>
        <w:ind w:left="220" w:right="0" w:firstLine="0"/>
        <w:jc w:val="left"/>
        <w:rPr>
          <w:b/>
          <w:sz w:val="24"/>
        </w:rPr>
      </w:pPr>
      <w:r>
        <w:rPr>
          <w:b/>
          <w:sz w:val="24"/>
        </w:rPr>
        <w:t>Aircraft Utilization (hours and minutes per day)</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446"/>
              <w:jc w:val="left"/>
              <w:rPr>
                <w:b/>
                <w:sz w:val="24"/>
              </w:rPr>
            </w:pPr>
            <w:r>
              <w:rPr>
                <w:b/>
                <w:color w:val="FFFFFF"/>
                <w:sz w:val="24"/>
              </w:rPr>
              <w:t>1991</w:t>
            </w:r>
          </w:p>
        </w:tc>
        <w:tc>
          <w:tcPr>
            <w:tcW w:w="1440" w:type="dxa"/>
            <w:shd w:val="clear" w:color="auto" w:fill="666666"/>
          </w:tcPr>
          <w:p>
            <w:pPr>
              <w:pStyle w:val="TableParagraph"/>
              <w:spacing w:before="77"/>
              <w:ind w:left="441"/>
              <w:jc w:val="left"/>
              <w:rPr>
                <w:b/>
                <w:sz w:val="24"/>
              </w:rPr>
            </w:pPr>
            <w:r>
              <w:rPr>
                <w:b/>
                <w:color w:val="FFFFFF"/>
                <w:sz w:val="24"/>
              </w:rPr>
              <w:t>1992</w:t>
            </w:r>
          </w:p>
        </w:tc>
        <w:tc>
          <w:tcPr>
            <w:tcW w:w="1440" w:type="dxa"/>
            <w:shd w:val="clear" w:color="auto" w:fill="666666"/>
          </w:tcPr>
          <w:p>
            <w:pPr>
              <w:pStyle w:val="TableParagraph"/>
              <w:spacing w:before="77"/>
              <w:ind w:left="441"/>
              <w:jc w:val="left"/>
              <w:rPr>
                <w:b/>
                <w:sz w:val="24"/>
              </w:rPr>
            </w:pPr>
            <w:r>
              <w:rPr>
                <w:b/>
                <w:color w:val="FFFFFF"/>
                <w:sz w:val="24"/>
              </w:rPr>
              <w:t>1993</w:t>
            </w:r>
          </w:p>
        </w:tc>
        <w:tc>
          <w:tcPr>
            <w:tcW w:w="1440" w:type="dxa"/>
            <w:shd w:val="clear" w:color="auto" w:fill="666666"/>
          </w:tcPr>
          <w:p>
            <w:pPr>
              <w:pStyle w:val="TableParagraph"/>
              <w:spacing w:before="77"/>
              <w:ind w:left="441"/>
              <w:jc w:val="left"/>
              <w:rPr>
                <w:b/>
                <w:sz w:val="24"/>
              </w:rPr>
            </w:pPr>
            <w:r>
              <w:rPr>
                <w:b/>
                <w:color w:val="FFFFFF"/>
                <w:sz w:val="24"/>
              </w:rPr>
              <w:t>1994</w:t>
            </w:r>
          </w:p>
        </w:tc>
        <w:tc>
          <w:tcPr>
            <w:tcW w:w="1440" w:type="dxa"/>
            <w:shd w:val="clear" w:color="auto" w:fill="666666"/>
          </w:tcPr>
          <w:p>
            <w:pPr>
              <w:pStyle w:val="TableParagraph"/>
              <w:spacing w:before="77"/>
              <w:ind w:left="441"/>
              <w:jc w:val="left"/>
              <w:rPr>
                <w:b/>
                <w:sz w:val="24"/>
              </w:rPr>
            </w:pPr>
            <w:r>
              <w:rPr>
                <w:b/>
                <w:color w:val="FFFFFF"/>
                <w:sz w:val="24"/>
              </w:rPr>
              <w:t>1995</w:t>
            </w:r>
          </w:p>
        </w:tc>
      </w:tr>
      <w:tr>
        <w:trPr>
          <w:trHeight w:val="374" w:hRule="exact"/>
        </w:trPr>
        <w:tc>
          <w:tcPr>
            <w:tcW w:w="1445" w:type="dxa"/>
          </w:tcPr>
          <w:p>
            <w:pPr>
              <w:pStyle w:val="TableParagraph"/>
              <w:spacing w:before="82"/>
              <w:ind w:left="412"/>
              <w:jc w:val="left"/>
              <w:rPr>
                <w:sz w:val="24"/>
              </w:rPr>
            </w:pPr>
            <w:r>
              <w:rPr>
                <w:sz w:val="24"/>
              </w:rPr>
              <w:t>10:48</w:t>
            </w:r>
          </w:p>
        </w:tc>
        <w:tc>
          <w:tcPr>
            <w:tcW w:w="1440" w:type="dxa"/>
          </w:tcPr>
          <w:p>
            <w:pPr>
              <w:pStyle w:val="TableParagraph"/>
              <w:spacing w:before="82"/>
              <w:ind w:left="407"/>
              <w:jc w:val="left"/>
              <w:rPr>
                <w:sz w:val="24"/>
              </w:rPr>
            </w:pPr>
            <w:r>
              <w:rPr>
                <w:sz w:val="24"/>
              </w:rPr>
              <w:t>10:39</w:t>
            </w:r>
          </w:p>
        </w:tc>
        <w:tc>
          <w:tcPr>
            <w:tcW w:w="1440" w:type="dxa"/>
          </w:tcPr>
          <w:p>
            <w:pPr>
              <w:pStyle w:val="TableParagraph"/>
              <w:spacing w:before="82"/>
              <w:ind w:left="407"/>
              <w:jc w:val="left"/>
              <w:rPr>
                <w:sz w:val="24"/>
              </w:rPr>
            </w:pPr>
            <w:r>
              <w:rPr>
                <w:sz w:val="24"/>
              </w:rPr>
              <w:t>10:56</w:t>
            </w:r>
          </w:p>
        </w:tc>
        <w:tc>
          <w:tcPr>
            <w:tcW w:w="1440" w:type="dxa"/>
          </w:tcPr>
          <w:p>
            <w:pPr>
              <w:pStyle w:val="TableParagraph"/>
              <w:spacing w:before="82"/>
              <w:ind w:left="407"/>
              <w:jc w:val="left"/>
              <w:rPr>
                <w:sz w:val="24"/>
              </w:rPr>
            </w:pPr>
            <w:r>
              <w:rPr>
                <w:sz w:val="24"/>
              </w:rPr>
              <w:t>11:10</w:t>
            </w:r>
          </w:p>
        </w:tc>
        <w:tc>
          <w:tcPr>
            <w:tcW w:w="1440" w:type="dxa"/>
          </w:tcPr>
          <w:p>
            <w:pPr>
              <w:pStyle w:val="TableParagraph"/>
              <w:spacing w:before="82"/>
              <w:ind w:left="407"/>
              <w:jc w:val="left"/>
              <w:rPr>
                <w:sz w:val="24"/>
              </w:rPr>
            </w:pPr>
            <w:r>
              <w:rPr>
                <w:sz w:val="24"/>
              </w:rPr>
              <w:t>11:03</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Fleet Size (at year end)</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124</w:t>
            </w:r>
          </w:p>
        </w:tc>
        <w:tc>
          <w:tcPr>
            <w:tcW w:w="1440" w:type="dxa"/>
          </w:tcPr>
          <w:p>
            <w:pPr>
              <w:pStyle w:val="TableParagraph"/>
              <w:spacing w:before="82"/>
              <w:ind w:left="324" w:right="326"/>
              <w:jc w:val="center"/>
              <w:rPr>
                <w:sz w:val="24"/>
              </w:rPr>
            </w:pPr>
            <w:r>
              <w:rPr>
                <w:sz w:val="24"/>
              </w:rPr>
              <w:t>141</w:t>
            </w:r>
          </w:p>
        </w:tc>
        <w:tc>
          <w:tcPr>
            <w:tcW w:w="1440" w:type="dxa"/>
          </w:tcPr>
          <w:p>
            <w:pPr>
              <w:pStyle w:val="TableParagraph"/>
              <w:spacing w:before="82"/>
              <w:ind w:left="324" w:right="326"/>
              <w:jc w:val="center"/>
              <w:rPr>
                <w:sz w:val="24"/>
              </w:rPr>
            </w:pPr>
            <w:r>
              <w:rPr>
                <w:sz w:val="24"/>
              </w:rPr>
              <w:t>178</w:t>
            </w:r>
          </w:p>
        </w:tc>
        <w:tc>
          <w:tcPr>
            <w:tcW w:w="1440" w:type="dxa"/>
          </w:tcPr>
          <w:p>
            <w:pPr>
              <w:pStyle w:val="TableParagraph"/>
              <w:spacing w:before="82"/>
              <w:ind w:left="324" w:right="326"/>
              <w:jc w:val="center"/>
              <w:rPr>
                <w:sz w:val="24"/>
              </w:rPr>
            </w:pPr>
            <w:r>
              <w:rPr>
                <w:sz w:val="24"/>
              </w:rPr>
              <w:t>199</w:t>
            </w:r>
          </w:p>
        </w:tc>
        <w:tc>
          <w:tcPr>
            <w:tcW w:w="1440" w:type="dxa"/>
          </w:tcPr>
          <w:p>
            <w:pPr>
              <w:pStyle w:val="TableParagraph"/>
              <w:spacing w:before="82"/>
              <w:ind w:left="324" w:right="326"/>
              <w:jc w:val="center"/>
              <w:rPr>
                <w:sz w:val="24"/>
              </w:rPr>
            </w:pPr>
            <w:r>
              <w:rPr>
                <w:sz w:val="24"/>
              </w:rPr>
              <w:t>224</w:t>
            </w:r>
          </w:p>
        </w:tc>
      </w:tr>
    </w:tbl>
    <w:p>
      <w:pPr>
        <w:spacing w:before="148"/>
        <w:ind w:left="220" w:right="0" w:firstLine="0"/>
        <w:jc w:val="left"/>
        <w:rPr>
          <w:sz w:val="18"/>
        </w:rPr>
      </w:pPr>
      <w:r>
        <w:rPr>
          <w:sz w:val="18"/>
        </w:rPr>
        <w:t>Scheduled Service Only</w:t>
      </w:r>
    </w:p>
    <w:p>
      <w:pPr>
        <w:spacing w:after="0"/>
        <w:jc w:val="left"/>
        <w:rPr>
          <w:sz w:val="18"/>
        </w:rPr>
        <w:sectPr>
          <w:footerReference w:type="default" r:id="rId7"/>
          <w:pgSz w:w="12240" w:h="15840"/>
          <w:pgMar w:footer="790" w:header="0" w:top="1280" w:bottom="980" w:left="1580" w:right="1680"/>
          <w:pgNumType w:start="11"/>
        </w:sectPr>
      </w:pPr>
    </w:p>
    <w:p>
      <w:pPr>
        <w:pStyle w:val="Heading1"/>
        <w:spacing w:before="69"/>
      </w:pPr>
      <w:r>
        <w:rPr/>
        <w:t>SECRET NUMBER 4</w:t>
      </w:r>
    </w:p>
    <w:p>
      <w:pPr>
        <w:spacing w:before="83"/>
        <w:ind w:left="100" w:right="0" w:firstLine="0"/>
        <w:jc w:val="left"/>
        <w:rPr>
          <w:b/>
          <w:sz w:val="24"/>
        </w:rPr>
      </w:pPr>
      <w:r>
        <w:rPr>
          <w:b/>
          <w:sz w:val="24"/>
        </w:rPr>
        <w:t>Treat Customers like guests.</w:t>
      </w:r>
    </w:p>
    <w:p>
      <w:pPr>
        <w:pStyle w:val="BodyText"/>
        <w:spacing w:before="11"/>
        <w:rPr>
          <w:b/>
          <w:sz w:val="38"/>
        </w:rPr>
      </w:pPr>
    </w:p>
    <w:p>
      <w:pPr>
        <w:spacing w:line="312" w:lineRule="auto" w:before="0"/>
        <w:ind w:left="1900" w:right="0" w:firstLine="0"/>
        <w:jc w:val="left"/>
        <w:rPr>
          <w:sz w:val="24"/>
        </w:rPr>
      </w:pPr>
      <w:r>
        <w:rPr>
          <w:sz w:val="24"/>
        </w:rPr>
        <w:t>Southwest Airlines has won the annual Triple Crown </w:t>
      </w:r>
      <w:r>
        <w:rPr>
          <w:sz w:val="24"/>
          <w:u w:val="single"/>
        </w:rPr>
        <w:t>four </w:t>
      </w:r>
      <w:r>
        <w:rPr>
          <w:sz w:val="24"/>
        </w:rPr>
        <w:t>times: Highest Customer Satisfaction. Best Ontime Record. Best Baggage Handling. That should wake up those other guys.</w:t>
      </w:r>
    </w:p>
    <w:p>
      <w:pPr>
        <w:pStyle w:val="BodyText"/>
        <w:spacing w:before="7"/>
        <w:rPr>
          <w:sz w:val="31"/>
        </w:rPr>
      </w:pPr>
    </w:p>
    <w:p>
      <w:pPr>
        <w:spacing w:line="312" w:lineRule="auto" w:before="0"/>
        <w:ind w:left="1900" w:right="256" w:firstLine="0"/>
        <w:jc w:val="left"/>
        <w:rPr>
          <w:sz w:val="24"/>
        </w:rPr>
      </w:pPr>
      <w:r>
        <w:rPr>
          <w:sz w:val="24"/>
        </w:rPr>
        <w:t>“The secret is so simple, most companies overlook it. Treat your Customers like you’d like to be treated.”</w:t>
      </w:r>
    </w:p>
    <w:p>
      <w:pPr>
        <w:spacing w:line="312" w:lineRule="auto" w:before="3"/>
        <w:ind w:left="6042" w:right="890" w:firstLine="0"/>
        <w:jc w:val="left"/>
        <w:rPr>
          <w:sz w:val="24"/>
        </w:rPr>
      </w:pPr>
      <w:r>
        <w:rPr>
          <w:sz w:val="24"/>
        </w:rPr>
        <w:t>Colleen C. Barrett Executive Vice</w:t>
      </w:r>
    </w:p>
    <w:p>
      <w:pPr>
        <w:spacing w:before="3"/>
        <w:ind w:left="1540" w:right="0" w:firstLine="0"/>
        <w:jc w:val="left"/>
        <w:rPr>
          <w:sz w:val="24"/>
        </w:rPr>
      </w:pPr>
      <w:r>
        <w:rPr>
          <w:sz w:val="24"/>
        </w:rPr>
        <w:t>President-</w:t>
      </w:r>
    </w:p>
    <w:p>
      <w:pPr>
        <w:spacing w:before="84"/>
        <w:ind w:left="0" w:right="1639" w:firstLine="0"/>
        <w:jc w:val="right"/>
        <w:rPr>
          <w:sz w:val="24"/>
        </w:rPr>
      </w:pPr>
      <w:r>
        <w:rPr>
          <w:w w:val="95"/>
          <w:sz w:val="24"/>
        </w:rPr>
        <w:t>Customers</w:t>
      </w:r>
    </w:p>
    <w:p>
      <w:pPr>
        <w:pStyle w:val="BodyText"/>
      </w:pPr>
    </w:p>
    <w:p>
      <w:pPr>
        <w:spacing w:line="312" w:lineRule="auto" w:before="214"/>
        <w:ind w:left="100" w:right="132" w:firstLine="0"/>
        <w:jc w:val="left"/>
        <w:rPr>
          <w:sz w:val="24"/>
        </w:rPr>
      </w:pPr>
      <w:r>
        <w:rPr>
          <w:sz w:val="24"/>
        </w:rPr>
        <w:t>In 1995, Southwest Airlines won the annual Triple Crown for our fourth consecutive year: Highest Customer Satisfaction, Best Ontime Record, and Best Baggage Handling. Southwest was specifically built to meet the needs of our shorthaul Customers, and that’s exactly what our Employees do! We provide affordable, safe air travel, and Positively Outrageous Service.</w:t>
      </w:r>
    </w:p>
    <w:p>
      <w:pPr>
        <w:pStyle w:val="BodyText"/>
        <w:spacing w:before="7"/>
        <w:rPr>
          <w:sz w:val="31"/>
        </w:rPr>
      </w:pPr>
    </w:p>
    <w:p>
      <w:pPr>
        <w:spacing w:line="312" w:lineRule="auto" w:before="0"/>
        <w:ind w:left="100" w:right="189" w:firstLine="0"/>
        <w:jc w:val="left"/>
        <w:rPr>
          <w:sz w:val="24"/>
        </w:rPr>
      </w:pPr>
      <w:r>
        <w:rPr>
          <w:sz w:val="24"/>
        </w:rPr>
        <w:t>In 1995, for the fourth straight year, we had the best Customer complaint record of any major U.S. airline. Our Employees consistently deliver high-quality Customer Service in a friendly, caring, and enthusiastic manner. In short, we treat our Customers like guests. Southwest was built with the shorthaul Customers’ needs in mind, and our unique marketing and operating strategy facilitates this exceptional service. Our quick and simple ticketing and boarding procedures, as well as our inflight services, were designed to deliver what the shorthaul Customer wants: the lowest fares; frequent, conveniently timed flights; and outstanding Customer Service. In addition, we offer a generous Company Club program that rewards our frequent flyers with free trips. Our Customers simply luv it!</w:t>
      </w:r>
    </w:p>
    <w:p>
      <w:pPr>
        <w:pStyle w:val="BodyText"/>
        <w:spacing w:before="7"/>
        <w:rPr>
          <w:sz w:val="31"/>
        </w:rPr>
      </w:pPr>
    </w:p>
    <w:p>
      <w:pPr>
        <w:spacing w:line="312" w:lineRule="auto" w:before="0"/>
        <w:ind w:left="100" w:right="133" w:firstLine="0"/>
        <w:jc w:val="left"/>
        <w:rPr>
          <w:sz w:val="24"/>
        </w:rPr>
      </w:pPr>
      <w:r>
        <w:rPr>
          <w:sz w:val="24"/>
        </w:rPr>
        <w:t>Our unique operating strategy also facilitates our number one ranking in ontime performance. </w:t>
      </w:r>
      <w:r>
        <w:rPr>
          <w:spacing w:val="2"/>
          <w:sz w:val="24"/>
        </w:rPr>
        <w:t>The </w:t>
      </w:r>
      <w:r>
        <w:rPr>
          <w:sz w:val="24"/>
        </w:rPr>
        <w:t>combination of efficient </w:t>
      </w:r>
      <w:r>
        <w:rPr>
          <w:spacing w:val="2"/>
          <w:sz w:val="24"/>
        </w:rPr>
        <w:t>aircraft </w:t>
      </w:r>
      <w:r>
        <w:rPr>
          <w:sz w:val="24"/>
        </w:rPr>
        <w:t>scheduling; careful selection  of </w:t>
      </w:r>
      <w:r>
        <w:rPr>
          <w:spacing w:val="2"/>
          <w:sz w:val="24"/>
        </w:rPr>
        <w:t>airports </w:t>
      </w:r>
      <w:r>
        <w:rPr>
          <w:sz w:val="24"/>
        </w:rPr>
        <w:t>served; quick and efficient ticketing and boarding procedures; and</w:t>
      </w:r>
      <w:r>
        <w:rPr>
          <w:spacing w:val="26"/>
          <w:sz w:val="24"/>
        </w:rPr>
        <w:t> </w:t>
      </w:r>
      <w:r>
        <w:rPr>
          <w:sz w:val="24"/>
        </w:rPr>
        <w:t>our</w:t>
      </w:r>
    </w:p>
    <w:p>
      <w:pPr>
        <w:spacing w:after="0" w:line="312" w:lineRule="auto"/>
        <w:jc w:val="left"/>
        <w:rPr>
          <w:sz w:val="24"/>
        </w:rPr>
        <w:sectPr>
          <w:pgSz w:w="12240" w:h="15840"/>
          <w:pgMar w:header="0" w:footer="790" w:top="1280" w:bottom="980" w:left="1700" w:right="1680"/>
        </w:sectPr>
      </w:pPr>
    </w:p>
    <w:p>
      <w:pPr>
        <w:spacing w:line="312" w:lineRule="auto" w:before="74"/>
        <w:ind w:left="200" w:right="229" w:firstLine="0"/>
        <w:jc w:val="left"/>
        <w:rPr>
          <w:sz w:val="24"/>
        </w:rPr>
      </w:pPr>
      <w:r>
        <w:rPr>
          <w:sz w:val="24"/>
        </w:rPr>
        <w:t>highly productive Employees consistently rank us at the top in terms of ontime performance.</w:t>
      </w:r>
    </w:p>
    <w:p>
      <w:pPr>
        <w:pStyle w:val="BodyText"/>
        <w:spacing w:before="7"/>
        <w:rPr>
          <w:sz w:val="31"/>
        </w:rPr>
      </w:pPr>
    </w:p>
    <w:p>
      <w:pPr>
        <w:spacing w:line="312" w:lineRule="auto" w:before="0"/>
        <w:ind w:left="200" w:right="229" w:firstLine="0"/>
        <w:jc w:val="left"/>
        <w:rPr>
          <w:sz w:val="24"/>
        </w:rPr>
      </w:pPr>
      <w:r>
        <w:rPr>
          <w:sz w:val="24"/>
        </w:rPr>
        <w:t>For the fourth straight year, we also had the fewest mishandled Customer bags of any major U.S. airline. This was achieved despite our quick aircraft turns at the gate and the fact that we are carrying ever-increasing amounts of cargo and</w:t>
      </w:r>
    </w:p>
    <w:p>
      <w:pPr>
        <w:spacing w:line="312" w:lineRule="auto" w:before="3"/>
        <w:ind w:left="200" w:right="0" w:firstLine="0"/>
        <w:jc w:val="left"/>
        <w:rPr>
          <w:sz w:val="24"/>
        </w:rPr>
      </w:pPr>
      <w:r>
        <w:rPr>
          <w:sz w:val="24"/>
        </w:rPr>
        <w:t>U.S. mail. Combined, freight revenues grew faster than capacity in 1995, or 21.0 percent. Our streamlined approach and the caring and dedicated attitudes of our Ground Operations Employees enable us to control and handle our Customers’ baggage efficiently with minimal loss.</w:t>
      </w:r>
    </w:p>
    <w:p>
      <w:pPr>
        <w:pStyle w:val="BodyText"/>
        <w:spacing w:before="6"/>
        <w:rPr>
          <w:sz w:val="31"/>
        </w:rPr>
      </w:pPr>
    </w:p>
    <w:p>
      <w:pPr>
        <w:spacing w:line="312" w:lineRule="auto" w:before="0"/>
        <w:ind w:left="200" w:right="229" w:firstLine="0"/>
        <w:jc w:val="left"/>
        <w:rPr>
          <w:sz w:val="24"/>
        </w:rPr>
      </w:pPr>
      <w:r>
        <w:rPr>
          <w:sz w:val="24"/>
        </w:rPr>
        <w:t>While the amenities may be “low frills,” our Triple Crown Customer Service rankings are a testament to the fact that we deliver what the Customer wants in shorthaul markets.</w:t>
      </w:r>
    </w:p>
    <w:p>
      <w:pPr>
        <w:pStyle w:val="BodyText"/>
        <w:spacing w:before="1"/>
        <w:rPr>
          <w:sz w:val="31"/>
        </w:rPr>
      </w:pPr>
    </w:p>
    <w:p>
      <w:pPr>
        <w:spacing w:before="0" w:after="6"/>
        <w:ind w:left="200" w:right="0" w:firstLine="0"/>
        <w:jc w:val="left"/>
        <w:rPr>
          <w:b/>
          <w:sz w:val="24"/>
        </w:rPr>
      </w:pPr>
      <w:r>
        <w:rPr>
          <w:b/>
          <w:sz w:val="24"/>
        </w:rPr>
        <w:t>Department of Transportation Rankings for 1995</w:t>
      </w:r>
    </w:p>
    <w:tbl>
      <w:tblPr>
        <w:tblW w:w="0" w:type="auto"/>
        <w:jc w:val="left"/>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842"/>
        <w:gridCol w:w="2650"/>
        <w:gridCol w:w="2501"/>
      </w:tblGrid>
      <w:tr>
        <w:trPr>
          <w:trHeight w:val="367" w:hRule="exact"/>
        </w:trPr>
        <w:tc>
          <w:tcPr>
            <w:tcW w:w="2842" w:type="dxa"/>
            <w:shd w:val="clear" w:color="auto" w:fill="666666"/>
          </w:tcPr>
          <w:p>
            <w:pPr>
              <w:pStyle w:val="TableParagraph"/>
              <w:spacing w:before="77"/>
              <w:ind w:left="139"/>
              <w:jc w:val="left"/>
              <w:rPr>
                <w:b/>
                <w:sz w:val="24"/>
              </w:rPr>
            </w:pPr>
            <w:r>
              <w:rPr>
                <w:b/>
                <w:color w:val="FFFFFF"/>
                <w:sz w:val="24"/>
                <w:u w:val="thick" w:color="FFFFFF"/>
              </w:rPr>
              <w:t>Customer Satisfaction</w:t>
            </w:r>
          </w:p>
        </w:tc>
        <w:tc>
          <w:tcPr>
            <w:tcW w:w="2650" w:type="dxa"/>
            <w:shd w:val="clear" w:color="auto" w:fill="666666"/>
          </w:tcPr>
          <w:p>
            <w:pPr>
              <w:pStyle w:val="TableParagraph"/>
              <w:spacing w:before="77"/>
              <w:ind w:left="143"/>
              <w:jc w:val="left"/>
              <w:rPr>
                <w:b/>
                <w:sz w:val="24"/>
              </w:rPr>
            </w:pPr>
            <w:r>
              <w:rPr>
                <w:b/>
                <w:color w:val="FFFFFF"/>
                <w:sz w:val="24"/>
                <w:u w:val="thick" w:color="FFFFFF"/>
              </w:rPr>
              <w:t>Ontime Performance</w:t>
            </w:r>
          </w:p>
        </w:tc>
        <w:tc>
          <w:tcPr>
            <w:tcW w:w="2501" w:type="dxa"/>
            <w:shd w:val="clear" w:color="auto" w:fill="666666"/>
          </w:tcPr>
          <w:p>
            <w:pPr>
              <w:pStyle w:val="TableParagraph"/>
              <w:spacing w:before="77"/>
              <w:ind w:right="186"/>
              <w:rPr>
                <w:b/>
                <w:sz w:val="24"/>
              </w:rPr>
            </w:pPr>
            <w:r>
              <w:rPr>
                <w:b/>
                <w:color w:val="FFFFFF"/>
                <w:sz w:val="24"/>
                <w:u w:val="thick" w:color="FFFFFF"/>
              </w:rPr>
              <w:t>Baggage Handling</w:t>
            </w:r>
          </w:p>
        </w:tc>
      </w:tr>
      <w:tr>
        <w:trPr>
          <w:trHeight w:val="382" w:hRule="exact"/>
        </w:trPr>
        <w:tc>
          <w:tcPr>
            <w:tcW w:w="2842" w:type="dxa"/>
          </w:tcPr>
          <w:p>
            <w:pPr>
              <w:pStyle w:val="TableParagraph"/>
              <w:tabs>
                <w:tab w:pos="796" w:val="left" w:leader="none"/>
              </w:tabs>
              <w:spacing w:before="89"/>
              <w:ind w:left="235"/>
              <w:jc w:val="left"/>
              <w:rPr>
                <w:sz w:val="24"/>
              </w:rPr>
            </w:pPr>
            <w:r>
              <w:rPr>
                <w:sz w:val="24"/>
              </w:rPr>
              <w:t>1.</w:t>
              <w:tab/>
              <w:t>Southwest</w:t>
            </w:r>
          </w:p>
        </w:tc>
        <w:tc>
          <w:tcPr>
            <w:tcW w:w="2650" w:type="dxa"/>
          </w:tcPr>
          <w:p>
            <w:pPr>
              <w:pStyle w:val="TableParagraph"/>
              <w:tabs>
                <w:tab w:pos="796" w:val="left" w:leader="none"/>
              </w:tabs>
              <w:spacing w:before="89"/>
              <w:ind w:left="235"/>
              <w:jc w:val="left"/>
              <w:rPr>
                <w:sz w:val="24"/>
              </w:rPr>
            </w:pPr>
            <w:r>
              <w:rPr>
                <w:sz w:val="24"/>
              </w:rPr>
              <w:t>1.</w:t>
              <w:tab/>
              <w:t>Southwest</w:t>
            </w:r>
          </w:p>
        </w:tc>
        <w:tc>
          <w:tcPr>
            <w:tcW w:w="2501" w:type="dxa"/>
          </w:tcPr>
          <w:p>
            <w:pPr>
              <w:pStyle w:val="TableParagraph"/>
              <w:tabs>
                <w:tab w:pos="796" w:val="left" w:leader="none"/>
              </w:tabs>
              <w:spacing w:before="89"/>
              <w:ind w:left="235"/>
              <w:jc w:val="left"/>
              <w:rPr>
                <w:sz w:val="24"/>
              </w:rPr>
            </w:pPr>
            <w:r>
              <w:rPr>
                <w:sz w:val="24"/>
              </w:rPr>
              <w:t>1.</w:t>
              <w:tab/>
              <w:t>Southwest</w:t>
            </w:r>
          </w:p>
        </w:tc>
      </w:tr>
      <w:tr>
        <w:trPr>
          <w:trHeight w:val="374" w:hRule="exact"/>
        </w:trPr>
        <w:tc>
          <w:tcPr>
            <w:tcW w:w="2842" w:type="dxa"/>
          </w:tcPr>
          <w:p>
            <w:pPr>
              <w:pStyle w:val="TableParagraph"/>
              <w:tabs>
                <w:tab w:pos="796" w:val="left" w:leader="none"/>
              </w:tabs>
              <w:spacing w:before="82"/>
              <w:ind w:left="235"/>
              <w:jc w:val="left"/>
              <w:rPr>
                <w:sz w:val="24"/>
              </w:rPr>
            </w:pPr>
            <w:r>
              <w:rPr>
                <w:sz w:val="24"/>
              </w:rPr>
              <w:t>2.</w:t>
              <w:tab/>
              <w:t>Northwest</w:t>
            </w:r>
          </w:p>
        </w:tc>
        <w:tc>
          <w:tcPr>
            <w:tcW w:w="2650" w:type="dxa"/>
          </w:tcPr>
          <w:p>
            <w:pPr>
              <w:pStyle w:val="TableParagraph"/>
              <w:tabs>
                <w:tab w:pos="796" w:val="left" w:leader="none"/>
              </w:tabs>
              <w:spacing w:before="82"/>
              <w:ind w:left="235"/>
              <w:jc w:val="left"/>
              <w:rPr>
                <w:sz w:val="24"/>
              </w:rPr>
            </w:pPr>
            <w:r>
              <w:rPr>
                <w:sz w:val="24"/>
              </w:rPr>
              <w:t>2.</w:t>
              <w:tab/>
              <w:t>Northwest</w:t>
            </w:r>
          </w:p>
        </w:tc>
        <w:tc>
          <w:tcPr>
            <w:tcW w:w="2501" w:type="dxa"/>
          </w:tcPr>
          <w:p>
            <w:pPr>
              <w:pStyle w:val="TableParagraph"/>
              <w:tabs>
                <w:tab w:pos="796" w:val="left" w:leader="none"/>
              </w:tabs>
              <w:spacing w:before="82"/>
              <w:ind w:left="235"/>
              <w:jc w:val="left"/>
              <w:rPr>
                <w:sz w:val="24"/>
              </w:rPr>
            </w:pPr>
            <w:r>
              <w:rPr>
                <w:sz w:val="24"/>
              </w:rPr>
              <w:t>2.</w:t>
              <w:tab/>
              <w:t>Continental</w:t>
            </w:r>
          </w:p>
        </w:tc>
      </w:tr>
      <w:tr>
        <w:trPr>
          <w:trHeight w:val="374" w:hRule="exact"/>
        </w:trPr>
        <w:tc>
          <w:tcPr>
            <w:tcW w:w="2842" w:type="dxa"/>
          </w:tcPr>
          <w:p>
            <w:pPr>
              <w:pStyle w:val="TableParagraph"/>
              <w:tabs>
                <w:tab w:pos="796" w:val="left" w:leader="none"/>
              </w:tabs>
              <w:spacing w:before="82"/>
              <w:ind w:left="235"/>
              <w:jc w:val="left"/>
              <w:rPr>
                <w:sz w:val="24"/>
              </w:rPr>
            </w:pPr>
            <w:r>
              <w:rPr>
                <w:sz w:val="24"/>
              </w:rPr>
              <w:t>3.</w:t>
              <w:tab/>
              <w:t>Alaska</w:t>
            </w:r>
          </w:p>
        </w:tc>
        <w:tc>
          <w:tcPr>
            <w:tcW w:w="2650" w:type="dxa"/>
          </w:tcPr>
          <w:p>
            <w:pPr>
              <w:pStyle w:val="TableParagraph"/>
              <w:tabs>
                <w:tab w:pos="796" w:val="left" w:leader="none"/>
              </w:tabs>
              <w:spacing w:before="82"/>
              <w:ind w:left="235"/>
              <w:jc w:val="left"/>
              <w:rPr>
                <w:sz w:val="24"/>
              </w:rPr>
            </w:pPr>
            <w:r>
              <w:rPr>
                <w:sz w:val="24"/>
              </w:rPr>
              <w:t>3.</w:t>
              <w:tab/>
              <w:t>USAir</w:t>
            </w:r>
          </w:p>
        </w:tc>
        <w:tc>
          <w:tcPr>
            <w:tcW w:w="2501" w:type="dxa"/>
          </w:tcPr>
          <w:p>
            <w:pPr>
              <w:pStyle w:val="TableParagraph"/>
              <w:tabs>
                <w:tab w:pos="561" w:val="left" w:leader="none"/>
              </w:tabs>
              <w:spacing w:before="82"/>
              <w:ind w:right="178"/>
              <w:rPr>
                <w:sz w:val="24"/>
              </w:rPr>
            </w:pPr>
            <w:r>
              <w:rPr>
                <w:sz w:val="24"/>
              </w:rPr>
              <w:t>3.</w:t>
              <w:tab/>
              <w:t>America</w:t>
            </w:r>
            <w:r>
              <w:rPr>
                <w:spacing w:val="-4"/>
                <w:sz w:val="24"/>
              </w:rPr>
              <w:t> </w:t>
            </w:r>
            <w:r>
              <w:rPr>
                <w:spacing w:val="3"/>
                <w:sz w:val="24"/>
              </w:rPr>
              <w:t>West</w:t>
            </w:r>
          </w:p>
        </w:tc>
      </w:tr>
      <w:tr>
        <w:trPr>
          <w:trHeight w:val="374" w:hRule="exact"/>
        </w:trPr>
        <w:tc>
          <w:tcPr>
            <w:tcW w:w="2842" w:type="dxa"/>
          </w:tcPr>
          <w:p>
            <w:pPr>
              <w:pStyle w:val="TableParagraph"/>
              <w:tabs>
                <w:tab w:pos="796" w:val="left" w:leader="none"/>
              </w:tabs>
              <w:spacing w:before="82"/>
              <w:ind w:left="235"/>
              <w:jc w:val="left"/>
              <w:rPr>
                <w:sz w:val="24"/>
              </w:rPr>
            </w:pPr>
            <w:r>
              <w:rPr>
                <w:sz w:val="24"/>
              </w:rPr>
              <w:t>4.</w:t>
              <w:tab/>
              <w:t>Delta</w:t>
            </w:r>
          </w:p>
        </w:tc>
        <w:tc>
          <w:tcPr>
            <w:tcW w:w="2650" w:type="dxa"/>
          </w:tcPr>
          <w:p>
            <w:pPr>
              <w:pStyle w:val="TableParagraph"/>
              <w:tabs>
                <w:tab w:pos="796" w:val="left" w:leader="none"/>
              </w:tabs>
              <w:spacing w:before="82"/>
              <w:ind w:left="235"/>
              <w:jc w:val="left"/>
              <w:rPr>
                <w:sz w:val="24"/>
              </w:rPr>
            </w:pPr>
            <w:r>
              <w:rPr>
                <w:sz w:val="24"/>
              </w:rPr>
              <w:t>4.</w:t>
              <w:tab/>
              <w:t>Continental</w:t>
            </w:r>
          </w:p>
        </w:tc>
        <w:tc>
          <w:tcPr>
            <w:tcW w:w="2501" w:type="dxa"/>
          </w:tcPr>
          <w:p>
            <w:pPr>
              <w:pStyle w:val="TableParagraph"/>
              <w:tabs>
                <w:tab w:pos="796" w:val="left" w:leader="none"/>
              </w:tabs>
              <w:spacing w:before="82"/>
              <w:ind w:left="235"/>
              <w:jc w:val="left"/>
              <w:rPr>
                <w:sz w:val="24"/>
              </w:rPr>
            </w:pPr>
            <w:r>
              <w:rPr>
                <w:sz w:val="24"/>
              </w:rPr>
              <w:t>4.</w:t>
              <w:tab/>
              <w:t>USAir</w:t>
            </w:r>
          </w:p>
        </w:tc>
      </w:tr>
      <w:tr>
        <w:trPr>
          <w:trHeight w:val="374" w:hRule="exact"/>
        </w:trPr>
        <w:tc>
          <w:tcPr>
            <w:tcW w:w="2842" w:type="dxa"/>
          </w:tcPr>
          <w:p>
            <w:pPr>
              <w:pStyle w:val="TableParagraph"/>
              <w:tabs>
                <w:tab w:pos="796" w:val="left" w:leader="none"/>
              </w:tabs>
              <w:spacing w:before="82"/>
              <w:ind w:left="235"/>
              <w:jc w:val="left"/>
              <w:rPr>
                <w:sz w:val="24"/>
              </w:rPr>
            </w:pPr>
            <w:r>
              <w:rPr>
                <w:sz w:val="24"/>
              </w:rPr>
              <w:t>5.</w:t>
              <w:tab/>
              <w:t>American</w:t>
            </w:r>
          </w:p>
        </w:tc>
        <w:tc>
          <w:tcPr>
            <w:tcW w:w="2650" w:type="dxa"/>
          </w:tcPr>
          <w:p>
            <w:pPr>
              <w:pStyle w:val="TableParagraph"/>
              <w:tabs>
                <w:tab w:pos="796" w:val="left" w:leader="none"/>
              </w:tabs>
              <w:spacing w:before="82"/>
              <w:ind w:left="235"/>
              <w:jc w:val="left"/>
              <w:rPr>
                <w:sz w:val="24"/>
              </w:rPr>
            </w:pPr>
            <w:r>
              <w:rPr>
                <w:sz w:val="24"/>
              </w:rPr>
              <w:t>5.</w:t>
              <w:tab/>
              <w:t>United</w:t>
            </w:r>
          </w:p>
        </w:tc>
        <w:tc>
          <w:tcPr>
            <w:tcW w:w="2501" w:type="dxa"/>
          </w:tcPr>
          <w:p>
            <w:pPr>
              <w:pStyle w:val="TableParagraph"/>
              <w:tabs>
                <w:tab w:pos="796" w:val="left" w:leader="none"/>
              </w:tabs>
              <w:spacing w:before="82"/>
              <w:ind w:left="235"/>
              <w:jc w:val="left"/>
              <w:rPr>
                <w:sz w:val="24"/>
              </w:rPr>
            </w:pPr>
            <w:r>
              <w:rPr>
                <w:sz w:val="24"/>
              </w:rPr>
              <w:t>5.</w:t>
              <w:tab/>
              <w:t>American</w:t>
            </w:r>
          </w:p>
        </w:tc>
      </w:tr>
      <w:tr>
        <w:trPr>
          <w:trHeight w:val="374" w:hRule="exact"/>
        </w:trPr>
        <w:tc>
          <w:tcPr>
            <w:tcW w:w="2842" w:type="dxa"/>
          </w:tcPr>
          <w:p>
            <w:pPr>
              <w:pStyle w:val="TableParagraph"/>
              <w:tabs>
                <w:tab w:pos="796" w:val="left" w:leader="none"/>
              </w:tabs>
              <w:spacing w:before="82"/>
              <w:ind w:left="235"/>
              <w:jc w:val="left"/>
              <w:rPr>
                <w:sz w:val="24"/>
              </w:rPr>
            </w:pPr>
            <w:r>
              <w:rPr>
                <w:sz w:val="24"/>
              </w:rPr>
              <w:t>6.</w:t>
              <w:tab/>
              <w:t>USAir</w:t>
            </w:r>
          </w:p>
        </w:tc>
        <w:tc>
          <w:tcPr>
            <w:tcW w:w="2650" w:type="dxa"/>
          </w:tcPr>
          <w:p>
            <w:pPr>
              <w:pStyle w:val="TableParagraph"/>
              <w:tabs>
                <w:tab w:pos="796" w:val="left" w:leader="none"/>
              </w:tabs>
              <w:spacing w:before="82"/>
              <w:ind w:left="235"/>
              <w:jc w:val="left"/>
              <w:rPr>
                <w:sz w:val="24"/>
              </w:rPr>
            </w:pPr>
            <w:r>
              <w:rPr>
                <w:sz w:val="24"/>
              </w:rPr>
              <w:t>6.</w:t>
              <w:tab/>
              <w:t>America</w:t>
            </w:r>
            <w:r>
              <w:rPr>
                <w:spacing w:val="-4"/>
                <w:sz w:val="24"/>
              </w:rPr>
              <w:t> </w:t>
            </w:r>
            <w:r>
              <w:rPr>
                <w:spacing w:val="3"/>
                <w:sz w:val="24"/>
              </w:rPr>
              <w:t>West</w:t>
            </w:r>
          </w:p>
        </w:tc>
        <w:tc>
          <w:tcPr>
            <w:tcW w:w="2501" w:type="dxa"/>
          </w:tcPr>
          <w:p>
            <w:pPr>
              <w:pStyle w:val="TableParagraph"/>
              <w:tabs>
                <w:tab w:pos="796" w:val="left" w:leader="none"/>
              </w:tabs>
              <w:spacing w:before="82"/>
              <w:ind w:left="235"/>
              <w:jc w:val="left"/>
              <w:rPr>
                <w:sz w:val="24"/>
              </w:rPr>
            </w:pPr>
            <w:r>
              <w:rPr>
                <w:sz w:val="24"/>
              </w:rPr>
              <w:t>6.</w:t>
              <w:tab/>
              <w:t>United</w:t>
            </w:r>
          </w:p>
        </w:tc>
      </w:tr>
      <w:tr>
        <w:trPr>
          <w:trHeight w:val="374" w:hRule="exact"/>
        </w:trPr>
        <w:tc>
          <w:tcPr>
            <w:tcW w:w="2842" w:type="dxa"/>
          </w:tcPr>
          <w:p>
            <w:pPr>
              <w:pStyle w:val="TableParagraph"/>
              <w:tabs>
                <w:tab w:pos="796" w:val="left" w:leader="none"/>
              </w:tabs>
              <w:spacing w:before="82"/>
              <w:ind w:left="235"/>
              <w:jc w:val="left"/>
              <w:rPr>
                <w:sz w:val="24"/>
              </w:rPr>
            </w:pPr>
            <w:r>
              <w:rPr>
                <w:sz w:val="24"/>
              </w:rPr>
              <w:t>7.</w:t>
              <w:tab/>
              <w:t>United</w:t>
            </w:r>
          </w:p>
        </w:tc>
        <w:tc>
          <w:tcPr>
            <w:tcW w:w="2650" w:type="dxa"/>
          </w:tcPr>
          <w:p>
            <w:pPr>
              <w:pStyle w:val="TableParagraph"/>
              <w:tabs>
                <w:tab w:pos="796" w:val="left" w:leader="none"/>
              </w:tabs>
              <w:spacing w:before="82"/>
              <w:ind w:left="235"/>
              <w:jc w:val="left"/>
              <w:rPr>
                <w:sz w:val="24"/>
              </w:rPr>
            </w:pPr>
            <w:r>
              <w:rPr>
                <w:sz w:val="24"/>
              </w:rPr>
              <w:t>7.</w:t>
              <w:tab/>
              <w:t>American</w:t>
            </w:r>
          </w:p>
        </w:tc>
        <w:tc>
          <w:tcPr>
            <w:tcW w:w="2501" w:type="dxa"/>
          </w:tcPr>
          <w:p>
            <w:pPr>
              <w:pStyle w:val="TableParagraph"/>
              <w:tabs>
                <w:tab w:pos="796" w:val="left" w:leader="none"/>
              </w:tabs>
              <w:spacing w:before="82"/>
              <w:ind w:left="235"/>
              <w:jc w:val="left"/>
              <w:rPr>
                <w:sz w:val="24"/>
              </w:rPr>
            </w:pPr>
            <w:r>
              <w:rPr>
                <w:sz w:val="24"/>
              </w:rPr>
              <w:t>7.</w:t>
              <w:tab/>
              <w:t>Delta</w:t>
            </w:r>
          </w:p>
        </w:tc>
      </w:tr>
      <w:tr>
        <w:trPr>
          <w:trHeight w:val="374" w:hRule="exact"/>
        </w:trPr>
        <w:tc>
          <w:tcPr>
            <w:tcW w:w="2842" w:type="dxa"/>
          </w:tcPr>
          <w:p>
            <w:pPr>
              <w:pStyle w:val="TableParagraph"/>
              <w:tabs>
                <w:tab w:pos="796" w:val="left" w:leader="none"/>
              </w:tabs>
              <w:spacing w:before="82"/>
              <w:ind w:left="235"/>
              <w:jc w:val="left"/>
              <w:rPr>
                <w:sz w:val="24"/>
              </w:rPr>
            </w:pPr>
            <w:r>
              <w:rPr>
                <w:sz w:val="24"/>
              </w:rPr>
              <w:t>8.</w:t>
              <w:tab/>
              <w:t>America</w:t>
            </w:r>
            <w:r>
              <w:rPr>
                <w:spacing w:val="-4"/>
                <w:sz w:val="24"/>
              </w:rPr>
              <w:t> </w:t>
            </w:r>
            <w:r>
              <w:rPr>
                <w:spacing w:val="3"/>
                <w:sz w:val="24"/>
              </w:rPr>
              <w:t>West</w:t>
            </w:r>
          </w:p>
        </w:tc>
        <w:tc>
          <w:tcPr>
            <w:tcW w:w="2650" w:type="dxa"/>
          </w:tcPr>
          <w:p>
            <w:pPr>
              <w:pStyle w:val="TableParagraph"/>
              <w:tabs>
                <w:tab w:pos="796" w:val="left" w:leader="none"/>
              </w:tabs>
              <w:spacing w:before="82"/>
              <w:ind w:left="235"/>
              <w:jc w:val="left"/>
              <w:rPr>
                <w:sz w:val="24"/>
              </w:rPr>
            </w:pPr>
            <w:r>
              <w:rPr>
                <w:sz w:val="24"/>
              </w:rPr>
              <w:t>8.</w:t>
              <w:tab/>
              <w:t>Alaska</w:t>
            </w:r>
          </w:p>
        </w:tc>
        <w:tc>
          <w:tcPr>
            <w:tcW w:w="2501" w:type="dxa"/>
          </w:tcPr>
          <w:p>
            <w:pPr>
              <w:pStyle w:val="TableParagraph"/>
              <w:tabs>
                <w:tab w:pos="796" w:val="left" w:leader="none"/>
              </w:tabs>
              <w:spacing w:before="82"/>
              <w:ind w:left="235"/>
              <w:jc w:val="left"/>
              <w:rPr>
                <w:sz w:val="24"/>
              </w:rPr>
            </w:pPr>
            <w:r>
              <w:rPr>
                <w:sz w:val="24"/>
              </w:rPr>
              <w:t>8.</w:t>
              <w:tab/>
              <w:t>Alaska</w:t>
            </w:r>
          </w:p>
        </w:tc>
      </w:tr>
      <w:tr>
        <w:trPr>
          <w:trHeight w:val="374" w:hRule="exact"/>
        </w:trPr>
        <w:tc>
          <w:tcPr>
            <w:tcW w:w="2842" w:type="dxa"/>
          </w:tcPr>
          <w:p>
            <w:pPr>
              <w:pStyle w:val="TableParagraph"/>
              <w:tabs>
                <w:tab w:pos="796" w:val="left" w:leader="none"/>
              </w:tabs>
              <w:spacing w:before="82"/>
              <w:ind w:left="235"/>
              <w:jc w:val="left"/>
              <w:rPr>
                <w:sz w:val="24"/>
              </w:rPr>
            </w:pPr>
            <w:r>
              <w:rPr>
                <w:sz w:val="24"/>
              </w:rPr>
              <w:t>9.</w:t>
              <w:tab/>
              <w:t>Continental</w:t>
            </w:r>
          </w:p>
        </w:tc>
        <w:tc>
          <w:tcPr>
            <w:tcW w:w="2650" w:type="dxa"/>
          </w:tcPr>
          <w:p>
            <w:pPr>
              <w:pStyle w:val="TableParagraph"/>
              <w:tabs>
                <w:tab w:pos="796" w:val="left" w:leader="none"/>
              </w:tabs>
              <w:spacing w:before="82"/>
              <w:ind w:left="235"/>
              <w:jc w:val="left"/>
              <w:rPr>
                <w:sz w:val="24"/>
              </w:rPr>
            </w:pPr>
            <w:r>
              <w:rPr>
                <w:sz w:val="24"/>
              </w:rPr>
              <w:t>9.</w:t>
              <w:tab/>
              <w:t>Delta</w:t>
            </w:r>
          </w:p>
        </w:tc>
        <w:tc>
          <w:tcPr>
            <w:tcW w:w="2501" w:type="dxa"/>
          </w:tcPr>
          <w:p>
            <w:pPr>
              <w:pStyle w:val="TableParagraph"/>
              <w:tabs>
                <w:tab w:pos="796" w:val="left" w:leader="none"/>
              </w:tabs>
              <w:spacing w:before="82"/>
              <w:ind w:left="235"/>
              <w:jc w:val="left"/>
              <w:rPr>
                <w:sz w:val="24"/>
              </w:rPr>
            </w:pPr>
            <w:r>
              <w:rPr>
                <w:sz w:val="24"/>
              </w:rPr>
              <w:t>9.</w:t>
              <w:tab/>
              <w:t>Northwest</w:t>
            </w:r>
          </w:p>
        </w:tc>
      </w:tr>
      <w:tr>
        <w:trPr>
          <w:trHeight w:val="374" w:hRule="exact"/>
        </w:trPr>
        <w:tc>
          <w:tcPr>
            <w:tcW w:w="2842" w:type="dxa"/>
          </w:tcPr>
          <w:p>
            <w:pPr>
              <w:pStyle w:val="TableParagraph"/>
              <w:tabs>
                <w:tab w:pos="796" w:val="left" w:leader="none"/>
              </w:tabs>
              <w:spacing w:before="82"/>
              <w:ind w:left="100"/>
              <w:jc w:val="left"/>
              <w:rPr>
                <w:sz w:val="24"/>
              </w:rPr>
            </w:pPr>
            <w:r>
              <w:rPr>
                <w:sz w:val="24"/>
              </w:rPr>
              <w:t>10.</w:t>
              <w:tab/>
            </w:r>
            <w:r>
              <w:rPr>
                <w:spacing w:val="5"/>
                <w:sz w:val="24"/>
              </w:rPr>
              <w:t>TWA</w:t>
            </w:r>
          </w:p>
        </w:tc>
        <w:tc>
          <w:tcPr>
            <w:tcW w:w="2650" w:type="dxa"/>
          </w:tcPr>
          <w:p>
            <w:pPr>
              <w:pStyle w:val="TableParagraph"/>
              <w:tabs>
                <w:tab w:pos="796" w:val="left" w:leader="none"/>
              </w:tabs>
              <w:spacing w:before="82"/>
              <w:ind w:left="100"/>
              <w:jc w:val="left"/>
              <w:rPr>
                <w:sz w:val="24"/>
              </w:rPr>
            </w:pPr>
            <w:r>
              <w:rPr>
                <w:sz w:val="24"/>
              </w:rPr>
              <w:t>10.</w:t>
              <w:tab/>
            </w:r>
            <w:r>
              <w:rPr>
                <w:spacing w:val="5"/>
                <w:sz w:val="24"/>
              </w:rPr>
              <w:t>TWA</w:t>
            </w:r>
          </w:p>
        </w:tc>
        <w:tc>
          <w:tcPr>
            <w:tcW w:w="2501" w:type="dxa"/>
          </w:tcPr>
          <w:p>
            <w:pPr>
              <w:pStyle w:val="TableParagraph"/>
              <w:tabs>
                <w:tab w:pos="796" w:val="left" w:leader="none"/>
              </w:tabs>
              <w:spacing w:before="82"/>
              <w:ind w:left="100"/>
              <w:jc w:val="left"/>
              <w:rPr>
                <w:sz w:val="24"/>
              </w:rPr>
            </w:pPr>
            <w:r>
              <w:rPr>
                <w:sz w:val="24"/>
              </w:rPr>
              <w:t>10.</w:t>
              <w:tab/>
            </w:r>
            <w:r>
              <w:rPr>
                <w:spacing w:val="5"/>
                <w:sz w:val="24"/>
              </w:rPr>
              <w:t>TWA</w:t>
            </w:r>
          </w:p>
        </w:tc>
      </w:tr>
    </w:tbl>
    <w:p>
      <w:pPr>
        <w:spacing w:after="0"/>
        <w:jc w:val="left"/>
        <w:rPr>
          <w:sz w:val="24"/>
        </w:rPr>
        <w:sectPr>
          <w:pgSz w:w="12240" w:h="15840"/>
          <w:pgMar w:header="0" w:footer="790" w:top="1280" w:bottom="980" w:left="1600" w:right="1680"/>
        </w:sectPr>
      </w:pPr>
    </w:p>
    <w:p>
      <w:pPr>
        <w:spacing w:before="69"/>
        <w:ind w:left="100" w:right="0" w:firstLine="0"/>
        <w:jc w:val="left"/>
        <w:rPr>
          <w:b/>
          <w:sz w:val="24"/>
        </w:rPr>
      </w:pPr>
      <w:r>
        <w:rPr>
          <w:b/>
          <w:sz w:val="24"/>
        </w:rPr>
        <w:t>SECRET NUMBER 5</w:t>
      </w:r>
    </w:p>
    <w:p>
      <w:pPr>
        <w:spacing w:before="83"/>
        <w:ind w:left="100" w:right="0" w:firstLine="0"/>
        <w:jc w:val="left"/>
        <w:rPr>
          <w:b/>
          <w:sz w:val="24"/>
        </w:rPr>
      </w:pPr>
      <w:r>
        <w:rPr>
          <w:b/>
          <w:sz w:val="24"/>
        </w:rPr>
        <w:t>Never stand still.</w:t>
      </w:r>
    </w:p>
    <w:p>
      <w:pPr>
        <w:pStyle w:val="BodyText"/>
        <w:spacing w:before="11"/>
        <w:rPr>
          <w:b/>
          <w:sz w:val="38"/>
        </w:rPr>
      </w:pPr>
    </w:p>
    <w:p>
      <w:pPr>
        <w:spacing w:line="312" w:lineRule="auto" w:before="0"/>
        <w:ind w:left="1900" w:right="0" w:firstLine="0"/>
        <w:jc w:val="left"/>
        <w:rPr>
          <w:sz w:val="24"/>
        </w:rPr>
      </w:pPr>
      <w:r>
        <w:rPr>
          <w:sz w:val="24"/>
        </w:rPr>
        <w:t>Southwest Airlines provides quick turnarounds at our gates. We also respond quickly to changes in the business environment.</w:t>
      </w:r>
    </w:p>
    <w:p>
      <w:pPr>
        <w:spacing w:before="3"/>
        <w:ind w:left="1900" w:right="0" w:firstLine="0"/>
        <w:jc w:val="left"/>
        <w:rPr>
          <w:sz w:val="24"/>
        </w:rPr>
      </w:pPr>
      <w:r>
        <w:rPr>
          <w:sz w:val="24"/>
        </w:rPr>
        <w:t>Which helps keep us one step ahead of our competition.</w:t>
      </w:r>
    </w:p>
    <w:p>
      <w:pPr>
        <w:pStyle w:val="BodyText"/>
        <w:spacing w:before="6"/>
        <w:rPr>
          <w:sz w:val="38"/>
        </w:rPr>
      </w:pPr>
    </w:p>
    <w:p>
      <w:pPr>
        <w:spacing w:line="312" w:lineRule="auto" w:before="0"/>
        <w:ind w:left="1900" w:right="256" w:firstLine="0"/>
        <w:jc w:val="left"/>
        <w:rPr>
          <w:sz w:val="24"/>
        </w:rPr>
      </w:pPr>
      <w:r>
        <w:rPr>
          <w:sz w:val="24"/>
        </w:rPr>
        <w:t>“One thing is for certain: Things will change. How well you anticipate and how quickly you deal with change determines your success.”</w:t>
      </w:r>
    </w:p>
    <w:p>
      <w:pPr>
        <w:spacing w:line="312" w:lineRule="auto" w:before="3"/>
        <w:ind w:left="6042" w:right="316" w:firstLine="0"/>
        <w:jc w:val="left"/>
        <w:rPr>
          <w:sz w:val="24"/>
        </w:rPr>
      </w:pPr>
      <w:r>
        <w:rPr>
          <w:sz w:val="24"/>
        </w:rPr>
        <w:t>Herbert D. Kelleher Chairman, President, &amp; Chief Executive Officer</w:t>
      </w:r>
    </w:p>
    <w:p>
      <w:pPr>
        <w:pStyle w:val="BodyText"/>
        <w:spacing w:before="7"/>
        <w:rPr>
          <w:sz w:val="31"/>
        </w:rPr>
      </w:pPr>
    </w:p>
    <w:p>
      <w:pPr>
        <w:spacing w:line="312" w:lineRule="auto" w:before="0"/>
        <w:ind w:left="100" w:right="0" w:firstLine="0"/>
        <w:jc w:val="left"/>
        <w:rPr>
          <w:sz w:val="24"/>
        </w:rPr>
      </w:pPr>
      <w:r>
        <w:rPr>
          <w:sz w:val="24"/>
        </w:rPr>
        <w:t>In the rough and tumble airline industry, we must be able to react quickly to competitive challenges. Our low costs and energetic Employees allow Southwest to do just that!</w:t>
      </w:r>
    </w:p>
    <w:p>
      <w:pPr>
        <w:pStyle w:val="BodyText"/>
        <w:spacing w:before="7"/>
        <w:rPr>
          <w:sz w:val="31"/>
        </w:rPr>
      </w:pPr>
    </w:p>
    <w:p>
      <w:pPr>
        <w:spacing w:line="312" w:lineRule="auto" w:before="0"/>
        <w:ind w:left="100" w:right="132" w:firstLine="0"/>
        <w:jc w:val="left"/>
        <w:rPr>
          <w:sz w:val="24"/>
        </w:rPr>
      </w:pPr>
      <w:r>
        <w:rPr>
          <w:sz w:val="24"/>
        </w:rPr>
        <w:t>Only the remarkable People of Southwest could have responded to the multitude of challenges we have recently faced and “turned around” our disappointing first quarter 1995 results so quickly. Our Employees effectively defended themselves from simultaneous assaults from Continental Lite and the United Shuttle. By mid- 1995, Continental completely dismantled Continental Lite; and by January 1996, the United Shuttle had substantially reduced service in our Oakland, California, markets. We now compete against the United Shuttle in only six markets.</w:t>
      </w:r>
    </w:p>
    <w:p>
      <w:pPr>
        <w:pStyle w:val="BodyText"/>
        <w:spacing w:before="7"/>
        <w:rPr>
          <w:sz w:val="31"/>
        </w:rPr>
      </w:pPr>
    </w:p>
    <w:p>
      <w:pPr>
        <w:spacing w:line="312" w:lineRule="auto" w:before="0"/>
        <w:ind w:left="100" w:right="163" w:firstLine="0"/>
        <w:jc w:val="left"/>
        <w:rPr>
          <w:sz w:val="24"/>
        </w:rPr>
      </w:pPr>
      <w:r>
        <w:rPr>
          <w:sz w:val="24"/>
        </w:rPr>
        <w:t>Our Employees swiftly corrected the technological Reservations System problem </w:t>
      </w:r>
      <w:r>
        <w:rPr>
          <w:spacing w:val="-3"/>
          <w:sz w:val="24"/>
        </w:rPr>
        <w:t>we </w:t>
      </w:r>
      <w:r>
        <w:rPr>
          <w:sz w:val="24"/>
        </w:rPr>
        <w:t>encountered during fourth quarter 1994 and first quarter 1995. In addition,   </w:t>
      </w:r>
      <w:r>
        <w:rPr>
          <w:spacing w:val="-3"/>
          <w:sz w:val="24"/>
        </w:rPr>
        <w:t>we </w:t>
      </w:r>
      <w:r>
        <w:rPr>
          <w:sz w:val="24"/>
        </w:rPr>
        <w:t>opened two reservations centers in Little Rock and Oklahoma City during 1995 to ensure adequate reservations capacity for future</w:t>
      </w:r>
      <w:r>
        <w:rPr>
          <w:spacing w:val="11"/>
          <w:sz w:val="24"/>
        </w:rPr>
        <w:t> </w:t>
      </w:r>
      <w:r>
        <w:rPr>
          <w:sz w:val="24"/>
        </w:rPr>
        <w:t>growth.</w:t>
      </w:r>
    </w:p>
    <w:p>
      <w:pPr>
        <w:pStyle w:val="BodyText"/>
        <w:spacing w:before="7"/>
        <w:rPr>
          <w:sz w:val="31"/>
        </w:rPr>
      </w:pPr>
    </w:p>
    <w:p>
      <w:pPr>
        <w:spacing w:line="312" w:lineRule="auto" w:before="0"/>
        <w:ind w:left="100" w:right="256" w:firstLine="0"/>
        <w:jc w:val="left"/>
        <w:rPr>
          <w:sz w:val="24"/>
        </w:rPr>
      </w:pPr>
      <w:r>
        <w:rPr>
          <w:sz w:val="24"/>
        </w:rPr>
        <w:t>We enhanced our fare structure, which led to dramatic improvements in our yields, from fourth quarter 1994 and first quarter 1995 levels. We ended 1995 with record revenue per RPM.</w:t>
      </w:r>
    </w:p>
    <w:p>
      <w:pPr>
        <w:spacing w:after="0" w:line="312" w:lineRule="auto"/>
        <w:jc w:val="left"/>
        <w:rPr>
          <w:sz w:val="24"/>
        </w:rPr>
        <w:sectPr>
          <w:pgSz w:w="12240" w:h="15840"/>
          <w:pgMar w:header="0" w:footer="790" w:top="1280" w:bottom="980" w:left="1700" w:right="1680"/>
        </w:sectPr>
      </w:pPr>
    </w:p>
    <w:p>
      <w:pPr>
        <w:spacing w:line="312" w:lineRule="auto" w:before="74"/>
        <w:ind w:left="220" w:right="3" w:firstLine="0"/>
        <w:jc w:val="left"/>
        <w:rPr>
          <w:sz w:val="24"/>
        </w:rPr>
      </w:pPr>
      <w:r>
        <w:rPr>
          <w:sz w:val="24"/>
        </w:rPr>
        <w:t>In January 1995, we were the first major airline to fully implement Ticketless Travel. Consequently, we are even less dependent on our competitors’ computer reservations systems to distribute Southwest travel. In addition, our People are also in the process of developing our own internal reservations system which will further improve our productivity.</w:t>
      </w:r>
    </w:p>
    <w:p>
      <w:pPr>
        <w:pStyle w:val="BodyText"/>
        <w:spacing w:before="7"/>
        <w:rPr>
          <w:sz w:val="31"/>
        </w:rPr>
      </w:pPr>
    </w:p>
    <w:p>
      <w:pPr>
        <w:spacing w:line="312" w:lineRule="auto" w:before="0"/>
        <w:ind w:left="220" w:right="240" w:firstLine="0"/>
        <w:jc w:val="left"/>
        <w:rPr>
          <w:sz w:val="24"/>
        </w:rPr>
      </w:pPr>
      <w:r>
        <w:rPr>
          <w:sz w:val="24"/>
        </w:rPr>
        <w:t>These accomplishments, along with our entry into Basic SABRE, resulted in permanent reductions in our distribution costs and demonstrate how our Employees never lose sight of Southwest’s number one competitive advantage—the lowest cost structure in the airline industry.</w:t>
      </w:r>
    </w:p>
    <w:p>
      <w:pPr>
        <w:pStyle w:val="BodyText"/>
        <w:spacing w:before="7"/>
        <w:rPr>
          <w:sz w:val="31"/>
        </w:rPr>
      </w:pPr>
    </w:p>
    <w:p>
      <w:pPr>
        <w:spacing w:line="312" w:lineRule="auto" w:before="0"/>
        <w:ind w:left="220" w:right="171" w:firstLine="0"/>
        <w:jc w:val="left"/>
        <w:rPr>
          <w:sz w:val="24"/>
        </w:rPr>
      </w:pPr>
      <w:r>
        <w:rPr>
          <w:sz w:val="24"/>
        </w:rPr>
        <w:t>Despite the intense competitive pressures we faced in 1995, our People remained focused on growing our market niche. We added 25 aircraft and increased our capacity by 12.6 percent. Although this was aggressive in the face of significantly increased competition, our Employees effectively managed the growth. We added only one new city, Omaha, which allowed our Employees to further develop our route system, including the seven cities we added in 1994.</w:t>
      </w:r>
    </w:p>
    <w:p>
      <w:pPr>
        <w:spacing w:line="312" w:lineRule="auto" w:before="3"/>
        <w:ind w:left="220" w:right="171" w:firstLine="0"/>
        <w:jc w:val="left"/>
        <w:rPr>
          <w:sz w:val="24"/>
        </w:rPr>
      </w:pPr>
      <w:r>
        <w:rPr>
          <w:sz w:val="24"/>
        </w:rPr>
        <w:t>We also increased the number of our daily flights in Nashville to 35 by the end of the year and are now Nashville’s largest carrier in terms of daily departures.</w:t>
      </w:r>
    </w:p>
    <w:p>
      <w:pPr>
        <w:pStyle w:val="BodyText"/>
        <w:spacing w:before="6"/>
        <w:rPr>
          <w:sz w:val="31"/>
        </w:rPr>
      </w:pPr>
    </w:p>
    <w:p>
      <w:pPr>
        <w:spacing w:line="312" w:lineRule="auto" w:before="0"/>
        <w:ind w:left="220" w:right="240" w:firstLine="0"/>
        <w:jc w:val="left"/>
        <w:rPr>
          <w:sz w:val="24"/>
        </w:rPr>
      </w:pPr>
      <w:r>
        <w:rPr>
          <w:sz w:val="24"/>
        </w:rPr>
        <w:t>In 1996, we will take delivery of 20 new Boeing 737-300 aircraft, of which 11 will be deployed in Florida service. We inaugurated service from Tampa and Ft.</w:t>
      </w:r>
    </w:p>
    <w:p>
      <w:pPr>
        <w:spacing w:line="312" w:lineRule="auto" w:before="3"/>
        <w:ind w:left="220" w:right="240" w:firstLine="0"/>
        <w:jc w:val="left"/>
        <w:rPr>
          <w:sz w:val="24"/>
        </w:rPr>
      </w:pPr>
      <w:r>
        <w:rPr>
          <w:sz w:val="24"/>
        </w:rPr>
        <w:t>Lauderdale on January 22, 1996 and will begin service from Orlando in April 1996.</w:t>
      </w:r>
    </w:p>
    <w:p>
      <w:pPr>
        <w:pStyle w:val="BodyText"/>
        <w:spacing w:before="7"/>
        <w:rPr>
          <w:sz w:val="31"/>
        </w:rPr>
      </w:pPr>
    </w:p>
    <w:p>
      <w:pPr>
        <w:spacing w:line="312" w:lineRule="auto" w:before="0"/>
        <w:ind w:left="220" w:right="240" w:firstLine="0"/>
        <w:jc w:val="left"/>
        <w:rPr>
          <w:sz w:val="24"/>
        </w:rPr>
      </w:pPr>
      <w:r>
        <w:rPr>
          <w:sz w:val="24"/>
        </w:rPr>
        <w:t>Our Employees made an enormous investment in Southwest during 1995 and thanks to their Southwest Spirit and “never stand still” attitude, Southwest is positioned stronger than ever to meet the challenges of our extremely competitive airline industry.</w:t>
      </w:r>
    </w:p>
    <w:p>
      <w:pPr>
        <w:pStyle w:val="BodyText"/>
        <w:spacing w:before="2"/>
        <w:rPr>
          <w:sz w:val="31"/>
        </w:rPr>
      </w:pPr>
    </w:p>
    <w:p>
      <w:pPr>
        <w:spacing w:before="0" w:after="7"/>
        <w:ind w:left="220" w:right="0" w:firstLine="0"/>
        <w:jc w:val="left"/>
        <w:rPr>
          <w:b/>
          <w:sz w:val="24"/>
        </w:rPr>
      </w:pPr>
      <w:r>
        <w:rPr>
          <w:b/>
          <w:sz w:val="24"/>
        </w:rPr>
        <w:t>Revenue Passengers Carried (in thousands)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080"/>
        <w:gridCol w:w="1075"/>
        <w:gridCol w:w="1075"/>
        <w:gridCol w:w="1075"/>
        <w:gridCol w:w="1075"/>
      </w:tblGrid>
      <w:tr>
        <w:trPr>
          <w:trHeight w:val="367" w:hRule="exact"/>
        </w:trPr>
        <w:tc>
          <w:tcPr>
            <w:tcW w:w="1080" w:type="dxa"/>
            <w:shd w:val="clear" w:color="auto" w:fill="666666"/>
          </w:tcPr>
          <w:p>
            <w:pPr>
              <w:pStyle w:val="TableParagraph"/>
              <w:spacing w:before="77"/>
              <w:ind w:left="144" w:right="145"/>
              <w:jc w:val="center"/>
              <w:rPr>
                <w:b/>
                <w:sz w:val="24"/>
              </w:rPr>
            </w:pPr>
            <w:r>
              <w:rPr>
                <w:b/>
                <w:color w:val="FFFFFF"/>
                <w:sz w:val="24"/>
                <w:u w:val="thick" w:color="FFFFFF"/>
              </w:rPr>
              <w:t>1991</w:t>
            </w:r>
          </w:p>
        </w:tc>
        <w:tc>
          <w:tcPr>
            <w:tcW w:w="1075" w:type="dxa"/>
            <w:shd w:val="clear" w:color="auto" w:fill="666666"/>
          </w:tcPr>
          <w:p>
            <w:pPr>
              <w:pStyle w:val="TableParagraph"/>
              <w:spacing w:before="77"/>
              <w:ind w:left="136" w:right="140"/>
              <w:jc w:val="center"/>
              <w:rPr>
                <w:b/>
                <w:sz w:val="24"/>
              </w:rPr>
            </w:pPr>
            <w:r>
              <w:rPr>
                <w:b/>
                <w:color w:val="FFFFFF"/>
                <w:sz w:val="24"/>
                <w:u w:val="thick" w:color="FFFFFF"/>
              </w:rPr>
              <w:t>1992</w:t>
            </w:r>
          </w:p>
        </w:tc>
        <w:tc>
          <w:tcPr>
            <w:tcW w:w="1075" w:type="dxa"/>
            <w:shd w:val="clear" w:color="auto" w:fill="666666"/>
          </w:tcPr>
          <w:p>
            <w:pPr>
              <w:pStyle w:val="TableParagraph"/>
              <w:spacing w:before="77"/>
              <w:ind w:left="136" w:right="140"/>
              <w:jc w:val="center"/>
              <w:rPr>
                <w:b/>
                <w:sz w:val="24"/>
              </w:rPr>
            </w:pPr>
            <w:r>
              <w:rPr>
                <w:b/>
                <w:color w:val="FFFFFF"/>
                <w:sz w:val="24"/>
                <w:u w:val="thick" w:color="FFFFFF"/>
              </w:rPr>
              <w:t>1993</w:t>
            </w:r>
          </w:p>
        </w:tc>
        <w:tc>
          <w:tcPr>
            <w:tcW w:w="1075" w:type="dxa"/>
            <w:shd w:val="clear" w:color="auto" w:fill="666666"/>
          </w:tcPr>
          <w:p>
            <w:pPr>
              <w:pStyle w:val="TableParagraph"/>
              <w:spacing w:before="77"/>
              <w:ind w:left="142" w:right="140"/>
              <w:jc w:val="center"/>
              <w:rPr>
                <w:b/>
                <w:sz w:val="24"/>
              </w:rPr>
            </w:pPr>
            <w:r>
              <w:rPr>
                <w:b/>
                <w:color w:val="FFFFFF"/>
                <w:sz w:val="24"/>
                <w:u w:val="thick" w:color="FFFFFF"/>
              </w:rPr>
              <w:t>1994</w:t>
            </w:r>
          </w:p>
        </w:tc>
        <w:tc>
          <w:tcPr>
            <w:tcW w:w="1075" w:type="dxa"/>
            <w:shd w:val="clear" w:color="auto" w:fill="666666"/>
          </w:tcPr>
          <w:p>
            <w:pPr>
              <w:pStyle w:val="TableParagraph"/>
              <w:spacing w:before="77"/>
              <w:ind w:left="142" w:right="140"/>
              <w:jc w:val="center"/>
              <w:rPr>
                <w:b/>
                <w:sz w:val="24"/>
              </w:rPr>
            </w:pPr>
            <w:r>
              <w:rPr>
                <w:b/>
                <w:color w:val="FFFFFF"/>
                <w:sz w:val="24"/>
                <w:u w:val="thick" w:color="FFFFFF"/>
              </w:rPr>
              <w:t>1995</w:t>
            </w:r>
          </w:p>
        </w:tc>
      </w:tr>
      <w:tr>
        <w:trPr>
          <w:trHeight w:val="382" w:hRule="exact"/>
        </w:trPr>
        <w:tc>
          <w:tcPr>
            <w:tcW w:w="1080" w:type="dxa"/>
          </w:tcPr>
          <w:p>
            <w:pPr>
              <w:pStyle w:val="TableParagraph"/>
              <w:spacing w:before="89"/>
              <w:ind w:left="145" w:right="145"/>
              <w:jc w:val="center"/>
              <w:rPr>
                <w:sz w:val="24"/>
              </w:rPr>
            </w:pPr>
            <w:r>
              <w:rPr>
                <w:sz w:val="24"/>
              </w:rPr>
              <w:t>22,670</w:t>
            </w:r>
          </w:p>
        </w:tc>
        <w:tc>
          <w:tcPr>
            <w:tcW w:w="1075" w:type="dxa"/>
          </w:tcPr>
          <w:p>
            <w:pPr>
              <w:pStyle w:val="TableParagraph"/>
              <w:spacing w:before="89"/>
              <w:ind w:left="138" w:right="140"/>
              <w:jc w:val="center"/>
              <w:rPr>
                <w:sz w:val="24"/>
              </w:rPr>
            </w:pPr>
            <w:r>
              <w:rPr>
                <w:sz w:val="24"/>
              </w:rPr>
              <w:t>27,839</w:t>
            </w:r>
          </w:p>
        </w:tc>
        <w:tc>
          <w:tcPr>
            <w:tcW w:w="1075" w:type="dxa"/>
          </w:tcPr>
          <w:p>
            <w:pPr>
              <w:pStyle w:val="TableParagraph"/>
              <w:spacing w:before="89"/>
              <w:ind w:left="138" w:right="140"/>
              <w:jc w:val="center"/>
              <w:rPr>
                <w:sz w:val="24"/>
              </w:rPr>
            </w:pPr>
            <w:r>
              <w:rPr>
                <w:sz w:val="24"/>
              </w:rPr>
              <w:t>36,955</w:t>
            </w:r>
          </w:p>
        </w:tc>
        <w:tc>
          <w:tcPr>
            <w:tcW w:w="1075" w:type="dxa"/>
          </w:tcPr>
          <w:p>
            <w:pPr>
              <w:pStyle w:val="TableParagraph"/>
              <w:spacing w:before="89"/>
              <w:ind w:left="142" w:right="137"/>
              <w:jc w:val="center"/>
              <w:rPr>
                <w:sz w:val="24"/>
              </w:rPr>
            </w:pPr>
            <w:r>
              <w:rPr>
                <w:sz w:val="24"/>
              </w:rPr>
              <w:t>42,743</w:t>
            </w:r>
          </w:p>
        </w:tc>
        <w:tc>
          <w:tcPr>
            <w:tcW w:w="1075" w:type="dxa"/>
          </w:tcPr>
          <w:p>
            <w:pPr>
              <w:pStyle w:val="TableParagraph"/>
              <w:spacing w:before="89"/>
              <w:ind w:left="142" w:right="137"/>
              <w:jc w:val="center"/>
              <w:rPr>
                <w:sz w:val="24"/>
              </w:rPr>
            </w:pPr>
            <w:r>
              <w:rPr>
                <w:sz w:val="24"/>
              </w:rPr>
              <w:t>44,786</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Revenue Passenger Miles (in millions)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080"/>
        <w:gridCol w:w="1075"/>
        <w:gridCol w:w="1075"/>
        <w:gridCol w:w="1075"/>
        <w:gridCol w:w="1075"/>
      </w:tblGrid>
      <w:tr>
        <w:trPr>
          <w:trHeight w:val="367" w:hRule="exact"/>
        </w:trPr>
        <w:tc>
          <w:tcPr>
            <w:tcW w:w="1080" w:type="dxa"/>
            <w:shd w:val="clear" w:color="auto" w:fill="666666"/>
          </w:tcPr>
          <w:p>
            <w:pPr>
              <w:pStyle w:val="TableParagraph"/>
              <w:spacing w:before="77"/>
              <w:ind w:left="105"/>
              <w:jc w:val="left"/>
              <w:rPr>
                <w:b/>
                <w:sz w:val="24"/>
              </w:rPr>
            </w:pPr>
            <w:r>
              <w:rPr>
                <w:b/>
                <w:color w:val="FFFFFF"/>
                <w:sz w:val="24"/>
                <w:u w:val="thick" w:color="FFFFFF"/>
              </w:rPr>
              <w:t>1991</w:t>
            </w:r>
          </w:p>
        </w:tc>
        <w:tc>
          <w:tcPr>
            <w:tcW w:w="1075" w:type="dxa"/>
            <w:shd w:val="clear" w:color="auto" w:fill="666666"/>
          </w:tcPr>
          <w:p>
            <w:pPr>
              <w:pStyle w:val="TableParagraph"/>
              <w:spacing w:before="77"/>
              <w:ind w:left="100"/>
              <w:jc w:val="left"/>
              <w:rPr>
                <w:b/>
                <w:sz w:val="24"/>
              </w:rPr>
            </w:pPr>
            <w:r>
              <w:rPr>
                <w:b/>
                <w:color w:val="FFFFFF"/>
                <w:sz w:val="24"/>
                <w:u w:val="thick" w:color="FFFFFF"/>
              </w:rPr>
              <w:t>1992</w:t>
            </w:r>
          </w:p>
        </w:tc>
        <w:tc>
          <w:tcPr>
            <w:tcW w:w="1075" w:type="dxa"/>
            <w:shd w:val="clear" w:color="auto" w:fill="666666"/>
          </w:tcPr>
          <w:p>
            <w:pPr>
              <w:pStyle w:val="TableParagraph"/>
              <w:spacing w:before="77"/>
              <w:ind w:left="100"/>
              <w:jc w:val="left"/>
              <w:rPr>
                <w:b/>
                <w:sz w:val="24"/>
              </w:rPr>
            </w:pPr>
            <w:r>
              <w:rPr>
                <w:b/>
                <w:color w:val="FFFFFF"/>
                <w:sz w:val="24"/>
                <w:u w:val="thick" w:color="FFFFFF"/>
              </w:rPr>
              <w:t>1993</w:t>
            </w:r>
          </w:p>
        </w:tc>
        <w:tc>
          <w:tcPr>
            <w:tcW w:w="1075" w:type="dxa"/>
            <w:shd w:val="clear" w:color="auto" w:fill="666666"/>
          </w:tcPr>
          <w:p>
            <w:pPr>
              <w:pStyle w:val="TableParagraph"/>
              <w:spacing w:before="77"/>
              <w:ind w:left="105"/>
              <w:jc w:val="left"/>
              <w:rPr>
                <w:b/>
                <w:sz w:val="24"/>
              </w:rPr>
            </w:pPr>
            <w:r>
              <w:rPr>
                <w:b/>
                <w:color w:val="FFFFFF"/>
                <w:sz w:val="24"/>
                <w:u w:val="thick" w:color="FFFFFF"/>
              </w:rPr>
              <w:t>1994</w:t>
            </w:r>
          </w:p>
        </w:tc>
        <w:tc>
          <w:tcPr>
            <w:tcW w:w="1075" w:type="dxa"/>
            <w:shd w:val="clear" w:color="auto" w:fill="666666"/>
          </w:tcPr>
          <w:p>
            <w:pPr>
              <w:pStyle w:val="TableParagraph"/>
              <w:spacing w:before="77"/>
              <w:ind w:left="105"/>
              <w:jc w:val="left"/>
              <w:rPr>
                <w:b/>
                <w:sz w:val="24"/>
              </w:rPr>
            </w:pPr>
            <w:r>
              <w:rPr>
                <w:b/>
                <w:color w:val="FFFFFF"/>
                <w:sz w:val="24"/>
                <w:u w:val="thick" w:color="FFFFFF"/>
              </w:rPr>
              <w:t>1995</w:t>
            </w:r>
          </w:p>
        </w:tc>
      </w:tr>
      <w:tr>
        <w:trPr>
          <w:trHeight w:val="382" w:hRule="exact"/>
        </w:trPr>
        <w:tc>
          <w:tcPr>
            <w:tcW w:w="1080" w:type="dxa"/>
          </w:tcPr>
          <w:p>
            <w:pPr>
              <w:pStyle w:val="TableParagraph"/>
              <w:spacing w:before="89"/>
              <w:ind w:left="105"/>
              <w:jc w:val="left"/>
              <w:rPr>
                <w:sz w:val="24"/>
              </w:rPr>
            </w:pPr>
            <w:r>
              <w:rPr>
                <w:sz w:val="24"/>
              </w:rPr>
              <w:t>11,296</w:t>
            </w:r>
          </w:p>
        </w:tc>
        <w:tc>
          <w:tcPr>
            <w:tcW w:w="1075" w:type="dxa"/>
          </w:tcPr>
          <w:p>
            <w:pPr>
              <w:pStyle w:val="TableParagraph"/>
              <w:spacing w:before="89"/>
              <w:ind w:left="100"/>
              <w:jc w:val="left"/>
              <w:rPr>
                <w:sz w:val="24"/>
              </w:rPr>
            </w:pPr>
            <w:r>
              <w:rPr>
                <w:sz w:val="24"/>
              </w:rPr>
              <w:t>13,787</w:t>
            </w:r>
          </w:p>
        </w:tc>
        <w:tc>
          <w:tcPr>
            <w:tcW w:w="1075" w:type="dxa"/>
          </w:tcPr>
          <w:p>
            <w:pPr>
              <w:pStyle w:val="TableParagraph"/>
              <w:spacing w:before="89"/>
              <w:ind w:left="100"/>
              <w:jc w:val="left"/>
              <w:rPr>
                <w:sz w:val="24"/>
              </w:rPr>
            </w:pPr>
            <w:r>
              <w:rPr>
                <w:sz w:val="24"/>
              </w:rPr>
              <w:t>18,827</w:t>
            </w:r>
          </w:p>
        </w:tc>
        <w:tc>
          <w:tcPr>
            <w:tcW w:w="1075" w:type="dxa"/>
          </w:tcPr>
          <w:p>
            <w:pPr>
              <w:pStyle w:val="TableParagraph"/>
              <w:spacing w:before="89"/>
              <w:ind w:left="105"/>
              <w:jc w:val="left"/>
              <w:rPr>
                <w:sz w:val="24"/>
              </w:rPr>
            </w:pPr>
            <w:r>
              <w:rPr>
                <w:sz w:val="24"/>
              </w:rPr>
              <w:t>21,611</w:t>
            </w:r>
          </w:p>
        </w:tc>
        <w:tc>
          <w:tcPr>
            <w:tcW w:w="1075" w:type="dxa"/>
          </w:tcPr>
          <w:p>
            <w:pPr>
              <w:pStyle w:val="TableParagraph"/>
              <w:spacing w:before="89"/>
              <w:ind w:left="105"/>
              <w:jc w:val="left"/>
              <w:rPr>
                <w:sz w:val="24"/>
              </w:rPr>
            </w:pPr>
            <w:r>
              <w:rPr>
                <w:sz w:val="24"/>
              </w:rPr>
              <w:t>23,328</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560" w:bottom="980" w:left="1580" w:right="1680"/>
        </w:sectPr>
      </w:pPr>
    </w:p>
    <w:p>
      <w:pPr>
        <w:pStyle w:val="Heading1"/>
        <w:spacing w:before="69"/>
      </w:pPr>
      <w:r>
        <w:rPr/>
        <w:t>SECRET NUMBER 6</w:t>
      </w:r>
    </w:p>
    <w:p>
      <w:pPr>
        <w:spacing w:before="83"/>
        <w:ind w:left="100" w:right="0" w:firstLine="0"/>
        <w:jc w:val="left"/>
        <w:rPr>
          <w:b/>
          <w:sz w:val="24"/>
        </w:rPr>
      </w:pPr>
      <w:r>
        <w:rPr>
          <w:b/>
          <w:sz w:val="24"/>
        </w:rPr>
        <w:t>Hire great People.</w:t>
      </w:r>
    </w:p>
    <w:p>
      <w:pPr>
        <w:pStyle w:val="BodyText"/>
        <w:spacing w:before="11"/>
        <w:rPr>
          <w:b/>
          <w:sz w:val="38"/>
        </w:rPr>
      </w:pPr>
    </w:p>
    <w:p>
      <w:pPr>
        <w:spacing w:line="312" w:lineRule="auto" w:before="0"/>
        <w:ind w:left="1900" w:right="267" w:firstLine="0"/>
        <w:jc w:val="left"/>
        <w:rPr>
          <w:sz w:val="24"/>
        </w:rPr>
      </w:pPr>
      <w:r>
        <w:rPr>
          <w:sz w:val="24"/>
        </w:rPr>
        <w:t>Southwest Airlines is a </w:t>
      </w:r>
      <w:r>
        <w:rPr>
          <w:sz w:val="24"/>
          <w:u w:val="single"/>
        </w:rPr>
        <w:t>People </w:t>
      </w:r>
      <w:r>
        <w:rPr>
          <w:sz w:val="24"/>
        </w:rPr>
        <w:t>Company. Spirited, altruistic, fun-loving Employees who work hard, follow The Golden Rule, and provide the best Customer Service in America. It’s how we earn our wings.</w:t>
      </w:r>
    </w:p>
    <w:p>
      <w:pPr>
        <w:pStyle w:val="BodyText"/>
        <w:spacing w:before="7"/>
        <w:rPr>
          <w:sz w:val="31"/>
        </w:rPr>
      </w:pPr>
    </w:p>
    <w:p>
      <w:pPr>
        <w:spacing w:line="312" w:lineRule="auto" w:before="0"/>
        <w:ind w:left="1900" w:right="0" w:firstLine="0"/>
        <w:jc w:val="left"/>
        <w:rPr>
          <w:sz w:val="24"/>
        </w:rPr>
      </w:pPr>
      <w:r>
        <w:rPr>
          <w:sz w:val="24"/>
        </w:rPr>
        <w:t>“We hire People who color outside the lines—creative, caring People who provide Positively Outrageous Service.”</w:t>
      </w:r>
    </w:p>
    <w:p>
      <w:pPr>
        <w:spacing w:line="312" w:lineRule="auto" w:before="3"/>
        <w:ind w:left="6061" w:right="316" w:hanging="20"/>
        <w:jc w:val="left"/>
        <w:rPr>
          <w:sz w:val="24"/>
        </w:rPr>
      </w:pPr>
      <w:r>
        <w:rPr>
          <w:sz w:val="24"/>
        </w:rPr>
        <w:t>Elizabeth P. Sartain Vice President-People</w:t>
      </w:r>
    </w:p>
    <w:p>
      <w:pPr>
        <w:pStyle w:val="BodyText"/>
        <w:spacing w:before="6"/>
        <w:rPr>
          <w:sz w:val="31"/>
        </w:rPr>
      </w:pPr>
    </w:p>
    <w:p>
      <w:pPr>
        <w:spacing w:line="312" w:lineRule="auto" w:before="0"/>
        <w:ind w:left="100" w:right="377" w:firstLine="0"/>
        <w:jc w:val="both"/>
        <w:rPr>
          <w:sz w:val="24"/>
        </w:rPr>
      </w:pPr>
      <w:r>
        <w:rPr>
          <w:sz w:val="24"/>
        </w:rPr>
        <w:t>Southwest Airlines believes our number one asset is our People; therefore, we devote a significant amount of time and effort hiring, training, and retaining our Employees.</w:t>
      </w:r>
    </w:p>
    <w:p>
      <w:pPr>
        <w:pStyle w:val="BodyText"/>
        <w:spacing w:before="6"/>
        <w:rPr>
          <w:sz w:val="31"/>
        </w:rPr>
      </w:pPr>
    </w:p>
    <w:p>
      <w:pPr>
        <w:spacing w:line="312" w:lineRule="auto" w:before="0"/>
        <w:ind w:left="100" w:right="256" w:firstLine="0"/>
        <w:jc w:val="left"/>
        <w:rPr>
          <w:sz w:val="24"/>
        </w:rPr>
      </w:pPr>
      <w:r>
        <w:rPr>
          <w:sz w:val="24"/>
        </w:rPr>
        <w:t>At Southwest, we are not interested in hiring clones. We target individuals from diverse backgrounds who will support and enhance our Culture. Regardless of the job, we hire People with attitudes that are outrageously positive. Our Employees enjoy working together as a team and take pleasure in team results, rather than emphasizing individual accomplishments.</w:t>
      </w:r>
    </w:p>
    <w:p>
      <w:pPr>
        <w:pStyle w:val="BodyText"/>
        <w:spacing w:before="6"/>
        <w:rPr>
          <w:sz w:val="31"/>
        </w:rPr>
      </w:pPr>
    </w:p>
    <w:p>
      <w:pPr>
        <w:spacing w:line="312" w:lineRule="auto" w:before="0"/>
        <w:ind w:left="100" w:right="256" w:firstLine="0"/>
        <w:jc w:val="left"/>
        <w:rPr>
          <w:sz w:val="24"/>
        </w:rPr>
      </w:pPr>
      <w:r>
        <w:rPr>
          <w:sz w:val="24"/>
        </w:rPr>
        <w:t>Southwest Employees are not afraid to “color outside the lines.” We encourage our Employees to be creative and have fun on the job. As a result, our Employees tend to go out of their way to ensure our Customers have an enjoyable and memorable flight. Although our Employees take our Customers very seriously, they do not take themselves seriously. They are warm, caring, compassionate, and always willing to go the extra mile to deliver Positively Outrageous Service to our Customers as well as the communities we serve.</w:t>
      </w:r>
    </w:p>
    <w:p>
      <w:pPr>
        <w:pStyle w:val="BodyText"/>
        <w:spacing w:before="6"/>
        <w:rPr>
          <w:sz w:val="31"/>
        </w:rPr>
      </w:pPr>
    </w:p>
    <w:p>
      <w:pPr>
        <w:spacing w:line="312" w:lineRule="auto" w:before="0"/>
        <w:ind w:left="100" w:right="0" w:firstLine="0"/>
        <w:jc w:val="left"/>
        <w:rPr>
          <w:sz w:val="24"/>
        </w:rPr>
      </w:pPr>
      <w:r>
        <w:rPr>
          <w:sz w:val="24"/>
        </w:rPr>
        <w:t>Finding a person who fits that bill is not an easy task! In fact, we accepted approximately 124,000 external job applications in 1995 and interviewed 38,000 individuals for 5,473 positions.</w:t>
      </w:r>
    </w:p>
    <w:p>
      <w:pPr>
        <w:spacing w:after="0" w:line="312" w:lineRule="auto"/>
        <w:jc w:val="left"/>
        <w:rPr>
          <w:sz w:val="24"/>
        </w:rPr>
        <w:sectPr>
          <w:pgSz w:w="12240" w:h="15840"/>
          <w:pgMar w:header="0" w:footer="790" w:top="1280" w:bottom="980" w:left="1700" w:right="1680"/>
        </w:sectPr>
      </w:pPr>
    </w:p>
    <w:p>
      <w:pPr>
        <w:spacing w:line="312" w:lineRule="auto" w:before="74"/>
        <w:ind w:left="220" w:right="240" w:firstLine="0"/>
        <w:jc w:val="left"/>
        <w:rPr>
          <w:sz w:val="24"/>
        </w:rPr>
      </w:pPr>
      <w:r>
        <w:rPr>
          <w:sz w:val="24"/>
        </w:rPr>
        <w:t>Once Southwest hires someone to join our Family, we focus on nurturing and developing that Employee. We provide exceptional training programs which are specifically designed to help our Employees excel and succeed in an extremely competitive and dynamic environment.</w:t>
      </w:r>
    </w:p>
    <w:p>
      <w:pPr>
        <w:pStyle w:val="BodyText"/>
        <w:spacing w:before="7"/>
        <w:rPr>
          <w:sz w:val="31"/>
        </w:rPr>
      </w:pPr>
    </w:p>
    <w:p>
      <w:pPr>
        <w:spacing w:line="312" w:lineRule="auto" w:before="0"/>
        <w:ind w:left="220" w:right="186" w:firstLine="0"/>
        <w:jc w:val="left"/>
        <w:rPr>
          <w:sz w:val="24"/>
        </w:rPr>
      </w:pPr>
      <w:r>
        <w:rPr>
          <w:spacing w:val="2"/>
          <w:sz w:val="24"/>
        </w:rPr>
        <w:t>Without </w:t>
      </w:r>
      <w:r>
        <w:rPr>
          <w:sz w:val="24"/>
        </w:rPr>
        <w:t>sufficient retention of our incredibly talented Employees, our recruiting, hiring, and training efforts would be in vain. </w:t>
      </w:r>
      <w:r>
        <w:rPr>
          <w:spacing w:val="3"/>
          <w:sz w:val="24"/>
        </w:rPr>
        <w:t>What </w:t>
      </w:r>
      <w:r>
        <w:rPr>
          <w:sz w:val="24"/>
        </w:rPr>
        <w:t>is our secret? Although </w:t>
      </w:r>
      <w:r>
        <w:rPr>
          <w:spacing w:val="-3"/>
          <w:sz w:val="24"/>
        </w:rPr>
        <w:t>we </w:t>
      </w:r>
      <w:r>
        <w:rPr>
          <w:sz w:val="24"/>
        </w:rPr>
        <w:t>offer competitive compensation packages, including, among other things, competitive wages and generous profitsharing, it is the psychic satisfaction of pride, excitement, fun, and collective fulfillment that is the key to our Culture and retaining the best Employees in</w:t>
      </w:r>
      <w:r>
        <w:rPr>
          <w:spacing w:val="4"/>
          <w:sz w:val="24"/>
        </w:rPr>
        <w:t> </w:t>
      </w:r>
      <w:r>
        <w:rPr>
          <w:sz w:val="24"/>
        </w:rPr>
        <w:t>America.</w:t>
      </w:r>
    </w:p>
    <w:p>
      <w:pPr>
        <w:pStyle w:val="BodyText"/>
        <w:spacing w:before="7"/>
        <w:rPr>
          <w:sz w:val="31"/>
        </w:rPr>
      </w:pPr>
    </w:p>
    <w:p>
      <w:pPr>
        <w:spacing w:line="312" w:lineRule="auto" w:before="0"/>
        <w:ind w:left="220" w:right="283" w:firstLine="0"/>
        <w:jc w:val="left"/>
        <w:rPr>
          <w:sz w:val="24"/>
        </w:rPr>
      </w:pPr>
      <w:r>
        <w:rPr>
          <w:sz w:val="24"/>
        </w:rPr>
        <w:t>It is Southwest’s philosophy that Employees with a sense of ownership in the Company will focus more on longterm versus shortterm goals. Empowerment to each and every Employee not only provides high spirit but avoids complacency and prevents a hierarchy or bureaucracy from slowing down creativity and innovation. In other words, the Southwest Spirit and Culture enhance job satisfaction which translates into thousands and thousands of longterm dedicated Employees.</w:t>
      </w:r>
    </w:p>
    <w:p>
      <w:pPr>
        <w:pStyle w:val="BodyText"/>
        <w:spacing w:before="7"/>
        <w:rPr>
          <w:sz w:val="31"/>
        </w:rPr>
      </w:pPr>
    </w:p>
    <w:p>
      <w:pPr>
        <w:spacing w:line="312" w:lineRule="auto" w:before="0"/>
        <w:ind w:left="220" w:right="240" w:firstLine="0"/>
        <w:jc w:val="left"/>
        <w:rPr>
          <w:sz w:val="24"/>
        </w:rPr>
      </w:pPr>
      <w:r>
        <w:rPr>
          <w:sz w:val="24"/>
        </w:rPr>
        <w:t>In every respect, our Employees are the best. And even though our competition may try to imitate Southwest, they cannot duplicate the most important element of our success—the Southwest Spirit inherent in each and every one of our 20,000 Employees.</w:t>
      </w:r>
    </w:p>
    <w:p>
      <w:pPr>
        <w:pStyle w:val="BodyText"/>
        <w:spacing w:before="2"/>
        <w:rPr>
          <w:sz w:val="31"/>
        </w:rPr>
      </w:pPr>
    </w:p>
    <w:p>
      <w:pPr>
        <w:spacing w:before="0" w:after="6"/>
        <w:ind w:left="220" w:right="0" w:firstLine="0"/>
        <w:jc w:val="left"/>
        <w:rPr>
          <w:b/>
          <w:sz w:val="24"/>
        </w:rPr>
      </w:pPr>
      <w:r>
        <w:rPr>
          <w:b/>
          <w:sz w:val="24"/>
        </w:rPr>
        <w:t>Available Seat Miles (in millions)</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8"/>
              <w:jc w:val="center"/>
              <w:rPr>
                <w:sz w:val="24"/>
              </w:rPr>
            </w:pPr>
            <w:r>
              <w:rPr>
                <w:sz w:val="24"/>
              </w:rPr>
              <w:t>18,491</w:t>
            </w:r>
          </w:p>
        </w:tc>
        <w:tc>
          <w:tcPr>
            <w:tcW w:w="1440" w:type="dxa"/>
          </w:tcPr>
          <w:p>
            <w:pPr>
              <w:pStyle w:val="TableParagraph"/>
              <w:spacing w:before="82"/>
              <w:ind w:left="324" w:right="326"/>
              <w:jc w:val="center"/>
              <w:rPr>
                <w:sz w:val="24"/>
              </w:rPr>
            </w:pPr>
            <w:r>
              <w:rPr>
                <w:sz w:val="24"/>
              </w:rPr>
              <w:t>21,367</w:t>
            </w:r>
          </w:p>
        </w:tc>
        <w:tc>
          <w:tcPr>
            <w:tcW w:w="1440" w:type="dxa"/>
          </w:tcPr>
          <w:p>
            <w:pPr>
              <w:pStyle w:val="TableParagraph"/>
              <w:spacing w:before="82"/>
              <w:ind w:left="324" w:right="326"/>
              <w:jc w:val="center"/>
              <w:rPr>
                <w:sz w:val="24"/>
              </w:rPr>
            </w:pPr>
            <w:r>
              <w:rPr>
                <w:sz w:val="24"/>
              </w:rPr>
              <w:t>27,511</w:t>
            </w:r>
          </w:p>
        </w:tc>
        <w:tc>
          <w:tcPr>
            <w:tcW w:w="1440" w:type="dxa"/>
          </w:tcPr>
          <w:p>
            <w:pPr>
              <w:pStyle w:val="TableParagraph"/>
              <w:spacing w:before="82"/>
              <w:ind w:left="324" w:right="326"/>
              <w:jc w:val="center"/>
              <w:rPr>
                <w:sz w:val="24"/>
              </w:rPr>
            </w:pPr>
            <w:r>
              <w:rPr>
                <w:sz w:val="24"/>
              </w:rPr>
              <w:t>32,124</w:t>
            </w:r>
          </w:p>
        </w:tc>
        <w:tc>
          <w:tcPr>
            <w:tcW w:w="1440" w:type="dxa"/>
          </w:tcPr>
          <w:p>
            <w:pPr>
              <w:pStyle w:val="TableParagraph"/>
              <w:spacing w:before="82"/>
              <w:ind w:left="324" w:right="326"/>
              <w:jc w:val="center"/>
              <w:rPr>
                <w:sz w:val="24"/>
              </w:rPr>
            </w:pPr>
            <w:r>
              <w:rPr>
                <w:sz w:val="24"/>
              </w:rPr>
              <w:t>36,180</w:t>
            </w:r>
          </w:p>
        </w:tc>
      </w:tr>
    </w:tbl>
    <w:p>
      <w:pPr>
        <w:spacing w:before="148"/>
        <w:ind w:left="220" w:right="0" w:firstLine="0"/>
        <w:jc w:val="left"/>
        <w:rPr>
          <w:sz w:val="18"/>
        </w:rPr>
      </w:pPr>
      <w:r>
        <w:rPr>
          <w:sz w:val="18"/>
        </w:rPr>
        <w:t>Scheduled Service Only</w:t>
      </w:r>
    </w:p>
    <w:p>
      <w:pPr>
        <w:pStyle w:val="BodyText"/>
      </w:pPr>
    </w:p>
    <w:p>
      <w:pPr>
        <w:pStyle w:val="BodyText"/>
        <w:spacing w:before="5"/>
        <w:rPr>
          <w:sz w:val="18"/>
        </w:rPr>
      </w:pPr>
    </w:p>
    <w:p>
      <w:pPr>
        <w:pStyle w:val="Heading1"/>
        <w:spacing w:after="6"/>
        <w:ind w:left="220"/>
      </w:pPr>
      <w:r>
        <w:rPr/>
        <w:t>Passenger Load Factor</w:t>
      </w:r>
    </w:p>
    <w:tbl>
      <w:tblPr>
        <w:tblW w:w="0" w:type="auto"/>
        <w:jc w:val="left"/>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1445"/>
        <w:gridCol w:w="1440"/>
        <w:gridCol w:w="1440"/>
        <w:gridCol w:w="1440"/>
        <w:gridCol w:w="1440"/>
      </w:tblGrid>
      <w:tr>
        <w:trPr>
          <w:trHeight w:val="374" w:hRule="exact"/>
        </w:trPr>
        <w:tc>
          <w:tcPr>
            <w:tcW w:w="1445" w:type="dxa"/>
            <w:shd w:val="clear" w:color="auto" w:fill="666666"/>
          </w:tcPr>
          <w:p>
            <w:pPr>
              <w:pStyle w:val="TableParagraph"/>
              <w:spacing w:before="77"/>
              <w:ind w:left="327" w:right="328"/>
              <w:jc w:val="center"/>
              <w:rPr>
                <w:b/>
                <w:sz w:val="24"/>
              </w:rPr>
            </w:pPr>
            <w:r>
              <w:rPr>
                <w:b/>
                <w:color w:val="FFFFFF"/>
                <w:sz w:val="24"/>
              </w:rPr>
              <w:t>1991</w:t>
            </w:r>
          </w:p>
        </w:tc>
        <w:tc>
          <w:tcPr>
            <w:tcW w:w="1440" w:type="dxa"/>
            <w:shd w:val="clear" w:color="auto" w:fill="666666"/>
          </w:tcPr>
          <w:p>
            <w:pPr>
              <w:pStyle w:val="TableParagraph"/>
              <w:spacing w:before="77"/>
              <w:ind w:left="322" w:right="326"/>
              <w:jc w:val="center"/>
              <w:rPr>
                <w:b/>
                <w:sz w:val="24"/>
              </w:rPr>
            </w:pPr>
            <w:r>
              <w:rPr>
                <w:b/>
                <w:color w:val="FFFFFF"/>
                <w:sz w:val="24"/>
              </w:rPr>
              <w:t>1992</w:t>
            </w:r>
          </w:p>
        </w:tc>
        <w:tc>
          <w:tcPr>
            <w:tcW w:w="1440" w:type="dxa"/>
            <w:shd w:val="clear" w:color="auto" w:fill="666666"/>
          </w:tcPr>
          <w:p>
            <w:pPr>
              <w:pStyle w:val="TableParagraph"/>
              <w:spacing w:before="77"/>
              <w:ind w:left="322" w:right="326"/>
              <w:jc w:val="center"/>
              <w:rPr>
                <w:b/>
                <w:sz w:val="24"/>
              </w:rPr>
            </w:pPr>
            <w:r>
              <w:rPr>
                <w:b/>
                <w:color w:val="FFFFFF"/>
                <w:sz w:val="24"/>
              </w:rPr>
              <w:t>1993</w:t>
            </w:r>
          </w:p>
        </w:tc>
        <w:tc>
          <w:tcPr>
            <w:tcW w:w="1440" w:type="dxa"/>
            <w:shd w:val="clear" w:color="auto" w:fill="666666"/>
          </w:tcPr>
          <w:p>
            <w:pPr>
              <w:pStyle w:val="TableParagraph"/>
              <w:spacing w:before="77"/>
              <w:ind w:left="322" w:right="326"/>
              <w:jc w:val="center"/>
              <w:rPr>
                <w:b/>
                <w:sz w:val="24"/>
              </w:rPr>
            </w:pPr>
            <w:r>
              <w:rPr>
                <w:b/>
                <w:color w:val="FFFFFF"/>
                <w:sz w:val="24"/>
              </w:rPr>
              <w:t>1994</w:t>
            </w:r>
          </w:p>
        </w:tc>
        <w:tc>
          <w:tcPr>
            <w:tcW w:w="1440" w:type="dxa"/>
            <w:shd w:val="clear" w:color="auto" w:fill="666666"/>
          </w:tcPr>
          <w:p>
            <w:pPr>
              <w:pStyle w:val="TableParagraph"/>
              <w:spacing w:before="77"/>
              <w:ind w:left="322" w:right="326"/>
              <w:jc w:val="center"/>
              <w:rPr>
                <w:b/>
                <w:sz w:val="24"/>
              </w:rPr>
            </w:pPr>
            <w:r>
              <w:rPr>
                <w:b/>
                <w:color w:val="FFFFFF"/>
                <w:sz w:val="24"/>
              </w:rPr>
              <w:t>1995</w:t>
            </w:r>
          </w:p>
        </w:tc>
      </w:tr>
      <w:tr>
        <w:trPr>
          <w:trHeight w:val="374" w:hRule="exact"/>
        </w:trPr>
        <w:tc>
          <w:tcPr>
            <w:tcW w:w="1445" w:type="dxa"/>
          </w:tcPr>
          <w:p>
            <w:pPr>
              <w:pStyle w:val="TableParagraph"/>
              <w:spacing w:before="82"/>
              <w:ind w:left="328" w:right="325"/>
              <w:jc w:val="center"/>
              <w:rPr>
                <w:sz w:val="24"/>
              </w:rPr>
            </w:pPr>
            <w:r>
              <w:rPr>
                <w:sz w:val="24"/>
              </w:rPr>
              <w:t>61.1%</w:t>
            </w:r>
          </w:p>
        </w:tc>
        <w:tc>
          <w:tcPr>
            <w:tcW w:w="1440" w:type="dxa"/>
          </w:tcPr>
          <w:p>
            <w:pPr>
              <w:pStyle w:val="TableParagraph"/>
              <w:spacing w:before="82"/>
              <w:ind w:left="324" w:right="325"/>
              <w:jc w:val="center"/>
              <w:rPr>
                <w:sz w:val="24"/>
              </w:rPr>
            </w:pPr>
            <w:r>
              <w:rPr>
                <w:sz w:val="24"/>
              </w:rPr>
              <w:t>64.5%</w:t>
            </w:r>
          </w:p>
        </w:tc>
        <w:tc>
          <w:tcPr>
            <w:tcW w:w="1440" w:type="dxa"/>
          </w:tcPr>
          <w:p>
            <w:pPr>
              <w:pStyle w:val="TableParagraph"/>
              <w:spacing w:before="82"/>
              <w:ind w:left="324" w:right="325"/>
              <w:jc w:val="center"/>
              <w:rPr>
                <w:sz w:val="24"/>
              </w:rPr>
            </w:pPr>
            <w:r>
              <w:rPr>
                <w:sz w:val="24"/>
              </w:rPr>
              <w:t>68.4%</w:t>
            </w:r>
          </w:p>
        </w:tc>
        <w:tc>
          <w:tcPr>
            <w:tcW w:w="1440" w:type="dxa"/>
          </w:tcPr>
          <w:p>
            <w:pPr>
              <w:pStyle w:val="TableParagraph"/>
              <w:spacing w:before="82"/>
              <w:ind w:left="324" w:right="325"/>
              <w:jc w:val="center"/>
              <w:rPr>
                <w:sz w:val="24"/>
              </w:rPr>
            </w:pPr>
            <w:r>
              <w:rPr>
                <w:sz w:val="24"/>
              </w:rPr>
              <w:t>67.3%</w:t>
            </w:r>
          </w:p>
        </w:tc>
        <w:tc>
          <w:tcPr>
            <w:tcW w:w="1440" w:type="dxa"/>
          </w:tcPr>
          <w:p>
            <w:pPr>
              <w:pStyle w:val="TableParagraph"/>
              <w:spacing w:before="82"/>
              <w:ind w:left="324" w:right="325"/>
              <w:jc w:val="center"/>
              <w:rPr>
                <w:sz w:val="24"/>
              </w:rPr>
            </w:pPr>
            <w:r>
              <w:rPr>
                <w:sz w:val="24"/>
              </w:rPr>
              <w:t>64.5%</w:t>
            </w:r>
          </w:p>
        </w:tc>
      </w:tr>
    </w:tbl>
    <w:p>
      <w:pPr>
        <w:spacing w:before="148"/>
        <w:ind w:left="220" w:right="0" w:firstLine="0"/>
        <w:jc w:val="left"/>
        <w:rPr>
          <w:sz w:val="18"/>
        </w:rPr>
      </w:pPr>
      <w:r>
        <w:rPr>
          <w:sz w:val="18"/>
        </w:rPr>
        <w:t>Scheduled Service Only</w:t>
      </w:r>
    </w:p>
    <w:p>
      <w:pPr>
        <w:spacing w:after="0"/>
        <w:jc w:val="left"/>
        <w:rPr>
          <w:sz w:val="18"/>
        </w:rPr>
        <w:sectPr>
          <w:pgSz w:w="12240" w:h="15840"/>
          <w:pgMar w:header="0" w:footer="790" w:top="1280" w:bottom="980" w:left="1580" w:right="1680"/>
        </w:sectPr>
      </w:pPr>
    </w:p>
    <w:p>
      <w:pPr>
        <w:pStyle w:val="Heading1"/>
        <w:spacing w:before="69"/>
      </w:pPr>
      <w:bookmarkStart w:name="_TOC_250003" w:id="2"/>
      <w:bookmarkEnd w:id="2"/>
      <w:r>
        <w:rPr/>
        <w:t>Looking ahead.</w:t>
      </w:r>
    </w:p>
    <w:p>
      <w:pPr>
        <w:pStyle w:val="BodyText"/>
        <w:rPr>
          <w:b/>
          <w:sz w:val="26"/>
        </w:rPr>
      </w:pPr>
    </w:p>
    <w:p>
      <w:pPr>
        <w:spacing w:line="312" w:lineRule="auto" w:before="149"/>
        <w:ind w:left="100" w:right="168" w:firstLine="0"/>
        <w:jc w:val="left"/>
        <w:rPr>
          <w:sz w:val="24"/>
        </w:rPr>
      </w:pPr>
      <w:r>
        <w:rPr>
          <w:sz w:val="24"/>
        </w:rPr>
        <w:t>As </w:t>
      </w:r>
      <w:r>
        <w:rPr>
          <w:spacing w:val="-3"/>
          <w:sz w:val="24"/>
        </w:rPr>
        <w:t>we </w:t>
      </w:r>
      <w:r>
        <w:rPr>
          <w:sz w:val="24"/>
        </w:rPr>
        <w:t>enter our 25th Anniversary of operations in 1996, </w:t>
      </w:r>
      <w:r>
        <w:rPr>
          <w:spacing w:val="-3"/>
          <w:sz w:val="24"/>
        </w:rPr>
        <w:t>we </w:t>
      </w:r>
      <w:r>
        <w:rPr>
          <w:sz w:val="24"/>
        </w:rPr>
        <w:t>believe </w:t>
      </w:r>
      <w:r>
        <w:rPr>
          <w:spacing w:val="-3"/>
          <w:sz w:val="24"/>
        </w:rPr>
        <w:t>we </w:t>
      </w:r>
      <w:r>
        <w:rPr>
          <w:sz w:val="24"/>
        </w:rPr>
        <w:t>are positioned strategically stronger than ever to meet the many challenges </w:t>
      </w:r>
      <w:r>
        <w:rPr>
          <w:spacing w:val="-3"/>
          <w:sz w:val="24"/>
        </w:rPr>
        <w:t>we </w:t>
      </w:r>
      <w:r>
        <w:rPr>
          <w:sz w:val="24"/>
        </w:rPr>
        <w:t>will undoubtedly face over the next 25 years. Competitive pressures have somewhat stabilized as the industry consolidates hubs and limits capacity growth. </w:t>
      </w:r>
      <w:r>
        <w:rPr>
          <w:spacing w:val="6"/>
          <w:sz w:val="24"/>
        </w:rPr>
        <w:t>We </w:t>
      </w:r>
      <w:r>
        <w:rPr>
          <w:sz w:val="24"/>
        </w:rPr>
        <w:t>have significantly enhanced our distribution capabilities, thereby reducing our dependence on our competitors’ computer reservations systems. Although </w:t>
      </w:r>
      <w:r>
        <w:rPr>
          <w:spacing w:val="-3"/>
          <w:sz w:val="24"/>
        </w:rPr>
        <w:t>we </w:t>
      </w:r>
      <w:r>
        <w:rPr>
          <w:sz w:val="24"/>
        </w:rPr>
        <w:t>have been adversely impacted by the </w:t>
      </w:r>
      <w:r>
        <w:rPr>
          <w:spacing w:val="2"/>
          <w:sz w:val="24"/>
        </w:rPr>
        <w:t>recent </w:t>
      </w:r>
      <w:r>
        <w:rPr>
          <w:sz w:val="24"/>
        </w:rPr>
        <w:t>airline industry fuel tax, </w:t>
      </w:r>
      <w:r>
        <w:rPr>
          <w:spacing w:val="-3"/>
          <w:sz w:val="24"/>
        </w:rPr>
        <w:t>we </w:t>
      </w:r>
      <w:r>
        <w:rPr>
          <w:sz w:val="24"/>
        </w:rPr>
        <w:t>remain the low cost producer in the industry and will continue our ongoing, intense efforts to maintain our position as </w:t>
      </w:r>
      <w:r>
        <w:rPr>
          <w:sz w:val="24"/>
          <w:u w:val="single"/>
        </w:rPr>
        <w:t>THE </w:t>
      </w:r>
      <w:r>
        <w:rPr>
          <w:sz w:val="24"/>
        </w:rPr>
        <w:t>Low Cost</w:t>
      </w:r>
      <w:r>
        <w:rPr>
          <w:spacing w:val="17"/>
          <w:sz w:val="24"/>
        </w:rPr>
        <w:t> </w:t>
      </w:r>
      <w:r>
        <w:rPr>
          <w:sz w:val="24"/>
        </w:rPr>
        <w:t>Airline.</w:t>
      </w:r>
    </w:p>
    <w:p>
      <w:pPr>
        <w:pStyle w:val="BodyText"/>
        <w:spacing w:before="6"/>
        <w:rPr>
          <w:sz w:val="23"/>
        </w:rPr>
      </w:pPr>
    </w:p>
    <w:p>
      <w:pPr>
        <w:spacing w:line="312" w:lineRule="auto" w:before="92"/>
        <w:ind w:left="100" w:right="256" w:firstLine="0"/>
        <w:jc w:val="left"/>
        <w:rPr>
          <w:sz w:val="24"/>
        </w:rPr>
      </w:pPr>
      <w:r>
        <w:rPr>
          <w:sz w:val="24"/>
        </w:rPr>
        <w:t>We are well positioned to take advantage of shorthaul, point-to-point opportunities as our competitors consolidate their operations and will continue our strategy of controlled growth, operating cost control, and outstanding Customer Service.</w:t>
      </w:r>
    </w:p>
    <w:p>
      <w:pPr>
        <w:pStyle w:val="BodyText"/>
        <w:spacing w:before="6"/>
        <w:rPr>
          <w:sz w:val="31"/>
        </w:rPr>
      </w:pPr>
    </w:p>
    <w:p>
      <w:pPr>
        <w:spacing w:line="312" w:lineRule="auto" w:before="0"/>
        <w:ind w:left="100" w:right="316" w:firstLine="0"/>
        <w:jc w:val="left"/>
        <w:rPr>
          <w:sz w:val="24"/>
        </w:rPr>
      </w:pPr>
      <w:r>
        <w:rPr>
          <w:sz w:val="24"/>
        </w:rPr>
        <w:t>We have been profitable for 23 consecutive years. We have the lowest operating costs in the industry and the best net profit margin among the major carriers. Our balance sheet remains strong and our “A” credit rating on our unsecured debt assures adequate access to the capital market to meet our expansion needs cost-effectively.</w:t>
      </w:r>
    </w:p>
    <w:p>
      <w:pPr>
        <w:pStyle w:val="BodyText"/>
        <w:spacing w:before="6"/>
        <w:rPr>
          <w:sz w:val="31"/>
        </w:rPr>
      </w:pPr>
    </w:p>
    <w:p>
      <w:pPr>
        <w:spacing w:line="312" w:lineRule="auto" w:before="0"/>
        <w:ind w:left="100" w:right="159" w:firstLine="0"/>
        <w:jc w:val="left"/>
        <w:rPr>
          <w:sz w:val="24"/>
        </w:rPr>
      </w:pPr>
      <w:r>
        <w:rPr>
          <w:spacing w:val="4"/>
          <w:sz w:val="24"/>
        </w:rPr>
        <w:t>With </w:t>
      </w:r>
      <w:r>
        <w:rPr>
          <w:sz w:val="24"/>
        </w:rPr>
        <w:t>our </w:t>
      </w:r>
      <w:r>
        <w:rPr>
          <w:spacing w:val="2"/>
          <w:sz w:val="24"/>
        </w:rPr>
        <w:t>recent </w:t>
      </w:r>
      <w:r>
        <w:rPr>
          <w:sz w:val="24"/>
        </w:rPr>
        <w:t>entry into the </w:t>
      </w:r>
      <w:r>
        <w:rPr>
          <w:spacing w:val="3"/>
          <w:sz w:val="24"/>
        </w:rPr>
        <w:t>Florida </w:t>
      </w:r>
      <w:r>
        <w:rPr>
          <w:sz w:val="24"/>
        </w:rPr>
        <w:t>market, </w:t>
      </w:r>
      <w:r>
        <w:rPr>
          <w:spacing w:val="-3"/>
          <w:sz w:val="24"/>
        </w:rPr>
        <w:t>we </w:t>
      </w:r>
      <w:r>
        <w:rPr>
          <w:sz w:val="24"/>
        </w:rPr>
        <w:t>diversify our </w:t>
      </w:r>
      <w:r>
        <w:rPr>
          <w:spacing w:val="2"/>
          <w:sz w:val="24"/>
        </w:rPr>
        <w:t>robust </w:t>
      </w:r>
      <w:r>
        <w:rPr>
          <w:sz w:val="24"/>
        </w:rPr>
        <w:t>route system even further, serving 48 cities in 23 states by April 1996. Eleven of our 1996 </w:t>
      </w:r>
      <w:r>
        <w:rPr>
          <w:spacing w:val="2"/>
          <w:sz w:val="24"/>
        </w:rPr>
        <w:t>aircraft </w:t>
      </w:r>
      <w:r>
        <w:rPr>
          <w:sz w:val="24"/>
        </w:rPr>
        <w:t>deliveries, or approximately four percent of our </w:t>
      </w:r>
      <w:r>
        <w:rPr>
          <w:spacing w:val="-3"/>
          <w:sz w:val="24"/>
        </w:rPr>
        <w:t>ASM </w:t>
      </w:r>
      <w:r>
        <w:rPr>
          <w:sz w:val="24"/>
        </w:rPr>
        <w:t>capacity, will be dedicated to our start-up of service in Tampa, </w:t>
      </w:r>
      <w:r>
        <w:rPr>
          <w:spacing w:val="2"/>
          <w:sz w:val="24"/>
        </w:rPr>
        <w:t>Ft. </w:t>
      </w:r>
      <w:r>
        <w:rPr>
          <w:sz w:val="24"/>
        </w:rPr>
        <w:t>Lauderdale, and Orlando.  At the end of 1995, 14 percent of our </w:t>
      </w:r>
      <w:r>
        <w:rPr>
          <w:spacing w:val="-3"/>
          <w:sz w:val="24"/>
        </w:rPr>
        <w:t>ASMs </w:t>
      </w:r>
      <w:r>
        <w:rPr>
          <w:sz w:val="24"/>
        </w:rPr>
        <w:t>were deployed intra-California; ten percent in the northwest region of our system; 36 percent in the remaining part  of the western region (west of Texas); 21 percent in the heartland region (Texas, Oklahoma, </w:t>
      </w:r>
      <w:r>
        <w:rPr>
          <w:spacing w:val="-4"/>
          <w:sz w:val="24"/>
        </w:rPr>
        <w:t>Arkansas,  </w:t>
      </w:r>
      <w:r>
        <w:rPr>
          <w:sz w:val="24"/>
        </w:rPr>
        <w:t>and Louisiana); 16 percent in the midwest region; and three percent in the eastern region</w:t>
      </w:r>
      <w:r>
        <w:rPr>
          <w:spacing w:val="14"/>
          <w:sz w:val="24"/>
        </w:rPr>
        <w:t> </w:t>
      </w:r>
      <w:r>
        <w:rPr>
          <w:sz w:val="24"/>
        </w:rPr>
        <w:t>(Baltimore).</w:t>
      </w:r>
    </w:p>
    <w:p>
      <w:pPr>
        <w:pStyle w:val="BodyText"/>
        <w:spacing w:before="6"/>
        <w:rPr>
          <w:sz w:val="31"/>
        </w:rPr>
      </w:pPr>
    </w:p>
    <w:p>
      <w:pPr>
        <w:spacing w:line="312" w:lineRule="auto" w:before="0"/>
        <w:ind w:left="100" w:right="0" w:firstLine="0"/>
        <w:jc w:val="left"/>
        <w:rPr>
          <w:sz w:val="24"/>
        </w:rPr>
      </w:pPr>
      <w:r>
        <w:rPr>
          <w:sz w:val="24"/>
        </w:rPr>
        <w:t>We are </w:t>
      </w:r>
      <w:r>
        <w:rPr>
          <w:sz w:val="24"/>
          <w:u w:val="single"/>
        </w:rPr>
        <w:t>THE </w:t>
      </w:r>
      <w:r>
        <w:rPr>
          <w:sz w:val="24"/>
        </w:rPr>
        <w:t>Low Fare Airline and, in our opinion, the airline of choice for the shorthaul passenger. We consistently have the dominant market share in our</w:t>
      </w:r>
    </w:p>
    <w:p>
      <w:pPr>
        <w:spacing w:after="0" w:line="312" w:lineRule="auto"/>
        <w:jc w:val="left"/>
        <w:rPr>
          <w:sz w:val="24"/>
        </w:rPr>
        <w:sectPr>
          <w:pgSz w:w="12240" w:h="15840"/>
          <w:pgMar w:header="0" w:footer="790" w:top="1280" w:bottom="980" w:left="1700" w:right="1680"/>
        </w:sectPr>
      </w:pPr>
    </w:p>
    <w:p>
      <w:pPr>
        <w:spacing w:line="312" w:lineRule="auto" w:before="74"/>
        <w:ind w:left="200" w:right="229" w:firstLine="0"/>
        <w:jc w:val="left"/>
        <w:rPr>
          <w:sz w:val="24"/>
        </w:rPr>
      </w:pPr>
      <w:r>
        <w:rPr>
          <w:sz w:val="24"/>
        </w:rPr>
        <w:t>niche, and we offer the best Customer Service according to U.S. Department of Transportation statistics.</w:t>
      </w:r>
    </w:p>
    <w:p>
      <w:pPr>
        <w:pStyle w:val="BodyText"/>
        <w:spacing w:before="7"/>
        <w:rPr>
          <w:sz w:val="31"/>
        </w:rPr>
      </w:pPr>
    </w:p>
    <w:p>
      <w:pPr>
        <w:spacing w:line="312" w:lineRule="auto" w:before="0"/>
        <w:ind w:left="200" w:right="229" w:firstLine="0"/>
        <w:jc w:val="left"/>
        <w:rPr>
          <w:sz w:val="24"/>
        </w:rPr>
      </w:pPr>
      <w:r>
        <w:rPr>
          <w:sz w:val="24"/>
        </w:rPr>
        <w:t>We boast one of the youngest fleets in the airline industry, with an average age of 7.8 years at the end of 1995. This enables us to keep our maintenance costs low and our aircraft consistently in service. Since 78 percent of our fleet have newer Stage 3 engines, fuel consumption is lower and noise is reduced.</w:t>
      </w:r>
    </w:p>
    <w:p>
      <w:pPr>
        <w:pStyle w:val="BodyText"/>
        <w:spacing w:before="7"/>
        <w:rPr>
          <w:sz w:val="31"/>
        </w:rPr>
      </w:pPr>
    </w:p>
    <w:p>
      <w:pPr>
        <w:spacing w:line="312" w:lineRule="auto" w:before="0"/>
        <w:ind w:left="200" w:right="229" w:firstLine="0"/>
        <w:jc w:val="left"/>
        <w:rPr>
          <w:sz w:val="24"/>
        </w:rPr>
      </w:pPr>
      <w:r>
        <w:rPr>
          <w:sz w:val="24"/>
        </w:rPr>
        <w:t>At yearend 1995, we owned 111 of the 224 aircraft in our fleet. Of the remaining 113 aircraft, 83 were operated pursuant to longterm leases with various renewal and purchase options at the end of the lease periods, and 30 of the older 737- 200s were under shortterm leases expiring over the next several years.</w:t>
      </w:r>
    </w:p>
    <w:p>
      <w:pPr>
        <w:pStyle w:val="BodyText"/>
        <w:spacing w:before="7"/>
        <w:rPr>
          <w:sz w:val="31"/>
        </w:rPr>
      </w:pPr>
    </w:p>
    <w:p>
      <w:pPr>
        <w:spacing w:line="312" w:lineRule="auto" w:before="0"/>
        <w:ind w:left="200" w:right="269" w:firstLine="0"/>
        <w:jc w:val="left"/>
        <w:rPr>
          <w:sz w:val="24"/>
        </w:rPr>
      </w:pPr>
      <w:r>
        <w:rPr>
          <w:sz w:val="24"/>
        </w:rPr>
        <w:t>We currently plan to acquire 20 new -300 aircraft from The Boeing Company and retire three of our older -200 aircraft in 1996, resulting in an available seat mile increase of approximately 12.8 percent. Including our recent conversion of four 1997 -300 options to four 1999 -700 options, we currently have 100 firm orders and 67 options for Boeing 737 aircraft.</w:t>
      </w:r>
    </w:p>
    <w:p>
      <w:pPr>
        <w:pStyle w:val="BodyText"/>
        <w:spacing w:before="5"/>
        <w:rPr>
          <w:sz w:val="24"/>
        </w:rPr>
      </w:pPr>
    </w:p>
    <w:p>
      <w:pPr>
        <w:spacing w:before="1" w:after="7"/>
        <w:ind w:left="200" w:right="0" w:firstLine="0"/>
        <w:jc w:val="left"/>
        <w:rPr>
          <w:b/>
          <w:sz w:val="24"/>
        </w:rPr>
      </w:pPr>
      <w:r>
        <w:rPr>
          <w:b/>
          <w:sz w:val="24"/>
        </w:rPr>
        <w:t>Boeing 737 Jet Fleet Expansion</w:t>
      </w:r>
    </w:p>
    <w:tbl>
      <w:tblPr>
        <w:tblW w:w="0" w:type="auto"/>
        <w:jc w:val="left"/>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840"/>
        <w:gridCol w:w="792"/>
        <w:gridCol w:w="610"/>
        <w:gridCol w:w="610"/>
        <w:gridCol w:w="610"/>
        <w:gridCol w:w="610"/>
        <w:gridCol w:w="610"/>
        <w:gridCol w:w="610"/>
        <w:gridCol w:w="614"/>
        <w:gridCol w:w="610"/>
        <w:gridCol w:w="610"/>
        <w:gridCol w:w="610"/>
      </w:tblGrid>
      <w:tr>
        <w:trPr>
          <w:trHeight w:val="374" w:hRule="exact"/>
        </w:trPr>
        <w:tc>
          <w:tcPr>
            <w:tcW w:w="840" w:type="dxa"/>
            <w:shd w:val="clear" w:color="auto" w:fill="666666"/>
          </w:tcPr>
          <w:p>
            <w:pPr>
              <w:pStyle w:val="TableParagraph"/>
              <w:spacing w:before="3"/>
              <w:jc w:val="left"/>
              <w:rPr>
                <w:b/>
                <w:sz w:val="15"/>
              </w:rPr>
            </w:pPr>
          </w:p>
          <w:p>
            <w:pPr>
              <w:pStyle w:val="TableParagraph"/>
              <w:spacing w:before="1"/>
              <w:ind w:right="199"/>
              <w:rPr>
                <w:b/>
                <w:sz w:val="16"/>
              </w:rPr>
            </w:pPr>
            <w:r>
              <w:rPr>
                <w:b/>
                <w:color w:val="FFFFFF"/>
                <w:w w:val="95"/>
                <w:sz w:val="16"/>
              </w:rPr>
              <w:t>TYPE</w:t>
            </w:r>
          </w:p>
        </w:tc>
        <w:tc>
          <w:tcPr>
            <w:tcW w:w="792" w:type="dxa"/>
            <w:shd w:val="clear" w:color="auto" w:fill="666666"/>
          </w:tcPr>
          <w:p>
            <w:pPr>
              <w:pStyle w:val="TableParagraph"/>
              <w:spacing w:before="3"/>
              <w:jc w:val="left"/>
              <w:rPr>
                <w:b/>
                <w:sz w:val="15"/>
              </w:rPr>
            </w:pPr>
          </w:p>
          <w:p>
            <w:pPr>
              <w:pStyle w:val="TableParagraph"/>
              <w:spacing w:before="1"/>
              <w:ind w:left="55" w:right="149"/>
              <w:jc w:val="center"/>
              <w:rPr>
                <w:b/>
                <w:sz w:val="16"/>
              </w:rPr>
            </w:pPr>
            <w:r>
              <w:rPr>
                <w:b/>
                <w:color w:val="FFFFFF"/>
                <w:sz w:val="16"/>
              </w:rPr>
              <w:t>SEATS</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1995</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1996</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1997</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1998</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1999</w:t>
            </w:r>
          </w:p>
        </w:tc>
        <w:tc>
          <w:tcPr>
            <w:tcW w:w="610" w:type="dxa"/>
            <w:shd w:val="clear" w:color="auto" w:fill="666666"/>
          </w:tcPr>
          <w:p>
            <w:pPr>
              <w:pStyle w:val="TableParagraph"/>
              <w:spacing w:before="3"/>
              <w:jc w:val="left"/>
              <w:rPr>
                <w:b/>
                <w:sz w:val="15"/>
              </w:rPr>
            </w:pPr>
          </w:p>
          <w:p>
            <w:pPr>
              <w:pStyle w:val="TableParagraph"/>
              <w:spacing w:before="1"/>
              <w:ind w:right="119"/>
              <w:rPr>
                <w:b/>
                <w:sz w:val="16"/>
              </w:rPr>
            </w:pPr>
            <w:r>
              <w:rPr>
                <w:b/>
                <w:color w:val="FFFFFF"/>
                <w:w w:val="95"/>
                <w:sz w:val="16"/>
              </w:rPr>
              <w:t>2000</w:t>
            </w:r>
          </w:p>
        </w:tc>
        <w:tc>
          <w:tcPr>
            <w:tcW w:w="614"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2001</w:t>
            </w:r>
          </w:p>
        </w:tc>
        <w:tc>
          <w:tcPr>
            <w:tcW w:w="610"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2002</w:t>
            </w:r>
          </w:p>
        </w:tc>
        <w:tc>
          <w:tcPr>
            <w:tcW w:w="610"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2003</w:t>
            </w:r>
          </w:p>
        </w:tc>
        <w:tc>
          <w:tcPr>
            <w:tcW w:w="610" w:type="dxa"/>
            <w:shd w:val="clear" w:color="auto" w:fill="666666"/>
          </w:tcPr>
          <w:p>
            <w:pPr>
              <w:pStyle w:val="TableParagraph"/>
              <w:spacing w:before="3"/>
              <w:jc w:val="left"/>
              <w:rPr>
                <w:b/>
                <w:sz w:val="15"/>
              </w:rPr>
            </w:pPr>
          </w:p>
          <w:p>
            <w:pPr>
              <w:pStyle w:val="TableParagraph"/>
              <w:spacing w:before="1"/>
              <w:ind w:right="124"/>
              <w:rPr>
                <w:b/>
                <w:sz w:val="16"/>
              </w:rPr>
            </w:pPr>
            <w:r>
              <w:rPr>
                <w:b/>
                <w:color w:val="FFFFFF"/>
                <w:w w:val="95"/>
                <w:sz w:val="16"/>
              </w:rPr>
              <w:t>2004</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737-200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122</w:t>
            </w:r>
          </w:p>
        </w:tc>
        <w:tc>
          <w:tcPr>
            <w:tcW w:w="610" w:type="dxa"/>
          </w:tcPr>
          <w:p>
            <w:pPr>
              <w:pStyle w:val="TableParagraph"/>
              <w:spacing w:before="3"/>
              <w:jc w:val="left"/>
              <w:rPr>
                <w:b/>
                <w:sz w:val="15"/>
              </w:rPr>
            </w:pPr>
          </w:p>
          <w:p>
            <w:pPr>
              <w:pStyle w:val="TableParagraph"/>
              <w:spacing w:before="1"/>
              <w:ind w:right="156"/>
              <w:rPr>
                <w:sz w:val="16"/>
              </w:rPr>
            </w:pPr>
            <w:r>
              <w:rPr>
                <w:sz w:val="16"/>
              </w:rPr>
              <w:t>50</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4"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737-300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137</w:t>
            </w:r>
          </w:p>
        </w:tc>
        <w:tc>
          <w:tcPr>
            <w:tcW w:w="610" w:type="dxa"/>
          </w:tcPr>
          <w:p>
            <w:pPr>
              <w:pStyle w:val="TableParagraph"/>
              <w:spacing w:before="3"/>
              <w:jc w:val="left"/>
              <w:rPr>
                <w:b/>
                <w:sz w:val="15"/>
              </w:rPr>
            </w:pPr>
          </w:p>
          <w:p>
            <w:pPr>
              <w:pStyle w:val="TableParagraph"/>
              <w:spacing w:before="1"/>
              <w:ind w:right="156"/>
              <w:rPr>
                <w:sz w:val="16"/>
              </w:rPr>
            </w:pPr>
            <w:r>
              <w:rPr>
                <w:w w:val="95"/>
                <w:sz w:val="16"/>
              </w:rPr>
              <w:t>149</w:t>
            </w:r>
          </w:p>
        </w:tc>
        <w:tc>
          <w:tcPr>
            <w:tcW w:w="610" w:type="dxa"/>
          </w:tcPr>
          <w:p>
            <w:pPr>
              <w:pStyle w:val="TableParagraph"/>
              <w:spacing w:before="3"/>
              <w:jc w:val="left"/>
              <w:rPr>
                <w:b/>
                <w:sz w:val="15"/>
              </w:rPr>
            </w:pPr>
          </w:p>
          <w:p>
            <w:pPr>
              <w:pStyle w:val="TableParagraph"/>
              <w:spacing w:before="1"/>
              <w:ind w:right="156"/>
              <w:rPr>
                <w:sz w:val="16"/>
              </w:rPr>
            </w:pPr>
            <w:r>
              <w:rPr>
                <w:sz w:val="16"/>
              </w:rPr>
              <w:t>20</w:t>
            </w:r>
          </w:p>
        </w:tc>
        <w:tc>
          <w:tcPr>
            <w:tcW w:w="610" w:type="dxa"/>
          </w:tcPr>
          <w:p>
            <w:pPr>
              <w:pStyle w:val="TableParagraph"/>
              <w:spacing w:before="3"/>
              <w:jc w:val="left"/>
              <w:rPr>
                <w:b/>
                <w:sz w:val="15"/>
              </w:rPr>
            </w:pPr>
          </w:p>
          <w:p>
            <w:pPr>
              <w:pStyle w:val="TableParagraph"/>
              <w:spacing w:before="1"/>
              <w:ind w:right="156"/>
              <w:rPr>
                <w:sz w:val="16"/>
              </w:rPr>
            </w:pPr>
            <w:r>
              <w:rPr>
                <w:sz w:val="16"/>
              </w:rPr>
              <w:t>17</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4"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737-500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122</w:t>
            </w:r>
          </w:p>
        </w:tc>
        <w:tc>
          <w:tcPr>
            <w:tcW w:w="610" w:type="dxa"/>
          </w:tcPr>
          <w:p>
            <w:pPr>
              <w:pStyle w:val="TableParagraph"/>
              <w:spacing w:before="3"/>
              <w:jc w:val="left"/>
              <w:rPr>
                <w:b/>
                <w:sz w:val="15"/>
              </w:rPr>
            </w:pPr>
          </w:p>
          <w:p>
            <w:pPr>
              <w:pStyle w:val="TableParagraph"/>
              <w:spacing w:before="1"/>
              <w:ind w:right="156"/>
              <w:rPr>
                <w:sz w:val="16"/>
              </w:rPr>
            </w:pPr>
            <w:r>
              <w:rPr>
                <w:sz w:val="16"/>
              </w:rPr>
              <w:t>25</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4"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c>
          <w:tcPr>
            <w:tcW w:w="610" w:type="dxa"/>
          </w:tcPr>
          <w:p>
            <w:pPr>
              <w:pStyle w:val="TableParagraph"/>
              <w:spacing w:before="3"/>
              <w:jc w:val="left"/>
              <w:rPr>
                <w:b/>
                <w:sz w:val="15"/>
              </w:rPr>
            </w:pPr>
          </w:p>
          <w:p>
            <w:pPr>
              <w:pStyle w:val="TableParagraph"/>
              <w:spacing w:before="1"/>
              <w:ind w:right="161"/>
              <w:rPr>
                <w:sz w:val="16"/>
              </w:rPr>
            </w:pPr>
            <w:r>
              <w:rPr>
                <w:w w:val="98"/>
                <w:sz w:val="16"/>
              </w:rPr>
              <w:t>-</w:t>
            </w:r>
          </w:p>
        </w:tc>
      </w:tr>
      <w:tr>
        <w:trPr>
          <w:trHeight w:val="374" w:hRule="exact"/>
        </w:trPr>
        <w:tc>
          <w:tcPr>
            <w:tcW w:w="840" w:type="dxa"/>
          </w:tcPr>
          <w:p>
            <w:pPr>
              <w:pStyle w:val="TableParagraph"/>
              <w:spacing w:before="3"/>
              <w:jc w:val="left"/>
              <w:rPr>
                <w:b/>
                <w:sz w:val="15"/>
              </w:rPr>
            </w:pPr>
          </w:p>
          <w:p>
            <w:pPr>
              <w:pStyle w:val="TableParagraph"/>
              <w:spacing w:before="1"/>
              <w:ind w:right="176"/>
              <w:rPr>
                <w:sz w:val="16"/>
              </w:rPr>
            </w:pPr>
            <w:r>
              <w:rPr>
                <w:w w:val="95"/>
                <w:sz w:val="16"/>
              </w:rPr>
              <w:t>737-700</w:t>
            </w:r>
          </w:p>
        </w:tc>
        <w:tc>
          <w:tcPr>
            <w:tcW w:w="792" w:type="dxa"/>
          </w:tcPr>
          <w:p>
            <w:pPr>
              <w:pStyle w:val="TableParagraph"/>
              <w:spacing w:before="3"/>
              <w:jc w:val="left"/>
              <w:rPr>
                <w:b/>
                <w:sz w:val="15"/>
              </w:rPr>
            </w:pPr>
          </w:p>
          <w:p>
            <w:pPr>
              <w:pStyle w:val="TableParagraph"/>
              <w:spacing w:before="1"/>
              <w:ind w:left="55" w:right="55"/>
              <w:jc w:val="center"/>
              <w:rPr>
                <w:sz w:val="16"/>
              </w:rPr>
            </w:pPr>
            <w:r>
              <w:rPr>
                <w:sz w:val="16"/>
              </w:rPr>
              <w:t>137</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6"/>
              <w:rPr>
                <w:sz w:val="16"/>
              </w:rPr>
            </w:pPr>
            <w:r>
              <w:rPr>
                <w:w w:val="98"/>
                <w:sz w:val="16"/>
              </w:rPr>
              <w:t>-</w:t>
            </w:r>
          </w:p>
        </w:tc>
        <w:tc>
          <w:tcPr>
            <w:tcW w:w="610" w:type="dxa"/>
          </w:tcPr>
          <w:p>
            <w:pPr>
              <w:pStyle w:val="TableParagraph"/>
              <w:spacing w:before="3"/>
              <w:jc w:val="left"/>
              <w:rPr>
                <w:b/>
                <w:sz w:val="15"/>
              </w:rPr>
            </w:pPr>
          </w:p>
          <w:p>
            <w:pPr>
              <w:pStyle w:val="TableParagraph"/>
              <w:spacing w:before="1"/>
              <w:ind w:right="154"/>
              <w:rPr>
                <w:sz w:val="16"/>
              </w:rPr>
            </w:pPr>
            <w:r>
              <w:rPr>
                <w:w w:val="98"/>
                <w:sz w:val="16"/>
              </w:rPr>
              <w:t>4</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0" w:type="dxa"/>
          </w:tcPr>
          <w:p>
            <w:pPr>
              <w:pStyle w:val="TableParagraph"/>
              <w:spacing w:before="3"/>
              <w:jc w:val="left"/>
              <w:rPr>
                <w:b/>
                <w:sz w:val="15"/>
              </w:rPr>
            </w:pPr>
          </w:p>
          <w:p>
            <w:pPr>
              <w:pStyle w:val="TableParagraph"/>
              <w:spacing w:before="1"/>
              <w:ind w:right="156"/>
              <w:rPr>
                <w:sz w:val="16"/>
              </w:rPr>
            </w:pPr>
            <w:r>
              <w:rPr>
                <w:sz w:val="16"/>
              </w:rPr>
              <w:t>25</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4"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59"/>
              <w:rPr>
                <w:sz w:val="16"/>
              </w:rPr>
            </w:pPr>
            <w:r>
              <w:rPr>
                <w:w w:val="98"/>
                <w:sz w:val="16"/>
              </w:rPr>
              <w:t>5</w:t>
            </w:r>
          </w:p>
        </w:tc>
      </w:tr>
      <w:tr>
        <w:trPr>
          <w:trHeight w:val="374" w:hRule="exact"/>
        </w:trPr>
        <w:tc>
          <w:tcPr>
            <w:tcW w:w="840" w:type="dxa"/>
          </w:tcPr>
          <w:p>
            <w:pPr>
              <w:pStyle w:val="TableParagraph"/>
              <w:spacing w:before="3"/>
              <w:jc w:val="left"/>
              <w:rPr>
                <w:b/>
                <w:sz w:val="15"/>
              </w:rPr>
            </w:pPr>
          </w:p>
          <w:p>
            <w:pPr>
              <w:pStyle w:val="TableParagraph"/>
              <w:spacing w:before="1"/>
              <w:ind w:right="223"/>
              <w:rPr>
                <w:sz w:val="16"/>
              </w:rPr>
            </w:pPr>
            <w:r>
              <w:rPr>
                <w:sz w:val="16"/>
              </w:rPr>
              <w:t>TOTAL</w:t>
            </w:r>
          </w:p>
        </w:tc>
        <w:tc>
          <w:tcPr>
            <w:tcW w:w="792" w:type="dxa"/>
          </w:tcPr>
          <w:p>
            <w:pPr/>
          </w:p>
        </w:tc>
        <w:tc>
          <w:tcPr>
            <w:tcW w:w="610" w:type="dxa"/>
          </w:tcPr>
          <w:p>
            <w:pPr>
              <w:pStyle w:val="TableParagraph"/>
              <w:spacing w:before="3"/>
              <w:jc w:val="left"/>
              <w:rPr>
                <w:b/>
                <w:sz w:val="15"/>
              </w:rPr>
            </w:pPr>
          </w:p>
          <w:p>
            <w:pPr>
              <w:pStyle w:val="TableParagraph"/>
              <w:spacing w:before="1"/>
              <w:ind w:right="156"/>
              <w:rPr>
                <w:sz w:val="16"/>
              </w:rPr>
            </w:pPr>
            <w:r>
              <w:rPr>
                <w:w w:val="95"/>
                <w:sz w:val="16"/>
              </w:rPr>
              <w:t>224</w:t>
            </w:r>
          </w:p>
        </w:tc>
        <w:tc>
          <w:tcPr>
            <w:tcW w:w="610" w:type="dxa"/>
          </w:tcPr>
          <w:p>
            <w:pPr>
              <w:pStyle w:val="TableParagraph"/>
              <w:spacing w:before="3"/>
              <w:jc w:val="left"/>
              <w:rPr>
                <w:b/>
                <w:sz w:val="15"/>
              </w:rPr>
            </w:pPr>
          </w:p>
          <w:p>
            <w:pPr>
              <w:pStyle w:val="TableParagraph"/>
              <w:spacing w:before="1"/>
              <w:ind w:right="156"/>
              <w:rPr>
                <w:sz w:val="16"/>
              </w:rPr>
            </w:pPr>
            <w:r>
              <w:rPr>
                <w:sz w:val="16"/>
              </w:rPr>
              <w:t>20</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0" w:type="dxa"/>
          </w:tcPr>
          <w:p>
            <w:pPr>
              <w:pStyle w:val="TableParagraph"/>
              <w:spacing w:before="3"/>
              <w:jc w:val="left"/>
              <w:rPr>
                <w:b/>
                <w:sz w:val="15"/>
              </w:rPr>
            </w:pPr>
          </w:p>
          <w:p>
            <w:pPr>
              <w:pStyle w:val="TableParagraph"/>
              <w:spacing w:before="1"/>
              <w:ind w:right="156"/>
              <w:rPr>
                <w:sz w:val="16"/>
              </w:rPr>
            </w:pPr>
            <w:r>
              <w:rPr>
                <w:sz w:val="16"/>
              </w:rPr>
              <w:t>25</w:t>
            </w:r>
          </w:p>
        </w:tc>
        <w:tc>
          <w:tcPr>
            <w:tcW w:w="610" w:type="dxa"/>
          </w:tcPr>
          <w:p>
            <w:pPr>
              <w:pStyle w:val="TableParagraph"/>
              <w:spacing w:before="3"/>
              <w:jc w:val="left"/>
              <w:rPr>
                <w:b/>
                <w:sz w:val="15"/>
              </w:rPr>
            </w:pPr>
          </w:p>
          <w:p>
            <w:pPr>
              <w:pStyle w:val="TableParagraph"/>
              <w:spacing w:before="1"/>
              <w:ind w:right="156"/>
              <w:rPr>
                <w:sz w:val="16"/>
              </w:rPr>
            </w:pPr>
            <w:r>
              <w:rPr>
                <w:sz w:val="16"/>
              </w:rPr>
              <w:t>21</w:t>
            </w:r>
          </w:p>
        </w:tc>
        <w:tc>
          <w:tcPr>
            <w:tcW w:w="614"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61"/>
              <w:rPr>
                <w:sz w:val="16"/>
              </w:rPr>
            </w:pPr>
            <w:r>
              <w:rPr>
                <w:sz w:val="16"/>
              </w:rPr>
              <w:t>18</w:t>
            </w:r>
          </w:p>
        </w:tc>
        <w:tc>
          <w:tcPr>
            <w:tcW w:w="610" w:type="dxa"/>
          </w:tcPr>
          <w:p>
            <w:pPr>
              <w:pStyle w:val="TableParagraph"/>
              <w:spacing w:before="3"/>
              <w:jc w:val="left"/>
              <w:rPr>
                <w:b/>
                <w:sz w:val="15"/>
              </w:rPr>
            </w:pPr>
          </w:p>
          <w:p>
            <w:pPr>
              <w:pStyle w:val="TableParagraph"/>
              <w:spacing w:before="1"/>
              <w:ind w:right="159"/>
              <w:rPr>
                <w:sz w:val="16"/>
              </w:rPr>
            </w:pPr>
            <w:r>
              <w:rPr>
                <w:w w:val="98"/>
                <w:sz w:val="16"/>
              </w:rPr>
              <w:t>5</w:t>
            </w:r>
          </w:p>
        </w:tc>
      </w:tr>
    </w:tbl>
    <w:p>
      <w:pPr>
        <w:spacing w:after="0"/>
        <w:rPr>
          <w:sz w:val="16"/>
        </w:rPr>
        <w:sectPr>
          <w:pgSz w:w="12240" w:h="15840"/>
          <w:pgMar w:header="0" w:footer="790" w:top="1280" w:bottom="980" w:left="1600" w:right="1680"/>
        </w:sectPr>
      </w:pPr>
    </w:p>
    <w:p>
      <w:pPr>
        <w:pStyle w:val="BodyText"/>
        <w:spacing w:before="1"/>
        <w:rPr>
          <w:b/>
          <w:sz w:val="18"/>
        </w:rPr>
      </w:pPr>
    </w:p>
    <w:p>
      <w:pPr>
        <w:spacing w:before="92" w:after="6"/>
        <w:ind w:left="120" w:right="0" w:firstLine="0"/>
        <w:jc w:val="left"/>
        <w:rPr>
          <w:b/>
          <w:sz w:val="24"/>
        </w:rPr>
      </w:pPr>
      <w:r>
        <w:rPr>
          <w:b/>
          <w:sz w:val="24"/>
        </w:rPr>
        <w:t>Southwest Airlines Destinations.</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52"/>
        <w:gridCol w:w="2722"/>
        <w:gridCol w:w="3168"/>
      </w:tblGrid>
      <w:tr>
        <w:trPr>
          <w:trHeight w:val="245" w:hRule="exact"/>
        </w:trPr>
        <w:tc>
          <w:tcPr>
            <w:tcW w:w="3552" w:type="dxa"/>
          </w:tcPr>
          <w:p>
            <w:pPr>
              <w:pStyle w:val="TableParagraph"/>
              <w:spacing w:line="230" w:lineRule="exact"/>
              <w:ind w:left="436"/>
              <w:jc w:val="left"/>
              <w:rPr>
                <w:sz w:val="20"/>
              </w:rPr>
            </w:pPr>
            <w:r>
              <w:rPr>
                <w:sz w:val="20"/>
              </w:rPr>
              <w:t>Albuquerque (ABQ)</w:t>
            </w:r>
          </w:p>
        </w:tc>
        <w:tc>
          <w:tcPr>
            <w:tcW w:w="2722" w:type="dxa"/>
          </w:tcPr>
          <w:p>
            <w:pPr>
              <w:pStyle w:val="TableParagraph"/>
              <w:spacing w:line="230" w:lineRule="exact"/>
              <w:ind w:left="76"/>
              <w:jc w:val="left"/>
              <w:rPr>
                <w:sz w:val="20"/>
              </w:rPr>
            </w:pPr>
            <w:r>
              <w:rPr>
                <w:sz w:val="20"/>
              </w:rPr>
              <w:t>Indianapolis (IND)</w:t>
            </w:r>
          </w:p>
        </w:tc>
        <w:tc>
          <w:tcPr>
            <w:tcW w:w="3168" w:type="dxa"/>
          </w:tcPr>
          <w:p>
            <w:pPr>
              <w:pStyle w:val="TableParagraph"/>
              <w:spacing w:line="230" w:lineRule="exact"/>
              <w:ind w:left="76"/>
              <w:jc w:val="left"/>
              <w:rPr>
                <w:sz w:val="20"/>
              </w:rPr>
            </w:pPr>
            <w:r>
              <w:rPr>
                <w:sz w:val="20"/>
              </w:rPr>
              <w:t>Reno/Tahoe (RNO)</w:t>
            </w:r>
          </w:p>
        </w:tc>
      </w:tr>
      <w:tr>
        <w:trPr>
          <w:trHeight w:val="245" w:hRule="exact"/>
        </w:trPr>
        <w:tc>
          <w:tcPr>
            <w:tcW w:w="3552" w:type="dxa"/>
          </w:tcPr>
          <w:p>
            <w:pPr>
              <w:pStyle w:val="TableParagraph"/>
              <w:spacing w:line="230" w:lineRule="exact"/>
              <w:ind w:left="436"/>
              <w:jc w:val="left"/>
              <w:rPr>
                <w:sz w:val="20"/>
              </w:rPr>
            </w:pPr>
            <w:r>
              <w:rPr>
                <w:sz w:val="20"/>
              </w:rPr>
              <w:t>Amarillo (AMA)</w:t>
            </w:r>
          </w:p>
        </w:tc>
        <w:tc>
          <w:tcPr>
            <w:tcW w:w="2722" w:type="dxa"/>
          </w:tcPr>
          <w:p>
            <w:pPr>
              <w:pStyle w:val="TableParagraph"/>
              <w:spacing w:line="230" w:lineRule="exact"/>
              <w:ind w:left="76"/>
              <w:jc w:val="left"/>
              <w:rPr>
                <w:sz w:val="20"/>
              </w:rPr>
            </w:pPr>
            <w:r>
              <w:rPr>
                <w:sz w:val="20"/>
              </w:rPr>
              <w:t>Kansas City (MCI)</w:t>
            </w:r>
          </w:p>
        </w:tc>
        <w:tc>
          <w:tcPr>
            <w:tcW w:w="3168" w:type="dxa"/>
          </w:tcPr>
          <w:p>
            <w:pPr>
              <w:pStyle w:val="TableParagraph"/>
              <w:spacing w:line="230" w:lineRule="exact"/>
              <w:ind w:left="76"/>
              <w:jc w:val="left"/>
              <w:rPr>
                <w:sz w:val="20"/>
              </w:rPr>
            </w:pPr>
            <w:r>
              <w:rPr>
                <w:sz w:val="20"/>
              </w:rPr>
              <w:t>Sacramento (SMF)</w:t>
            </w:r>
          </w:p>
        </w:tc>
      </w:tr>
      <w:tr>
        <w:trPr>
          <w:trHeight w:val="245" w:hRule="exact"/>
        </w:trPr>
        <w:tc>
          <w:tcPr>
            <w:tcW w:w="3552" w:type="dxa"/>
          </w:tcPr>
          <w:p>
            <w:pPr>
              <w:pStyle w:val="TableParagraph"/>
              <w:spacing w:line="230" w:lineRule="exact"/>
              <w:ind w:left="436"/>
              <w:jc w:val="left"/>
              <w:rPr>
                <w:sz w:val="20"/>
              </w:rPr>
            </w:pPr>
            <w:r>
              <w:rPr>
                <w:sz w:val="20"/>
              </w:rPr>
              <w:t>Austin (AUS)</w:t>
            </w:r>
          </w:p>
        </w:tc>
        <w:tc>
          <w:tcPr>
            <w:tcW w:w="2722" w:type="dxa"/>
          </w:tcPr>
          <w:p>
            <w:pPr>
              <w:pStyle w:val="TableParagraph"/>
              <w:spacing w:line="230" w:lineRule="exact"/>
              <w:ind w:left="76"/>
              <w:jc w:val="left"/>
              <w:rPr>
                <w:sz w:val="20"/>
              </w:rPr>
            </w:pPr>
            <w:r>
              <w:rPr>
                <w:sz w:val="20"/>
              </w:rPr>
              <w:t>Las Vegas (LAS)</w:t>
            </w:r>
          </w:p>
        </w:tc>
        <w:tc>
          <w:tcPr>
            <w:tcW w:w="3168" w:type="dxa"/>
          </w:tcPr>
          <w:p>
            <w:pPr>
              <w:pStyle w:val="TableParagraph"/>
              <w:spacing w:line="230" w:lineRule="exact"/>
              <w:ind w:left="76"/>
              <w:jc w:val="left"/>
              <w:rPr>
                <w:sz w:val="20"/>
              </w:rPr>
            </w:pPr>
            <w:r>
              <w:rPr>
                <w:sz w:val="20"/>
              </w:rPr>
              <w:t>St. Louis (STL)</w:t>
            </w:r>
          </w:p>
        </w:tc>
      </w:tr>
      <w:tr>
        <w:trPr>
          <w:trHeight w:val="245" w:hRule="exact"/>
        </w:trPr>
        <w:tc>
          <w:tcPr>
            <w:tcW w:w="3552" w:type="dxa"/>
          </w:tcPr>
          <w:p>
            <w:pPr>
              <w:pStyle w:val="TableParagraph"/>
              <w:spacing w:line="230" w:lineRule="exact"/>
              <w:ind w:left="436"/>
              <w:jc w:val="left"/>
              <w:rPr>
                <w:sz w:val="20"/>
              </w:rPr>
            </w:pPr>
            <w:r>
              <w:rPr>
                <w:sz w:val="20"/>
              </w:rPr>
              <w:t>Baltimore (BWI)</w:t>
            </w:r>
          </w:p>
        </w:tc>
        <w:tc>
          <w:tcPr>
            <w:tcW w:w="2722" w:type="dxa"/>
          </w:tcPr>
          <w:p>
            <w:pPr>
              <w:pStyle w:val="TableParagraph"/>
              <w:spacing w:line="230" w:lineRule="exact"/>
              <w:ind w:left="76"/>
              <w:jc w:val="left"/>
              <w:rPr>
                <w:sz w:val="20"/>
              </w:rPr>
            </w:pPr>
            <w:r>
              <w:rPr>
                <w:sz w:val="20"/>
              </w:rPr>
              <w:t>Little Rock (LIT)</w:t>
            </w:r>
          </w:p>
        </w:tc>
        <w:tc>
          <w:tcPr>
            <w:tcW w:w="3168" w:type="dxa"/>
          </w:tcPr>
          <w:p>
            <w:pPr>
              <w:pStyle w:val="TableParagraph"/>
              <w:spacing w:line="230" w:lineRule="exact"/>
              <w:ind w:left="76"/>
              <w:jc w:val="left"/>
              <w:rPr>
                <w:sz w:val="20"/>
              </w:rPr>
            </w:pPr>
            <w:r>
              <w:rPr>
                <w:sz w:val="20"/>
              </w:rPr>
              <w:t>Salt Lake City (SLC)</w:t>
            </w:r>
          </w:p>
        </w:tc>
      </w:tr>
      <w:tr>
        <w:trPr>
          <w:trHeight w:val="245" w:hRule="exact"/>
        </w:trPr>
        <w:tc>
          <w:tcPr>
            <w:tcW w:w="3552" w:type="dxa"/>
          </w:tcPr>
          <w:p>
            <w:pPr>
              <w:pStyle w:val="TableParagraph"/>
              <w:spacing w:line="230" w:lineRule="exact"/>
              <w:ind w:left="436"/>
              <w:jc w:val="left"/>
              <w:rPr>
                <w:sz w:val="20"/>
              </w:rPr>
            </w:pPr>
            <w:r>
              <w:rPr>
                <w:sz w:val="20"/>
              </w:rPr>
              <w:t>Birmingham (BHM)</w:t>
            </w:r>
          </w:p>
        </w:tc>
        <w:tc>
          <w:tcPr>
            <w:tcW w:w="2722" w:type="dxa"/>
          </w:tcPr>
          <w:p>
            <w:pPr>
              <w:pStyle w:val="TableParagraph"/>
              <w:spacing w:line="230" w:lineRule="exact"/>
              <w:ind w:left="76"/>
              <w:jc w:val="left"/>
              <w:rPr>
                <w:sz w:val="20"/>
              </w:rPr>
            </w:pPr>
            <w:r>
              <w:rPr>
                <w:sz w:val="20"/>
              </w:rPr>
              <w:t>Los Angeles (LAX)</w:t>
            </w:r>
          </w:p>
        </w:tc>
        <w:tc>
          <w:tcPr>
            <w:tcW w:w="3168" w:type="dxa"/>
          </w:tcPr>
          <w:p>
            <w:pPr>
              <w:pStyle w:val="TableParagraph"/>
              <w:spacing w:line="230" w:lineRule="exact"/>
              <w:ind w:left="76"/>
              <w:jc w:val="left"/>
              <w:rPr>
                <w:sz w:val="20"/>
              </w:rPr>
            </w:pPr>
            <w:r>
              <w:rPr>
                <w:sz w:val="20"/>
              </w:rPr>
              <w:t>San Antonio (SAT)</w:t>
            </w:r>
          </w:p>
        </w:tc>
      </w:tr>
      <w:tr>
        <w:trPr>
          <w:trHeight w:val="245" w:hRule="exact"/>
        </w:trPr>
        <w:tc>
          <w:tcPr>
            <w:tcW w:w="3552" w:type="dxa"/>
          </w:tcPr>
          <w:p>
            <w:pPr>
              <w:pStyle w:val="TableParagraph"/>
              <w:spacing w:line="230" w:lineRule="exact"/>
              <w:ind w:left="436"/>
              <w:jc w:val="left"/>
              <w:rPr>
                <w:sz w:val="20"/>
              </w:rPr>
            </w:pPr>
            <w:r>
              <w:rPr>
                <w:sz w:val="20"/>
              </w:rPr>
              <w:t>Boise (BOI)</w:t>
            </w:r>
          </w:p>
        </w:tc>
        <w:tc>
          <w:tcPr>
            <w:tcW w:w="2722" w:type="dxa"/>
          </w:tcPr>
          <w:p>
            <w:pPr>
              <w:pStyle w:val="TableParagraph"/>
              <w:spacing w:line="230" w:lineRule="exact"/>
              <w:ind w:left="76"/>
              <w:jc w:val="left"/>
              <w:rPr>
                <w:sz w:val="20"/>
              </w:rPr>
            </w:pPr>
            <w:r>
              <w:rPr>
                <w:sz w:val="20"/>
              </w:rPr>
              <w:t>Louisville (SDF)</w:t>
            </w:r>
          </w:p>
        </w:tc>
        <w:tc>
          <w:tcPr>
            <w:tcW w:w="3168" w:type="dxa"/>
          </w:tcPr>
          <w:p>
            <w:pPr>
              <w:pStyle w:val="TableParagraph"/>
              <w:spacing w:line="230" w:lineRule="exact"/>
              <w:ind w:left="76"/>
              <w:jc w:val="left"/>
              <w:rPr>
                <w:sz w:val="20"/>
              </w:rPr>
            </w:pPr>
            <w:r>
              <w:rPr>
                <w:sz w:val="20"/>
              </w:rPr>
              <w:t>San Diego (SAN)</w:t>
            </w:r>
          </w:p>
        </w:tc>
      </w:tr>
      <w:tr>
        <w:trPr>
          <w:trHeight w:val="245" w:hRule="exact"/>
        </w:trPr>
        <w:tc>
          <w:tcPr>
            <w:tcW w:w="3552" w:type="dxa"/>
          </w:tcPr>
          <w:p>
            <w:pPr>
              <w:pStyle w:val="TableParagraph"/>
              <w:spacing w:line="230" w:lineRule="exact"/>
              <w:ind w:left="436"/>
              <w:jc w:val="left"/>
              <w:rPr>
                <w:sz w:val="20"/>
              </w:rPr>
            </w:pPr>
            <w:r>
              <w:rPr>
                <w:sz w:val="20"/>
              </w:rPr>
              <w:t>Burbank (BUR)</w:t>
            </w:r>
          </w:p>
        </w:tc>
        <w:tc>
          <w:tcPr>
            <w:tcW w:w="2722" w:type="dxa"/>
          </w:tcPr>
          <w:p>
            <w:pPr>
              <w:pStyle w:val="TableParagraph"/>
              <w:spacing w:line="230" w:lineRule="exact"/>
              <w:ind w:left="76"/>
              <w:jc w:val="left"/>
              <w:rPr>
                <w:sz w:val="20"/>
              </w:rPr>
            </w:pPr>
            <w:r>
              <w:rPr>
                <w:sz w:val="20"/>
              </w:rPr>
              <w:t>Lubbock (LBB)</w:t>
            </w:r>
          </w:p>
        </w:tc>
        <w:tc>
          <w:tcPr>
            <w:tcW w:w="3168" w:type="dxa"/>
          </w:tcPr>
          <w:p>
            <w:pPr>
              <w:pStyle w:val="TableParagraph"/>
              <w:spacing w:line="230" w:lineRule="exact"/>
              <w:ind w:left="76"/>
              <w:jc w:val="left"/>
              <w:rPr>
                <w:sz w:val="20"/>
              </w:rPr>
            </w:pPr>
            <w:r>
              <w:rPr>
                <w:sz w:val="20"/>
              </w:rPr>
              <w:t>San  Francisco (SFO)</w:t>
            </w:r>
          </w:p>
        </w:tc>
      </w:tr>
      <w:tr>
        <w:trPr>
          <w:trHeight w:val="245" w:hRule="exact"/>
        </w:trPr>
        <w:tc>
          <w:tcPr>
            <w:tcW w:w="3552" w:type="dxa"/>
          </w:tcPr>
          <w:p>
            <w:pPr>
              <w:pStyle w:val="TableParagraph"/>
              <w:spacing w:line="230" w:lineRule="exact"/>
              <w:ind w:left="436"/>
              <w:jc w:val="left"/>
              <w:rPr>
                <w:sz w:val="20"/>
              </w:rPr>
            </w:pPr>
            <w:r>
              <w:rPr>
                <w:sz w:val="20"/>
              </w:rPr>
              <w:t>Chicago Midway (MDW)</w:t>
            </w:r>
          </w:p>
        </w:tc>
        <w:tc>
          <w:tcPr>
            <w:tcW w:w="2722" w:type="dxa"/>
          </w:tcPr>
          <w:p>
            <w:pPr>
              <w:pStyle w:val="TableParagraph"/>
              <w:spacing w:line="230" w:lineRule="exact"/>
              <w:ind w:left="76"/>
              <w:jc w:val="left"/>
              <w:rPr>
                <w:sz w:val="20"/>
              </w:rPr>
            </w:pPr>
            <w:r>
              <w:rPr>
                <w:sz w:val="20"/>
              </w:rPr>
              <w:t>Midland/Odessa (MAF)</w:t>
            </w:r>
          </w:p>
        </w:tc>
        <w:tc>
          <w:tcPr>
            <w:tcW w:w="3168" w:type="dxa"/>
          </w:tcPr>
          <w:p>
            <w:pPr>
              <w:pStyle w:val="TableParagraph"/>
              <w:spacing w:line="230" w:lineRule="exact"/>
              <w:ind w:left="76"/>
              <w:jc w:val="left"/>
              <w:rPr>
                <w:sz w:val="20"/>
              </w:rPr>
            </w:pPr>
            <w:r>
              <w:rPr>
                <w:sz w:val="20"/>
              </w:rPr>
              <w:t>San Jose (SJC)</w:t>
            </w:r>
          </w:p>
        </w:tc>
      </w:tr>
      <w:tr>
        <w:trPr>
          <w:trHeight w:val="245" w:hRule="exact"/>
        </w:trPr>
        <w:tc>
          <w:tcPr>
            <w:tcW w:w="3552" w:type="dxa"/>
          </w:tcPr>
          <w:p>
            <w:pPr>
              <w:pStyle w:val="TableParagraph"/>
              <w:spacing w:line="230" w:lineRule="exact"/>
              <w:ind w:left="436"/>
              <w:jc w:val="left"/>
              <w:rPr>
                <w:sz w:val="20"/>
              </w:rPr>
            </w:pPr>
            <w:r>
              <w:rPr>
                <w:sz w:val="20"/>
              </w:rPr>
              <w:t>Cleveland (CLE)</w:t>
            </w:r>
          </w:p>
        </w:tc>
        <w:tc>
          <w:tcPr>
            <w:tcW w:w="2722" w:type="dxa"/>
          </w:tcPr>
          <w:p>
            <w:pPr>
              <w:pStyle w:val="TableParagraph"/>
              <w:spacing w:line="230" w:lineRule="exact"/>
              <w:ind w:left="76"/>
              <w:jc w:val="left"/>
              <w:rPr>
                <w:sz w:val="20"/>
              </w:rPr>
            </w:pPr>
            <w:r>
              <w:rPr>
                <w:sz w:val="20"/>
              </w:rPr>
              <w:t>Nashville (BNA)</w:t>
            </w:r>
          </w:p>
        </w:tc>
        <w:tc>
          <w:tcPr>
            <w:tcW w:w="3168" w:type="dxa"/>
          </w:tcPr>
          <w:p>
            <w:pPr>
              <w:pStyle w:val="TableParagraph"/>
              <w:spacing w:line="230" w:lineRule="exact"/>
              <w:ind w:left="76"/>
              <w:jc w:val="left"/>
              <w:rPr>
                <w:sz w:val="20"/>
              </w:rPr>
            </w:pPr>
            <w:r>
              <w:rPr>
                <w:sz w:val="20"/>
              </w:rPr>
              <w:t>Seattle (SEA)</w:t>
            </w:r>
          </w:p>
        </w:tc>
      </w:tr>
      <w:tr>
        <w:trPr>
          <w:trHeight w:val="245" w:hRule="exact"/>
        </w:trPr>
        <w:tc>
          <w:tcPr>
            <w:tcW w:w="3552" w:type="dxa"/>
          </w:tcPr>
          <w:p>
            <w:pPr>
              <w:pStyle w:val="TableParagraph"/>
              <w:spacing w:line="230" w:lineRule="exact"/>
              <w:ind w:left="436"/>
              <w:jc w:val="left"/>
              <w:rPr>
                <w:sz w:val="20"/>
              </w:rPr>
            </w:pPr>
            <w:r>
              <w:rPr>
                <w:sz w:val="20"/>
              </w:rPr>
              <w:t>Columbus (CMH)</w:t>
            </w:r>
          </w:p>
        </w:tc>
        <w:tc>
          <w:tcPr>
            <w:tcW w:w="2722" w:type="dxa"/>
          </w:tcPr>
          <w:p>
            <w:pPr>
              <w:pStyle w:val="TableParagraph"/>
              <w:spacing w:line="230" w:lineRule="exact"/>
              <w:ind w:left="76"/>
              <w:jc w:val="left"/>
              <w:rPr>
                <w:sz w:val="20"/>
              </w:rPr>
            </w:pPr>
            <w:r>
              <w:rPr>
                <w:sz w:val="20"/>
              </w:rPr>
              <w:t>New Orleans (MSY)</w:t>
            </w:r>
          </w:p>
        </w:tc>
        <w:tc>
          <w:tcPr>
            <w:tcW w:w="3168" w:type="dxa"/>
          </w:tcPr>
          <w:p>
            <w:pPr>
              <w:pStyle w:val="TableParagraph"/>
              <w:spacing w:line="230" w:lineRule="exact"/>
              <w:ind w:left="76"/>
              <w:jc w:val="left"/>
              <w:rPr>
                <w:sz w:val="20"/>
              </w:rPr>
            </w:pPr>
            <w:r>
              <w:rPr>
                <w:sz w:val="20"/>
              </w:rPr>
              <w:t>Spokane (GEG)</w:t>
            </w:r>
          </w:p>
        </w:tc>
      </w:tr>
      <w:tr>
        <w:trPr>
          <w:trHeight w:val="245" w:hRule="exact"/>
        </w:trPr>
        <w:tc>
          <w:tcPr>
            <w:tcW w:w="3552" w:type="dxa"/>
          </w:tcPr>
          <w:p>
            <w:pPr>
              <w:pStyle w:val="TableParagraph"/>
              <w:spacing w:line="230" w:lineRule="exact"/>
              <w:ind w:left="436"/>
              <w:jc w:val="left"/>
              <w:rPr>
                <w:sz w:val="20"/>
              </w:rPr>
            </w:pPr>
            <w:r>
              <w:rPr>
                <w:sz w:val="20"/>
              </w:rPr>
              <w:t>Corpus Christi (CRP)</w:t>
            </w:r>
          </w:p>
        </w:tc>
        <w:tc>
          <w:tcPr>
            <w:tcW w:w="2722" w:type="dxa"/>
          </w:tcPr>
          <w:p>
            <w:pPr>
              <w:pStyle w:val="TableParagraph"/>
              <w:spacing w:line="230" w:lineRule="exact"/>
              <w:ind w:left="76"/>
              <w:jc w:val="left"/>
              <w:rPr>
                <w:sz w:val="20"/>
              </w:rPr>
            </w:pPr>
            <w:r>
              <w:rPr>
                <w:sz w:val="20"/>
              </w:rPr>
              <w:t>Oakland (OAK)</w:t>
            </w:r>
          </w:p>
        </w:tc>
        <w:tc>
          <w:tcPr>
            <w:tcW w:w="3168" w:type="dxa"/>
          </w:tcPr>
          <w:p>
            <w:pPr>
              <w:pStyle w:val="TableParagraph"/>
              <w:spacing w:line="230" w:lineRule="exact"/>
              <w:ind w:left="76"/>
              <w:jc w:val="left"/>
              <w:rPr>
                <w:sz w:val="20"/>
              </w:rPr>
            </w:pPr>
            <w:r>
              <w:rPr>
                <w:sz w:val="20"/>
              </w:rPr>
              <w:t>Tampa (TPA)*</w:t>
            </w:r>
          </w:p>
        </w:tc>
      </w:tr>
      <w:tr>
        <w:trPr>
          <w:trHeight w:val="245" w:hRule="exact"/>
        </w:trPr>
        <w:tc>
          <w:tcPr>
            <w:tcW w:w="3552" w:type="dxa"/>
          </w:tcPr>
          <w:p>
            <w:pPr>
              <w:pStyle w:val="TableParagraph"/>
              <w:spacing w:line="230" w:lineRule="exact"/>
              <w:ind w:left="436"/>
              <w:jc w:val="left"/>
              <w:rPr>
                <w:sz w:val="20"/>
              </w:rPr>
            </w:pPr>
            <w:r>
              <w:rPr>
                <w:sz w:val="20"/>
              </w:rPr>
              <w:t>Dallas Love Field (DAL)</w:t>
            </w:r>
          </w:p>
        </w:tc>
        <w:tc>
          <w:tcPr>
            <w:tcW w:w="2722" w:type="dxa"/>
          </w:tcPr>
          <w:p>
            <w:pPr>
              <w:pStyle w:val="TableParagraph"/>
              <w:spacing w:line="230" w:lineRule="exact"/>
              <w:ind w:left="76"/>
              <w:jc w:val="left"/>
              <w:rPr>
                <w:sz w:val="20"/>
              </w:rPr>
            </w:pPr>
            <w:r>
              <w:rPr>
                <w:sz w:val="20"/>
              </w:rPr>
              <w:t>Oklahoma City (OKC)</w:t>
            </w:r>
          </w:p>
        </w:tc>
        <w:tc>
          <w:tcPr>
            <w:tcW w:w="3168" w:type="dxa"/>
          </w:tcPr>
          <w:p>
            <w:pPr>
              <w:pStyle w:val="TableParagraph"/>
              <w:spacing w:line="230" w:lineRule="exact"/>
              <w:ind w:left="76"/>
              <w:jc w:val="left"/>
              <w:rPr>
                <w:sz w:val="20"/>
              </w:rPr>
            </w:pPr>
            <w:r>
              <w:rPr>
                <w:sz w:val="20"/>
              </w:rPr>
              <w:t>Tucson (TUS)</w:t>
            </w:r>
          </w:p>
        </w:tc>
      </w:tr>
      <w:tr>
        <w:trPr>
          <w:trHeight w:val="245" w:hRule="exact"/>
        </w:trPr>
        <w:tc>
          <w:tcPr>
            <w:tcW w:w="3552" w:type="dxa"/>
          </w:tcPr>
          <w:p>
            <w:pPr>
              <w:pStyle w:val="TableParagraph"/>
              <w:spacing w:line="230" w:lineRule="exact"/>
              <w:ind w:left="436"/>
              <w:jc w:val="left"/>
              <w:rPr>
                <w:sz w:val="20"/>
              </w:rPr>
            </w:pPr>
            <w:r>
              <w:rPr>
                <w:sz w:val="20"/>
              </w:rPr>
              <w:t>Detroit Metro (DTW)</w:t>
            </w:r>
          </w:p>
        </w:tc>
        <w:tc>
          <w:tcPr>
            <w:tcW w:w="2722" w:type="dxa"/>
          </w:tcPr>
          <w:p>
            <w:pPr>
              <w:pStyle w:val="TableParagraph"/>
              <w:spacing w:line="230" w:lineRule="exact"/>
              <w:ind w:left="76"/>
              <w:jc w:val="left"/>
              <w:rPr>
                <w:sz w:val="20"/>
              </w:rPr>
            </w:pPr>
            <w:r>
              <w:rPr>
                <w:sz w:val="20"/>
              </w:rPr>
              <w:t>Omaha (OMA)</w:t>
            </w:r>
          </w:p>
        </w:tc>
        <w:tc>
          <w:tcPr>
            <w:tcW w:w="3168" w:type="dxa"/>
          </w:tcPr>
          <w:p>
            <w:pPr>
              <w:pStyle w:val="TableParagraph"/>
              <w:spacing w:line="230" w:lineRule="exact"/>
              <w:ind w:left="76"/>
              <w:jc w:val="left"/>
              <w:rPr>
                <w:sz w:val="20"/>
              </w:rPr>
            </w:pPr>
            <w:r>
              <w:rPr>
                <w:sz w:val="20"/>
              </w:rPr>
              <w:t>Tulsa (TUL)</w:t>
            </w:r>
          </w:p>
        </w:tc>
      </w:tr>
      <w:tr>
        <w:trPr>
          <w:trHeight w:val="245" w:hRule="exact"/>
        </w:trPr>
        <w:tc>
          <w:tcPr>
            <w:tcW w:w="3552" w:type="dxa"/>
          </w:tcPr>
          <w:p>
            <w:pPr>
              <w:pStyle w:val="TableParagraph"/>
              <w:spacing w:line="230" w:lineRule="exact"/>
              <w:ind w:left="436"/>
              <w:jc w:val="left"/>
              <w:rPr>
                <w:sz w:val="20"/>
              </w:rPr>
            </w:pPr>
            <w:r>
              <w:rPr>
                <w:sz w:val="20"/>
              </w:rPr>
              <w:t>El Paso (ELP)</w:t>
            </w:r>
          </w:p>
        </w:tc>
        <w:tc>
          <w:tcPr>
            <w:tcW w:w="2722" w:type="dxa"/>
          </w:tcPr>
          <w:p>
            <w:pPr>
              <w:pStyle w:val="TableParagraph"/>
              <w:spacing w:line="230" w:lineRule="exact"/>
              <w:ind w:left="76"/>
              <w:jc w:val="left"/>
              <w:rPr>
                <w:sz w:val="20"/>
              </w:rPr>
            </w:pPr>
            <w:r>
              <w:rPr>
                <w:sz w:val="20"/>
              </w:rPr>
              <w:t>Ontario (ONT)</w:t>
            </w:r>
          </w:p>
        </w:tc>
        <w:tc>
          <w:tcPr>
            <w:tcW w:w="3168" w:type="dxa"/>
          </w:tcPr>
          <w:p>
            <w:pPr>
              <w:pStyle w:val="TableParagraph"/>
              <w:spacing w:line="230" w:lineRule="exact"/>
              <w:ind w:left="76"/>
              <w:jc w:val="left"/>
              <w:rPr>
                <w:sz w:val="20"/>
              </w:rPr>
            </w:pPr>
            <w:r>
              <w:rPr>
                <w:sz w:val="20"/>
              </w:rPr>
              <w:t>*Effective January 22, 1996</w:t>
            </w:r>
          </w:p>
        </w:tc>
      </w:tr>
      <w:tr>
        <w:trPr>
          <w:trHeight w:val="245" w:hRule="exact"/>
        </w:trPr>
        <w:tc>
          <w:tcPr>
            <w:tcW w:w="3552" w:type="dxa"/>
          </w:tcPr>
          <w:p>
            <w:pPr>
              <w:pStyle w:val="TableParagraph"/>
              <w:spacing w:line="230" w:lineRule="exact"/>
              <w:ind w:left="436"/>
              <w:jc w:val="left"/>
              <w:rPr>
                <w:sz w:val="20"/>
              </w:rPr>
            </w:pPr>
            <w:r>
              <w:rPr>
                <w:sz w:val="20"/>
              </w:rPr>
              <w:t>Ft. Lauderdale (FLL)*</w:t>
            </w:r>
          </w:p>
        </w:tc>
        <w:tc>
          <w:tcPr>
            <w:tcW w:w="2722" w:type="dxa"/>
          </w:tcPr>
          <w:p>
            <w:pPr>
              <w:pStyle w:val="TableParagraph"/>
              <w:spacing w:line="230" w:lineRule="exact"/>
              <w:ind w:left="76"/>
              <w:jc w:val="left"/>
              <w:rPr>
                <w:sz w:val="20"/>
              </w:rPr>
            </w:pPr>
            <w:r>
              <w:rPr>
                <w:sz w:val="20"/>
              </w:rPr>
              <w:t>Orange County (SNA)</w:t>
            </w:r>
          </w:p>
        </w:tc>
        <w:tc>
          <w:tcPr>
            <w:tcW w:w="3168" w:type="dxa"/>
          </w:tcPr>
          <w:p>
            <w:pPr>
              <w:pStyle w:val="TableParagraph"/>
              <w:spacing w:line="230" w:lineRule="exact"/>
              <w:ind w:left="76"/>
              <w:jc w:val="left"/>
              <w:rPr>
                <w:sz w:val="20"/>
              </w:rPr>
            </w:pPr>
            <w:r>
              <w:rPr>
                <w:sz w:val="20"/>
              </w:rPr>
              <w:t>**Effective April 7, 1996</w:t>
            </w:r>
          </w:p>
        </w:tc>
      </w:tr>
      <w:tr>
        <w:trPr>
          <w:trHeight w:val="245" w:hRule="exact"/>
        </w:trPr>
        <w:tc>
          <w:tcPr>
            <w:tcW w:w="3552" w:type="dxa"/>
          </w:tcPr>
          <w:p>
            <w:pPr>
              <w:pStyle w:val="TableParagraph"/>
              <w:spacing w:line="230" w:lineRule="exact"/>
              <w:ind w:left="436"/>
              <w:jc w:val="left"/>
              <w:rPr>
                <w:sz w:val="20"/>
              </w:rPr>
            </w:pPr>
            <w:r>
              <w:rPr>
                <w:sz w:val="20"/>
              </w:rPr>
              <w:t>Harlingen (HRL)</w:t>
            </w:r>
          </w:p>
        </w:tc>
        <w:tc>
          <w:tcPr>
            <w:tcW w:w="2722" w:type="dxa"/>
          </w:tcPr>
          <w:p>
            <w:pPr>
              <w:pStyle w:val="TableParagraph"/>
              <w:spacing w:line="230" w:lineRule="exact"/>
              <w:ind w:left="76"/>
              <w:jc w:val="left"/>
              <w:rPr>
                <w:sz w:val="20"/>
              </w:rPr>
            </w:pPr>
            <w:r>
              <w:rPr>
                <w:sz w:val="20"/>
              </w:rPr>
              <w:t>Orlando (MCO)**</w:t>
            </w:r>
          </w:p>
        </w:tc>
        <w:tc>
          <w:tcPr>
            <w:tcW w:w="3168" w:type="dxa"/>
          </w:tcPr>
          <w:p>
            <w:pPr/>
          </w:p>
        </w:tc>
      </w:tr>
      <w:tr>
        <w:trPr>
          <w:trHeight w:val="245" w:hRule="exact"/>
        </w:trPr>
        <w:tc>
          <w:tcPr>
            <w:tcW w:w="3552" w:type="dxa"/>
          </w:tcPr>
          <w:p>
            <w:pPr>
              <w:pStyle w:val="TableParagraph"/>
              <w:spacing w:line="230" w:lineRule="exact"/>
              <w:ind w:left="436"/>
              <w:jc w:val="left"/>
              <w:rPr>
                <w:sz w:val="20"/>
              </w:rPr>
            </w:pPr>
            <w:r>
              <w:rPr>
                <w:sz w:val="20"/>
              </w:rPr>
              <w:t>Houston Hobby (HOU)</w:t>
            </w:r>
          </w:p>
        </w:tc>
        <w:tc>
          <w:tcPr>
            <w:tcW w:w="2722" w:type="dxa"/>
          </w:tcPr>
          <w:p>
            <w:pPr>
              <w:pStyle w:val="TableParagraph"/>
              <w:spacing w:line="230" w:lineRule="exact"/>
              <w:ind w:left="76"/>
              <w:jc w:val="left"/>
              <w:rPr>
                <w:sz w:val="20"/>
              </w:rPr>
            </w:pPr>
            <w:r>
              <w:rPr>
                <w:sz w:val="20"/>
              </w:rPr>
              <w:t>Phoenix (PHX)</w:t>
            </w:r>
          </w:p>
        </w:tc>
        <w:tc>
          <w:tcPr>
            <w:tcW w:w="3168" w:type="dxa"/>
          </w:tcPr>
          <w:p>
            <w:pPr/>
          </w:p>
        </w:tc>
      </w:tr>
      <w:tr>
        <w:trPr>
          <w:trHeight w:val="245" w:hRule="exact"/>
        </w:trPr>
        <w:tc>
          <w:tcPr>
            <w:tcW w:w="3552" w:type="dxa"/>
          </w:tcPr>
          <w:p>
            <w:pPr>
              <w:pStyle w:val="TableParagraph"/>
              <w:spacing w:line="230" w:lineRule="exact"/>
              <w:ind w:left="436"/>
              <w:jc w:val="left"/>
              <w:rPr>
                <w:sz w:val="20"/>
              </w:rPr>
            </w:pPr>
            <w:r>
              <w:rPr>
                <w:sz w:val="20"/>
              </w:rPr>
              <w:t>Houston Intercontinental (IAH)</w:t>
            </w:r>
          </w:p>
        </w:tc>
        <w:tc>
          <w:tcPr>
            <w:tcW w:w="2722" w:type="dxa"/>
          </w:tcPr>
          <w:p>
            <w:pPr>
              <w:pStyle w:val="TableParagraph"/>
              <w:spacing w:line="230" w:lineRule="exact"/>
              <w:ind w:left="76"/>
              <w:jc w:val="left"/>
              <w:rPr>
                <w:sz w:val="20"/>
              </w:rPr>
            </w:pPr>
            <w:r>
              <w:rPr>
                <w:sz w:val="20"/>
              </w:rPr>
              <w:t>Portland (PDX)</w:t>
            </w:r>
          </w:p>
        </w:tc>
        <w:tc>
          <w:tcPr>
            <w:tcW w:w="3168" w:type="dxa"/>
          </w:tcPr>
          <w:p>
            <w:pPr/>
          </w:p>
        </w:tc>
      </w:tr>
    </w:tbl>
    <w:p>
      <w:pPr>
        <w:pStyle w:val="BodyText"/>
        <w:rPr>
          <w:b/>
          <w:sz w:val="26"/>
        </w:rPr>
      </w:pPr>
    </w:p>
    <w:p>
      <w:pPr>
        <w:pStyle w:val="BodyText"/>
        <w:rPr>
          <w:b/>
          <w:sz w:val="26"/>
        </w:rPr>
      </w:pPr>
    </w:p>
    <w:p>
      <w:pPr>
        <w:spacing w:line="312" w:lineRule="auto" w:before="204"/>
        <w:ind w:left="120" w:right="841" w:firstLine="0"/>
        <w:jc w:val="left"/>
        <w:rPr>
          <w:sz w:val="24"/>
        </w:rPr>
      </w:pPr>
      <w:r>
        <w:rPr>
          <w:sz w:val="24"/>
        </w:rPr>
        <w:t>Southwest Airlines added Omaha (OMA) to our rapidly expanding coast-to-coast system in 1995. </w:t>
      </w:r>
      <w:r>
        <w:rPr>
          <w:i/>
          <w:sz w:val="24"/>
        </w:rPr>
        <w:t>California One, </w:t>
      </w:r>
      <w:r>
        <w:rPr>
          <w:sz w:val="24"/>
        </w:rPr>
        <w:t>our newest Southwest flagship, was proudly unveiled in Sacramento in August. At yearend 1995, Southwest provided service to 46 airports in 45 cities. Ft. Lauderdale (FLL) and Tampa (TPA) were added in January 1996. Orlando (MCO) begins service in April 1996.</w:t>
      </w:r>
    </w:p>
    <w:p>
      <w:pPr>
        <w:spacing w:after="0" w:line="312" w:lineRule="auto"/>
        <w:jc w:val="left"/>
        <w:rPr>
          <w:sz w:val="24"/>
        </w:rPr>
        <w:sectPr>
          <w:footerReference w:type="default" r:id="rId8"/>
          <w:pgSz w:w="12240" w:h="15840"/>
          <w:pgMar w:footer="790" w:header="0" w:top="1500" w:bottom="980" w:left="1680" w:right="880"/>
        </w:sectPr>
      </w:pPr>
    </w:p>
    <w:p>
      <w:pPr>
        <w:pStyle w:val="Heading2"/>
        <w:spacing w:line="249" w:lineRule="auto" w:before="84"/>
        <w:ind w:left="120" w:right="815"/>
      </w:pPr>
      <w:r>
        <w:rPr/>
        <w:t>Management’s Discussion And Analysis Of Financial Condition And Results Of Operations</w:t>
      </w:r>
    </w:p>
    <w:p>
      <w:pPr>
        <w:pStyle w:val="BodyText"/>
        <w:spacing w:before="1"/>
        <w:rPr>
          <w:b/>
        </w:rPr>
      </w:pPr>
    </w:p>
    <w:p>
      <w:pPr>
        <w:spacing w:before="0"/>
        <w:ind w:left="120" w:right="0" w:firstLine="0"/>
        <w:jc w:val="left"/>
        <w:rPr>
          <w:b/>
          <w:sz w:val="20"/>
        </w:rPr>
      </w:pPr>
      <w:r>
        <w:rPr>
          <w:b/>
          <w:sz w:val="20"/>
        </w:rPr>
        <w:t>Year In Review</w:t>
      </w:r>
    </w:p>
    <w:p>
      <w:pPr>
        <w:pStyle w:val="BodyText"/>
        <w:spacing w:before="5"/>
        <w:rPr>
          <w:b/>
        </w:rPr>
      </w:pPr>
    </w:p>
    <w:p>
      <w:pPr>
        <w:pStyle w:val="BodyText"/>
        <w:ind w:left="119" w:right="131"/>
      </w:pPr>
      <w:r>
        <w:rPr>
          <w:spacing w:val="-3"/>
        </w:rPr>
        <w:t>Southwest </w:t>
      </w:r>
      <w:r>
        <w:rPr/>
        <w:t>and the airline industry posted their highest profits ever in 1995. Southwest began 1995 with </w:t>
      </w:r>
      <w:r>
        <w:rPr>
          <w:spacing w:val="2"/>
        </w:rPr>
        <w:t>first </w:t>
      </w:r>
      <w:r>
        <w:rPr/>
        <w:t>quarter earnings substantially below </w:t>
      </w:r>
      <w:r>
        <w:rPr>
          <w:spacing w:val="2"/>
        </w:rPr>
        <w:t>first </w:t>
      </w:r>
      <w:r>
        <w:rPr/>
        <w:t>quarter 1994. This beginning of 1995 followed a 47 percent decline in fourth quarter 1994 earnings compared to fourth quarter 1993. In early 1995, </w:t>
      </w:r>
      <w:r>
        <w:rPr>
          <w:spacing w:val="-3"/>
        </w:rPr>
        <w:t>we </w:t>
      </w:r>
      <w:r>
        <w:rPr/>
        <w:t>addressed </w:t>
      </w:r>
      <w:r>
        <w:rPr>
          <w:spacing w:val="-3"/>
        </w:rPr>
        <w:t>many </w:t>
      </w:r>
      <w:r>
        <w:rPr/>
        <w:t>of the challenges that surfaced during fourth quarter 1994, and </w:t>
      </w:r>
      <w:r>
        <w:rPr>
          <w:spacing w:val="-4"/>
        </w:rPr>
        <w:t>we </w:t>
      </w:r>
      <w:r>
        <w:rPr/>
        <w:t>finished the year strong, reporting record earnings for</w:t>
      </w:r>
      <w:r>
        <w:rPr>
          <w:spacing w:val="10"/>
        </w:rPr>
        <w:t> </w:t>
      </w:r>
      <w:r>
        <w:rPr/>
        <w:t>1995.</w:t>
      </w:r>
    </w:p>
    <w:p>
      <w:pPr>
        <w:pStyle w:val="BodyText"/>
      </w:pPr>
    </w:p>
    <w:p>
      <w:pPr>
        <w:pStyle w:val="BodyText"/>
        <w:ind w:left="119" w:right="131"/>
      </w:pPr>
      <w:r>
        <w:rPr/>
        <w:t>Competitive pressures eased in 1995 with most carriers pulling back to their hubs and routes where they dominate. Continental Lite ceased to exist, American substantially decreased its presence in Nashville, and the United Shuttle reduced head-to-head competition with Southwest by approximately 50 percent. Southwest, however, continued to expand, adding service to Omaha, Nebraska, and increasing service in many under-served markets, particularly those experiencing reductions in service by other carriers.</w:t>
      </w:r>
    </w:p>
    <w:p>
      <w:pPr>
        <w:pStyle w:val="BodyText"/>
      </w:pPr>
    </w:p>
    <w:p>
      <w:pPr>
        <w:pStyle w:val="BodyText"/>
        <w:ind w:left="119" w:right="190"/>
      </w:pPr>
      <w:r>
        <w:rPr/>
        <w:t>In 1995, capacity and traffic for the domestic airline industry grew approximately three percent and four percent, respectively, and load factor increased versus 1994 due to modest capacity growth and a steady economy. Southwest, however, grew capacity aggressively at 12.6 percent. For most of 1995 and in January 1996, Southwest’s monthly load factors were below year-ago levels. While it is too early to determine if this trend will continue in 1996, thus far the lower load factors have been offset by strong passenger revenue yield performances. Our passenger revenue yield for January 1996 exceeded January 1995 by more than ten percent aided, in large measure, by the lapse of the ten percent federal ticket tax on January 1, 1996.</w:t>
      </w:r>
    </w:p>
    <w:p>
      <w:pPr>
        <w:pStyle w:val="BodyText"/>
      </w:pPr>
    </w:p>
    <w:p>
      <w:pPr>
        <w:pStyle w:val="BodyText"/>
        <w:ind w:left="119" w:right="425"/>
        <w:jc w:val="both"/>
      </w:pPr>
      <w:r>
        <w:rPr/>
        <w:t>The early results of our 1996 expansion into Florida look promising as our load factors for our initial two markets, Tampa and Ft. Lauderdale, have exceeded our systemwide averages. We will begin service to Orlando in April 1996.</w:t>
      </w:r>
    </w:p>
    <w:p>
      <w:pPr>
        <w:pStyle w:val="BodyText"/>
      </w:pPr>
    </w:p>
    <w:p>
      <w:pPr>
        <w:pStyle w:val="BodyText"/>
        <w:ind w:left="119" w:right="239"/>
      </w:pPr>
      <w:r>
        <w:rPr/>
        <w:t>After years of horrendous losses, most carriers reduced costs in 1995 by closing hubs, reducing their work force, contracting high-cost work, and obtaining concessions from union workers. For the second consecutive year, our operating expenses per available seat mile (ASM) also declined year-over-year, down .1 percent in 1995 primarily due to the significant reduction in the Company’s distribution costs. While our goal is to continue this overall cost trend, recent increases in jet fuel prices, and the October 1, 1995 implementation of a 4.3 cents per gallon transportation fuel tax for</w:t>
      </w:r>
    </w:p>
    <w:p>
      <w:pPr>
        <w:pStyle w:val="BodyText"/>
        <w:ind w:left="119"/>
      </w:pPr>
      <w:r>
        <w:rPr/>
        <w:t>commercial aviation, make near-term reductions in total operating expenses on a per-ASM basis much more difficult.</w:t>
      </w:r>
    </w:p>
    <w:p>
      <w:pPr>
        <w:pStyle w:val="BodyText"/>
      </w:pPr>
    </w:p>
    <w:p>
      <w:pPr>
        <w:pStyle w:val="BodyText"/>
        <w:spacing w:before="1"/>
        <w:ind w:left="119" w:right="169"/>
      </w:pPr>
      <w:r>
        <w:rPr/>
        <w:t>The national budget impasse, lapse of the ten percent ticket tax and its presumed reinstatement, proposed deferral of the jet fuel tax, and looming prospect of FAA reform present uncertainty for 1996 and future periods. </w:t>
      </w:r>
      <w:r>
        <w:rPr>
          <w:spacing w:val="-3"/>
        </w:rPr>
        <w:t>At </w:t>
      </w:r>
      <w:r>
        <w:rPr/>
        <w:t>the current time, Southwest is unable to predict how these issues will be resolved and what impact, if any, resolution of these uncertainties will have on future operating results or financial</w:t>
      </w:r>
      <w:r>
        <w:rPr>
          <w:spacing w:val="8"/>
        </w:rPr>
        <w:t> </w:t>
      </w:r>
      <w:r>
        <w:rPr/>
        <w:t>condition.</w:t>
      </w:r>
    </w:p>
    <w:p>
      <w:pPr>
        <w:pStyle w:val="BodyText"/>
      </w:pPr>
    </w:p>
    <w:p>
      <w:pPr>
        <w:pStyle w:val="BodyText"/>
        <w:spacing w:before="1"/>
        <w:ind w:left="119" w:right="239"/>
      </w:pPr>
      <w:r>
        <w:rPr/>
        <w:t>During 1996, we plan to add a net of seventeen aircraft to our fleet, which will be used primarily in our Florida expansion and to strengthen our existing route system.</w:t>
      </w:r>
    </w:p>
    <w:p>
      <w:pPr>
        <w:pStyle w:val="BodyText"/>
        <w:spacing w:before="5"/>
      </w:pPr>
    </w:p>
    <w:p>
      <w:pPr>
        <w:pStyle w:val="Heading2"/>
      </w:pPr>
      <w:r>
        <w:rPr/>
        <w:t>RESULTS OF OPERATIONS</w:t>
      </w:r>
    </w:p>
    <w:p>
      <w:pPr>
        <w:pStyle w:val="BodyText"/>
        <w:spacing w:before="9"/>
        <w:rPr>
          <w:b/>
        </w:rPr>
      </w:pPr>
    </w:p>
    <w:p>
      <w:pPr>
        <w:pStyle w:val="BodyText"/>
        <w:spacing w:line="242" w:lineRule="auto"/>
        <w:ind w:left="119" w:right="190"/>
      </w:pPr>
      <w:r>
        <w:rPr>
          <w:b/>
        </w:rPr>
        <w:t>1995 COMPARED WITH 1994 </w:t>
      </w:r>
      <w:r>
        <w:rPr/>
        <w:t>The Company’s consolidated net income for 1995 was $182.6 million ($1.23 per share), as compared to the corresponding 1994 amount of $179.3 million ($1.22 per share), an increase of 1.8 percent.</w:t>
      </w:r>
    </w:p>
    <w:p>
      <w:pPr>
        <w:spacing w:after="0" w:line="242" w:lineRule="auto"/>
        <w:sectPr>
          <w:footerReference w:type="default" r:id="rId9"/>
          <w:pgSz w:w="12240" w:h="15840"/>
          <w:pgMar w:footer="730" w:header="0" w:top="1360" w:bottom="920" w:left="1680" w:right="1680"/>
          <w:pgNumType w:start="21"/>
        </w:sectPr>
      </w:pPr>
    </w:p>
    <w:p>
      <w:pPr>
        <w:pStyle w:val="BodyText"/>
        <w:spacing w:line="242" w:lineRule="auto" w:before="79"/>
        <w:ind w:left="160" w:right="210"/>
      </w:pPr>
      <w:r>
        <w:rPr>
          <w:i/>
        </w:rPr>
        <w:t>OPERATING REVENUES </w:t>
      </w:r>
      <w:r>
        <w:rPr/>
        <w:t>Consolidated operating revenues increased by 10.8 percent in 1995 to $2,872.8 million, compared to $2,591.9 million for 1994. This increase in 1995 operating revenues was derived from a 10.5 percent increase in passenger revenues. </w:t>
      </w:r>
      <w:r>
        <w:rPr>
          <w:spacing w:val="-3"/>
        </w:rPr>
        <w:t>Revenue </w:t>
      </w:r>
      <w:r>
        <w:rPr/>
        <w:t>passenger miles (RPMs) increased 7.9 percent in 1995, compared to a 12.6 percent increase in </w:t>
      </w:r>
      <w:r>
        <w:rPr>
          <w:spacing w:val="-3"/>
        </w:rPr>
        <w:t>ASMs, </w:t>
      </w:r>
      <w:r>
        <w:rPr/>
        <w:t>resulting in a decrease in load factor from 67.3 percent in 1994 to 64.5 percent in 1995. The 1995 </w:t>
      </w:r>
      <w:r>
        <w:rPr>
          <w:spacing w:val="-3"/>
        </w:rPr>
        <w:t>ASM </w:t>
      </w:r>
      <w:r>
        <w:rPr/>
        <w:t>growth resulted from the addition of 25 aircraft during the</w:t>
      </w:r>
      <w:r>
        <w:rPr>
          <w:spacing w:val="25"/>
        </w:rPr>
        <w:t> </w:t>
      </w:r>
      <w:r>
        <w:rPr/>
        <w:t>year.</w:t>
      </w:r>
    </w:p>
    <w:p>
      <w:pPr>
        <w:pStyle w:val="BodyText"/>
        <w:spacing w:before="9"/>
        <w:rPr>
          <w:sz w:val="19"/>
        </w:rPr>
      </w:pPr>
    </w:p>
    <w:p>
      <w:pPr>
        <w:pStyle w:val="BodyText"/>
        <w:ind w:left="160" w:right="254"/>
      </w:pPr>
      <w:r>
        <w:rPr/>
        <w:t>Freight revenues in 1995 were $65.8 million, compared to $54.4 million in 1994. The 21.0 percent increase in freight revenues exceeded the 12.6 percent increase in ASMs for the same period primarily due to increased air freight volumes and United States mail services primarily resulting from the development of new markets added in 1994.</w:t>
      </w:r>
    </w:p>
    <w:p>
      <w:pPr>
        <w:pStyle w:val="BodyText"/>
        <w:spacing w:before="5"/>
      </w:pPr>
    </w:p>
    <w:p>
      <w:pPr>
        <w:pStyle w:val="BodyText"/>
        <w:spacing w:line="242" w:lineRule="auto"/>
        <w:ind w:left="160"/>
      </w:pPr>
      <w:r>
        <w:rPr>
          <w:i/>
        </w:rPr>
        <w:t>OPERATING EXPENSES </w:t>
      </w:r>
      <w:r>
        <w:rPr/>
        <w:t>Consolidated operating expenses for 1995 were $2,559.2 million, compared to $2,275.2 million in 1994, an increase of 12.5 percent, compared to the 12.6 percent increase in ASMs. For the second consecutive year, operating expenses on a per-ASM basis decreased year-over-year, down .1 percent in 1995.</w:t>
      </w:r>
    </w:p>
    <w:p>
      <w:pPr>
        <w:pStyle w:val="BodyText"/>
        <w:spacing w:before="9"/>
        <w:rPr>
          <w:sz w:val="19"/>
        </w:rPr>
      </w:pPr>
    </w:p>
    <w:p>
      <w:pPr>
        <w:pStyle w:val="BodyText"/>
        <w:spacing w:before="1"/>
        <w:ind w:left="160"/>
      </w:pPr>
      <w:r>
        <w:rPr/>
        <w:t>Operating expenses per ASM for 1995 and 1994 were as follows:</w:t>
      </w:r>
    </w:p>
    <w:p>
      <w:pPr>
        <w:pStyle w:val="BodyText"/>
        <w:spacing w:before="3"/>
        <w:rPr>
          <w:sz w:val="21"/>
        </w:rPr>
      </w:pPr>
    </w:p>
    <w:p>
      <w:pPr>
        <w:pStyle w:val="Heading2"/>
        <w:spacing w:after="10"/>
        <w:ind w:left="160"/>
      </w:pPr>
      <w:r>
        <w:rPr/>
        <w:t>OPERATING EXPENSES PER ASM</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15"/>
        <w:gridCol w:w="1282"/>
        <w:gridCol w:w="1327"/>
        <w:gridCol w:w="1620"/>
        <w:gridCol w:w="1047"/>
      </w:tblGrid>
      <w:tr>
        <w:trPr>
          <w:trHeight w:val="458" w:hRule="exact"/>
        </w:trPr>
        <w:tc>
          <w:tcPr>
            <w:tcW w:w="2815" w:type="dxa"/>
          </w:tcPr>
          <w:p>
            <w:pPr/>
          </w:p>
        </w:tc>
        <w:tc>
          <w:tcPr>
            <w:tcW w:w="1282" w:type="dxa"/>
          </w:tcPr>
          <w:p>
            <w:pPr>
              <w:pStyle w:val="TableParagraph"/>
              <w:spacing w:before="6"/>
              <w:jc w:val="left"/>
              <w:rPr>
                <w:b/>
                <w:sz w:val="19"/>
              </w:rPr>
            </w:pPr>
          </w:p>
          <w:p>
            <w:pPr>
              <w:pStyle w:val="TableParagraph"/>
              <w:spacing w:before="1"/>
              <w:ind w:right="497"/>
              <w:rPr>
                <w:sz w:val="20"/>
              </w:rPr>
            </w:pPr>
            <w:r>
              <w:rPr>
                <w:sz w:val="20"/>
                <w:u w:val="single"/>
              </w:rPr>
              <w:t>1995</w:t>
            </w:r>
          </w:p>
        </w:tc>
        <w:tc>
          <w:tcPr>
            <w:tcW w:w="1327" w:type="dxa"/>
          </w:tcPr>
          <w:p>
            <w:pPr>
              <w:pStyle w:val="TableParagraph"/>
              <w:spacing w:before="6"/>
              <w:jc w:val="left"/>
              <w:rPr>
                <w:b/>
                <w:sz w:val="19"/>
              </w:rPr>
            </w:pPr>
          </w:p>
          <w:p>
            <w:pPr>
              <w:pStyle w:val="TableParagraph"/>
              <w:spacing w:before="1"/>
              <w:ind w:right="384"/>
              <w:rPr>
                <w:sz w:val="20"/>
              </w:rPr>
            </w:pPr>
            <w:r>
              <w:rPr>
                <w:sz w:val="20"/>
                <w:u w:val="single"/>
              </w:rPr>
              <w:t>1994</w:t>
            </w:r>
          </w:p>
        </w:tc>
        <w:tc>
          <w:tcPr>
            <w:tcW w:w="1620" w:type="dxa"/>
          </w:tcPr>
          <w:p>
            <w:pPr>
              <w:pStyle w:val="TableParagraph"/>
              <w:ind w:left="357" w:right="287" w:firstLine="96"/>
              <w:jc w:val="left"/>
              <w:rPr>
                <w:sz w:val="20"/>
              </w:rPr>
            </w:pPr>
            <w:r>
              <w:rPr>
                <w:sz w:val="20"/>
              </w:rPr>
              <w:t>Increase </w:t>
            </w:r>
            <w:r>
              <w:rPr>
                <w:sz w:val="20"/>
                <w:u w:val="single"/>
              </w:rPr>
              <w:t>(decrease)</w:t>
            </w:r>
          </w:p>
        </w:tc>
        <w:tc>
          <w:tcPr>
            <w:tcW w:w="1047" w:type="dxa"/>
          </w:tcPr>
          <w:p>
            <w:pPr>
              <w:pStyle w:val="TableParagraph"/>
              <w:ind w:left="306"/>
              <w:jc w:val="left"/>
              <w:rPr>
                <w:sz w:val="20"/>
              </w:rPr>
            </w:pPr>
            <w:r>
              <w:rPr>
                <w:sz w:val="20"/>
              </w:rPr>
              <w:t>Percent </w:t>
            </w:r>
            <w:r>
              <w:rPr>
                <w:sz w:val="20"/>
                <w:u w:val="single"/>
              </w:rPr>
              <w:t>Change</w:t>
            </w:r>
          </w:p>
        </w:tc>
      </w:tr>
      <w:tr>
        <w:trPr>
          <w:trHeight w:val="576" w:hRule="exact"/>
        </w:trPr>
        <w:tc>
          <w:tcPr>
            <w:tcW w:w="2815" w:type="dxa"/>
          </w:tcPr>
          <w:p>
            <w:pPr>
              <w:pStyle w:val="TableParagraph"/>
              <w:ind w:left="50" w:right="227"/>
              <w:jc w:val="left"/>
              <w:rPr>
                <w:sz w:val="20"/>
              </w:rPr>
            </w:pPr>
            <w:r>
              <w:rPr>
                <w:sz w:val="20"/>
              </w:rPr>
              <w:t>Salaries, wages, and benefits</w:t>
            </w:r>
          </w:p>
        </w:tc>
        <w:tc>
          <w:tcPr>
            <w:tcW w:w="1282" w:type="dxa"/>
          </w:tcPr>
          <w:p>
            <w:pPr>
              <w:pStyle w:val="TableParagraph"/>
              <w:spacing w:before="9"/>
              <w:jc w:val="left"/>
              <w:rPr>
                <w:b/>
                <w:sz w:val="19"/>
              </w:rPr>
            </w:pPr>
          </w:p>
          <w:p>
            <w:pPr>
              <w:pStyle w:val="TableParagraph"/>
              <w:ind w:right="468"/>
              <w:rPr>
                <w:sz w:val="20"/>
              </w:rPr>
            </w:pPr>
            <w:r>
              <w:rPr>
                <w:sz w:val="20"/>
              </w:rPr>
              <w:t>2.17¢</w:t>
            </w:r>
          </w:p>
        </w:tc>
        <w:tc>
          <w:tcPr>
            <w:tcW w:w="1327" w:type="dxa"/>
          </w:tcPr>
          <w:p>
            <w:pPr>
              <w:pStyle w:val="TableParagraph"/>
              <w:spacing w:before="9"/>
              <w:jc w:val="left"/>
              <w:rPr>
                <w:b/>
                <w:sz w:val="19"/>
              </w:rPr>
            </w:pPr>
          </w:p>
          <w:p>
            <w:pPr>
              <w:pStyle w:val="TableParagraph"/>
              <w:ind w:right="355"/>
              <w:rPr>
                <w:sz w:val="20"/>
              </w:rPr>
            </w:pPr>
            <w:r>
              <w:rPr>
                <w:sz w:val="20"/>
              </w:rPr>
              <w:t>2.13¢</w:t>
            </w:r>
          </w:p>
        </w:tc>
        <w:tc>
          <w:tcPr>
            <w:tcW w:w="1620" w:type="dxa"/>
          </w:tcPr>
          <w:p>
            <w:pPr>
              <w:pStyle w:val="TableParagraph"/>
              <w:spacing w:before="9"/>
              <w:jc w:val="left"/>
              <w:rPr>
                <w:b/>
                <w:sz w:val="19"/>
              </w:rPr>
            </w:pPr>
          </w:p>
          <w:p>
            <w:pPr>
              <w:pStyle w:val="TableParagraph"/>
              <w:ind w:left="550" w:right="502"/>
              <w:jc w:val="center"/>
              <w:rPr>
                <w:sz w:val="20"/>
              </w:rPr>
            </w:pPr>
            <w:r>
              <w:rPr>
                <w:sz w:val="20"/>
              </w:rPr>
              <w:t>.04¢</w:t>
            </w:r>
          </w:p>
        </w:tc>
        <w:tc>
          <w:tcPr>
            <w:tcW w:w="1047" w:type="dxa"/>
          </w:tcPr>
          <w:p>
            <w:pPr>
              <w:pStyle w:val="TableParagraph"/>
              <w:spacing w:before="9"/>
              <w:jc w:val="left"/>
              <w:rPr>
                <w:b/>
                <w:sz w:val="19"/>
              </w:rPr>
            </w:pPr>
          </w:p>
          <w:p>
            <w:pPr>
              <w:pStyle w:val="TableParagraph"/>
              <w:ind w:right="158"/>
              <w:rPr>
                <w:sz w:val="20"/>
              </w:rPr>
            </w:pPr>
            <w:r>
              <w:rPr>
                <w:sz w:val="20"/>
              </w:rPr>
              <w:t>1.9%</w:t>
            </w:r>
          </w:p>
        </w:tc>
      </w:tr>
      <w:tr>
        <w:trPr>
          <w:trHeight w:val="691" w:hRule="exact"/>
        </w:trPr>
        <w:tc>
          <w:tcPr>
            <w:tcW w:w="2815" w:type="dxa"/>
          </w:tcPr>
          <w:p>
            <w:pPr>
              <w:pStyle w:val="TableParagraph"/>
              <w:spacing w:before="112"/>
              <w:ind w:left="50" w:right="227"/>
              <w:jc w:val="left"/>
              <w:rPr>
                <w:sz w:val="20"/>
              </w:rPr>
            </w:pPr>
            <w:r>
              <w:rPr>
                <w:sz w:val="20"/>
              </w:rPr>
              <w:t>Employee profitsharing and savings plans</w:t>
            </w:r>
          </w:p>
        </w:tc>
        <w:tc>
          <w:tcPr>
            <w:tcW w:w="1282" w:type="dxa"/>
          </w:tcPr>
          <w:p>
            <w:pPr>
              <w:pStyle w:val="TableParagraph"/>
              <w:spacing w:before="9"/>
              <w:jc w:val="left"/>
              <w:rPr>
                <w:b/>
                <w:sz w:val="29"/>
              </w:rPr>
            </w:pPr>
          </w:p>
          <w:p>
            <w:pPr>
              <w:pStyle w:val="TableParagraph"/>
              <w:ind w:left="422"/>
              <w:jc w:val="left"/>
              <w:rPr>
                <w:sz w:val="20"/>
              </w:rPr>
            </w:pPr>
            <w:r>
              <w:rPr>
                <w:sz w:val="20"/>
              </w:rPr>
              <w:t>.23</w:t>
            </w:r>
          </w:p>
        </w:tc>
        <w:tc>
          <w:tcPr>
            <w:tcW w:w="1327" w:type="dxa"/>
          </w:tcPr>
          <w:p>
            <w:pPr>
              <w:pStyle w:val="TableParagraph"/>
              <w:spacing w:before="9"/>
              <w:jc w:val="left"/>
              <w:rPr>
                <w:b/>
                <w:sz w:val="29"/>
              </w:rPr>
            </w:pPr>
          </w:p>
          <w:p>
            <w:pPr>
              <w:pStyle w:val="TableParagraph"/>
              <w:ind w:left="560" w:right="449"/>
              <w:jc w:val="center"/>
              <w:rPr>
                <w:sz w:val="20"/>
              </w:rPr>
            </w:pPr>
            <w:r>
              <w:rPr>
                <w:sz w:val="20"/>
              </w:rPr>
              <w:t>.22</w:t>
            </w:r>
          </w:p>
        </w:tc>
        <w:tc>
          <w:tcPr>
            <w:tcW w:w="1620" w:type="dxa"/>
          </w:tcPr>
          <w:p>
            <w:pPr>
              <w:pStyle w:val="TableParagraph"/>
              <w:spacing w:before="9"/>
              <w:jc w:val="left"/>
              <w:rPr>
                <w:b/>
                <w:sz w:val="29"/>
              </w:rPr>
            </w:pPr>
          </w:p>
          <w:p>
            <w:pPr>
              <w:pStyle w:val="TableParagraph"/>
              <w:ind w:left="546" w:right="502"/>
              <w:jc w:val="center"/>
              <w:rPr>
                <w:sz w:val="20"/>
              </w:rPr>
            </w:pPr>
            <w:r>
              <w:rPr>
                <w:sz w:val="20"/>
              </w:rPr>
              <w:t>.01</w:t>
            </w:r>
          </w:p>
        </w:tc>
        <w:tc>
          <w:tcPr>
            <w:tcW w:w="1047" w:type="dxa"/>
          </w:tcPr>
          <w:p>
            <w:pPr>
              <w:pStyle w:val="TableParagraph"/>
              <w:spacing w:before="9"/>
              <w:jc w:val="left"/>
              <w:rPr>
                <w:b/>
                <w:sz w:val="29"/>
              </w:rPr>
            </w:pPr>
          </w:p>
          <w:p>
            <w:pPr>
              <w:pStyle w:val="TableParagraph"/>
              <w:ind w:left="513"/>
              <w:jc w:val="left"/>
              <w:rPr>
                <w:sz w:val="20"/>
              </w:rPr>
            </w:pPr>
            <w:r>
              <w:rPr>
                <w:sz w:val="20"/>
              </w:rPr>
              <w:t>4.5</w:t>
            </w:r>
          </w:p>
        </w:tc>
      </w:tr>
      <w:tr>
        <w:trPr>
          <w:trHeight w:val="346" w:hRule="exact"/>
        </w:trPr>
        <w:tc>
          <w:tcPr>
            <w:tcW w:w="2815" w:type="dxa"/>
          </w:tcPr>
          <w:p>
            <w:pPr>
              <w:pStyle w:val="TableParagraph"/>
              <w:spacing w:before="112"/>
              <w:ind w:left="50"/>
              <w:jc w:val="left"/>
              <w:rPr>
                <w:sz w:val="20"/>
              </w:rPr>
            </w:pPr>
            <w:r>
              <w:rPr>
                <w:sz w:val="20"/>
              </w:rPr>
              <w:t>Fuel and oil</w:t>
            </w:r>
          </w:p>
        </w:tc>
        <w:tc>
          <w:tcPr>
            <w:tcW w:w="1282" w:type="dxa"/>
          </w:tcPr>
          <w:p>
            <w:pPr>
              <w:pStyle w:val="TableParagraph"/>
              <w:spacing w:before="112"/>
              <w:ind w:right="522"/>
              <w:rPr>
                <w:sz w:val="20"/>
              </w:rPr>
            </w:pPr>
            <w:r>
              <w:rPr>
                <w:sz w:val="20"/>
              </w:rPr>
              <w:t>1.01</w:t>
            </w:r>
          </w:p>
        </w:tc>
        <w:tc>
          <w:tcPr>
            <w:tcW w:w="1327" w:type="dxa"/>
          </w:tcPr>
          <w:p>
            <w:pPr>
              <w:pStyle w:val="TableParagraph"/>
              <w:spacing w:before="112"/>
              <w:ind w:right="408"/>
              <w:rPr>
                <w:sz w:val="20"/>
              </w:rPr>
            </w:pPr>
            <w:r>
              <w:rPr>
                <w:sz w:val="20"/>
              </w:rPr>
              <w:t>1.00</w:t>
            </w:r>
          </w:p>
        </w:tc>
        <w:tc>
          <w:tcPr>
            <w:tcW w:w="1620" w:type="dxa"/>
          </w:tcPr>
          <w:p>
            <w:pPr>
              <w:pStyle w:val="TableParagraph"/>
              <w:spacing w:before="112"/>
              <w:ind w:left="546" w:right="502"/>
              <w:jc w:val="center"/>
              <w:rPr>
                <w:sz w:val="20"/>
              </w:rPr>
            </w:pPr>
            <w:r>
              <w:rPr>
                <w:sz w:val="20"/>
              </w:rPr>
              <w:t>.01</w:t>
            </w:r>
          </w:p>
        </w:tc>
        <w:tc>
          <w:tcPr>
            <w:tcW w:w="1047" w:type="dxa"/>
          </w:tcPr>
          <w:p>
            <w:pPr>
              <w:pStyle w:val="TableParagraph"/>
              <w:spacing w:before="112"/>
              <w:ind w:left="513"/>
              <w:jc w:val="left"/>
              <w:rPr>
                <w:sz w:val="20"/>
              </w:rPr>
            </w:pPr>
            <w:r>
              <w:rPr>
                <w:sz w:val="20"/>
              </w:rPr>
              <w:t>1.0</w:t>
            </w:r>
          </w:p>
        </w:tc>
      </w:tr>
      <w:tr>
        <w:trPr>
          <w:trHeight w:val="576" w:hRule="exact"/>
        </w:trPr>
        <w:tc>
          <w:tcPr>
            <w:tcW w:w="2815" w:type="dxa"/>
          </w:tcPr>
          <w:p>
            <w:pPr>
              <w:pStyle w:val="TableParagraph"/>
              <w:ind w:left="50" w:right="343"/>
              <w:jc w:val="left"/>
              <w:rPr>
                <w:sz w:val="20"/>
              </w:rPr>
            </w:pPr>
            <w:r>
              <w:rPr>
                <w:sz w:val="20"/>
              </w:rPr>
              <w:t>Maintenance materials and repairs</w:t>
            </w:r>
          </w:p>
        </w:tc>
        <w:tc>
          <w:tcPr>
            <w:tcW w:w="1282" w:type="dxa"/>
          </w:tcPr>
          <w:p>
            <w:pPr>
              <w:pStyle w:val="TableParagraph"/>
              <w:spacing w:before="9"/>
              <w:jc w:val="left"/>
              <w:rPr>
                <w:b/>
                <w:sz w:val="19"/>
              </w:rPr>
            </w:pPr>
          </w:p>
          <w:p>
            <w:pPr>
              <w:pStyle w:val="TableParagraph"/>
              <w:ind w:left="422"/>
              <w:jc w:val="left"/>
              <w:rPr>
                <w:sz w:val="20"/>
              </w:rPr>
            </w:pPr>
            <w:r>
              <w:rPr>
                <w:sz w:val="20"/>
              </w:rPr>
              <w:t>.60</w:t>
            </w:r>
          </w:p>
        </w:tc>
        <w:tc>
          <w:tcPr>
            <w:tcW w:w="1327" w:type="dxa"/>
          </w:tcPr>
          <w:p>
            <w:pPr>
              <w:pStyle w:val="TableParagraph"/>
              <w:spacing w:before="9"/>
              <w:jc w:val="left"/>
              <w:rPr>
                <w:b/>
                <w:sz w:val="19"/>
              </w:rPr>
            </w:pPr>
          </w:p>
          <w:p>
            <w:pPr>
              <w:pStyle w:val="TableParagraph"/>
              <w:ind w:left="560" w:right="449"/>
              <w:jc w:val="center"/>
              <w:rPr>
                <w:sz w:val="20"/>
              </w:rPr>
            </w:pPr>
            <w:r>
              <w:rPr>
                <w:sz w:val="20"/>
              </w:rPr>
              <w:t>.59</w:t>
            </w:r>
          </w:p>
        </w:tc>
        <w:tc>
          <w:tcPr>
            <w:tcW w:w="1620" w:type="dxa"/>
          </w:tcPr>
          <w:p>
            <w:pPr>
              <w:pStyle w:val="TableParagraph"/>
              <w:spacing w:before="9"/>
              <w:jc w:val="left"/>
              <w:rPr>
                <w:b/>
                <w:sz w:val="19"/>
              </w:rPr>
            </w:pPr>
          </w:p>
          <w:p>
            <w:pPr>
              <w:pStyle w:val="TableParagraph"/>
              <w:ind w:left="546" w:right="502"/>
              <w:jc w:val="center"/>
              <w:rPr>
                <w:sz w:val="20"/>
              </w:rPr>
            </w:pPr>
            <w:r>
              <w:rPr>
                <w:sz w:val="20"/>
              </w:rPr>
              <w:t>.01</w:t>
            </w:r>
          </w:p>
        </w:tc>
        <w:tc>
          <w:tcPr>
            <w:tcW w:w="1047" w:type="dxa"/>
          </w:tcPr>
          <w:p>
            <w:pPr>
              <w:pStyle w:val="TableParagraph"/>
              <w:spacing w:before="9"/>
              <w:jc w:val="left"/>
              <w:rPr>
                <w:b/>
                <w:sz w:val="19"/>
              </w:rPr>
            </w:pPr>
          </w:p>
          <w:p>
            <w:pPr>
              <w:pStyle w:val="TableParagraph"/>
              <w:ind w:left="513"/>
              <w:jc w:val="left"/>
              <w:rPr>
                <w:sz w:val="20"/>
              </w:rPr>
            </w:pPr>
            <w:r>
              <w:rPr>
                <w:sz w:val="20"/>
              </w:rPr>
              <w:t>1.7</w:t>
            </w:r>
          </w:p>
        </w:tc>
      </w:tr>
      <w:tr>
        <w:trPr>
          <w:trHeight w:val="346" w:hRule="exact"/>
        </w:trPr>
        <w:tc>
          <w:tcPr>
            <w:tcW w:w="2815" w:type="dxa"/>
          </w:tcPr>
          <w:p>
            <w:pPr>
              <w:pStyle w:val="TableParagraph"/>
              <w:spacing w:before="112"/>
              <w:ind w:left="50"/>
              <w:jc w:val="left"/>
              <w:rPr>
                <w:sz w:val="20"/>
              </w:rPr>
            </w:pPr>
            <w:r>
              <w:rPr>
                <w:sz w:val="20"/>
              </w:rPr>
              <w:t>Agency commissions</w:t>
            </w:r>
          </w:p>
        </w:tc>
        <w:tc>
          <w:tcPr>
            <w:tcW w:w="1282" w:type="dxa"/>
          </w:tcPr>
          <w:p>
            <w:pPr>
              <w:pStyle w:val="TableParagraph"/>
              <w:spacing w:before="112"/>
              <w:ind w:left="422"/>
              <w:jc w:val="left"/>
              <w:rPr>
                <w:sz w:val="20"/>
              </w:rPr>
            </w:pPr>
            <w:r>
              <w:rPr>
                <w:sz w:val="20"/>
              </w:rPr>
              <w:t>.34</w:t>
            </w:r>
          </w:p>
        </w:tc>
        <w:tc>
          <w:tcPr>
            <w:tcW w:w="1327" w:type="dxa"/>
          </w:tcPr>
          <w:p>
            <w:pPr>
              <w:pStyle w:val="TableParagraph"/>
              <w:spacing w:before="112"/>
              <w:ind w:left="560" w:right="449"/>
              <w:jc w:val="center"/>
              <w:rPr>
                <w:sz w:val="20"/>
              </w:rPr>
            </w:pPr>
            <w:r>
              <w:rPr>
                <w:sz w:val="20"/>
              </w:rPr>
              <w:t>.41</w:t>
            </w:r>
          </w:p>
        </w:tc>
        <w:tc>
          <w:tcPr>
            <w:tcW w:w="1620" w:type="dxa"/>
          </w:tcPr>
          <w:p>
            <w:pPr>
              <w:pStyle w:val="TableParagraph"/>
              <w:spacing w:before="112"/>
              <w:ind w:left="549" w:right="502"/>
              <w:jc w:val="center"/>
              <w:rPr>
                <w:sz w:val="20"/>
              </w:rPr>
            </w:pPr>
            <w:r>
              <w:rPr>
                <w:sz w:val="20"/>
              </w:rPr>
              <w:t>(.07)</w:t>
            </w:r>
          </w:p>
        </w:tc>
        <w:tc>
          <w:tcPr>
            <w:tcW w:w="1047" w:type="dxa"/>
          </w:tcPr>
          <w:p>
            <w:pPr>
              <w:pStyle w:val="TableParagraph"/>
              <w:spacing w:before="112"/>
              <w:ind w:right="125"/>
              <w:rPr>
                <w:sz w:val="20"/>
              </w:rPr>
            </w:pPr>
            <w:r>
              <w:rPr>
                <w:sz w:val="20"/>
              </w:rPr>
              <w:t>(17.1)</w:t>
            </w:r>
          </w:p>
        </w:tc>
      </w:tr>
      <w:tr>
        <w:trPr>
          <w:trHeight w:val="230" w:hRule="exact"/>
        </w:trPr>
        <w:tc>
          <w:tcPr>
            <w:tcW w:w="2815" w:type="dxa"/>
          </w:tcPr>
          <w:p>
            <w:pPr>
              <w:pStyle w:val="TableParagraph"/>
              <w:spacing w:line="227" w:lineRule="exact"/>
              <w:ind w:left="50"/>
              <w:jc w:val="left"/>
              <w:rPr>
                <w:sz w:val="20"/>
              </w:rPr>
            </w:pPr>
            <w:r>
              <w:rPr>
                <w:sz w:val="20"/>
              </w:rPr>
              <w:t>Aircraft rentals</w:t>
            </w:r>
          </w:p>
        </w:tc>
        <w:tc>
          <w:tcPr>
            <w:tcW w:w="1282" w:type="dxa"/>
          </w:tcPr>
          <w:p>
            <w:pPr>
              <w:pStyle w:val="TableParagraph"/>
              <w:spacing w:line="227" w:lineRule="exact"/>
              <w:ind w:left="422"/>
              <w:jc w:val="left"/>
              <w:rPr>
                <w:sz w:val="20"/>
              </w:rPr>
            </w:pPr>
            <w:r>
              <w:rPr>
                <w:sz w:val="20"/>
              </w:rPr>
              <w:t>.47</w:t>
            </w:r>
          </w:p>
        </w:tc>
        <w:tc>
          <w:tcPr>
            <w:tcW w:w="1327" w:type="dxa"/>
          </w:tcPr>
          <w:p>
            <w:pPr>
              <w:pStyle w:val="TableParagraph"/>
              <w:spacing w:line="227" w:lineRule="exact"/>
              <w:ind w:left="560" w:right="449"/>
              <w:jc w:val="center"/>
              <w:rPr>
                <w:sz w:val="20"/>
              </w:rPr>
            </w:pPr>
            <w:r>
              <w:rPr>
                <w:sz w:val="20"/>
              </w:rPr>
              <w:t>.42</w:t>
            </w:r>
          </w:p>
        </w:tc>
        <w:tc>
          <w:tcPr>
            <w:tcW w:w="1620" w:type="dxa"/>
          </w:tcPr>
          <w:p>
            <w:pPr>
              <w:pStyle w:val="TableParagraph"/>
              <w:spacing w:line="227" w:lineRule="exact"/>
              <w:ind w:left="546" w:right="502"/>
              <w:jc w:val="center"/>
              <w:rPr>
                <w:sz w:val="20"/>
              </w:rPr>
            </w:pPr>
            <w:r>
              <w:rPr>
                <w:sz w:val="20"/>
              </w:rPr>
              <w:t>.05</w:t>
            </w:r>
          </w:p>
        </w:tc>
        <w:tc>
          <w:tcPr>
            <w:tcW w:w="1047" w:type="dxa"/>
          </w:tcPr>
          <w:p>
            <w:pPr>
              <w:pStyle w:val="TableParagraph"/>
              <w:spacing w:line="227" w:lineRule="exact"/>
              <w:ind w:right="195"/>
              <w:rPr>
                <w:sz w:val="20"/>
              </w:rPr>
            </w:pPr>
            <w:r>
              <w:rPr>
                <w:sz w:val="20"/>
              </w:rPr>
              <w:t>11.9</w:t>
            </w:r>
          </w:p>
        </w:tc>
      </w:tr>
      <w:tr>
        <w:trPr>
          <w:trHeight w:val="576" w:hRule="exact"/>
        </w:trPr>
        <w:tc>
          <w:tcPr>
            <w:tcW w:w="2815" w:type="dxa"/>
          </w:tcPr>
          <w:p>
            <w:pPr>
              <w:pStyle w:val="TableParagraph"/>
              <w:ind w:left="50" w:right="698"/>
              <w:jc w:val="left"/>
              <w:rPr>
                <w:sz w:val="20"/>
              </w:rPr>
            </w:pPr>
            <w:r>
              <w:rPr>
                <w:sz w:val="20"/>
              </w:rPr>
              <w:t>Landing fees and other rentals</w:t>
            </w:r>
          </w:p>
        </w:tc>
        <w:tc>
          <w:tcPr>
            <w:tcW w:w="1282" w:type="dxa"/>
          </w:tcPr>
          <w:p>
            <w:pPr>
              <w:pStyle w:val="TableParagraph"/>
              <w:spacing w:before="9"/>
              <w:jc w:val="left"/>
              <w:rPr>
                <w:b/>
                <w:sz w:val="19"/>
              </w:rPr>
            </w:pPr>
          </w:p>
          <w:p>
            <w:pPr>
              <w:pStyle w:val="TableParagraph"/>
              <w:ind w:left="422"/>
              <w:jc w:val="left"/>
              <w:rPr>
                <w:sz w:val="20"/>
              </w:rPr>
            </w:pPr>
            <w:r>
              <w:rPr>
                <w:sz w:val="20"/>
              </w:rPr>
              <w:t>.44</w:t>
            </w:r>
          </w:p>
        </w:tc>
        <w:tc>
          <w:tcPr>
            <w:tcW w:w="1327" w:type="dxa"/>
          </w:tcPr>
          <w:p>
            <w:pPr>
              <w:pStyle w:val="TableParagraph"/>
              <w:spacing w:before="9"/>
              <w:jc w:val="left"/>
              <w:rPr>
                <w:b/>
                <w:sz w:val="19"/>
              </w:rPr>
            </w:pPr>
          </w:p>
          <w:p>
            <w:pPr>
              <w:pStyle w:val="TableParagraph"/>
              <w:ind w:left="560" w:right="449"/>
              <w:jc w:val="center"/>
              <w:rPr>
                <w:sz w:val="20"/>
              </w:rPr>
            </w:pPr>
            <w:r>
              <w:rPr>
                <w:sz w:val="20"/>
              </w:rPr>
              <w:t>.46</w:t>
            </w:r>
          </w:p>
        </w:tc>
        <w:tc>
          <w:tcPr>
            <w:tcW w:w="1620" w:type="dxa"/>
          </w:tcPr>
          <w:p>
            <w:pPr>
              <w:pStyle w:val="TableParagraph"/>
              <w:spacing w:before="9"/>
              <w:jc w:val="left"/>
              <w:rPr>
                <w:b/>
                <w:sz w:val="19"/>
              </w:rPr>
            </w:pPr>
          </w:p>
          <w:p>
            <w:pPr>
              <w:pStyle w:val="TableParagraph"/>
              <w:ind w:left="549" w:right="502"/>
              <w:jc w:val="center"/>
              <w:rPr>
                <w:sz w:val="20"/>
              </w:rPr>
            </w:pPr>
            <w:r>
              <w:rPr>
                <w:sz w:val="20"/>
              </w:rPr>
              <w:t>(.02)</w:t>
            </w:r>
          </w:p>
        </w:tc>
        <w:tc>
          <w:tcPr>
            <w:tcW w:w="1047" w:type="dxa"/>
          </w:tcPr>
          <w:p>
            <w:pPr>
              <w:pStyle w:val="TableParagraph"/>
              <w:spacing w:before="9"/>
              <w:jc w:val="left"/>
              <w:rPr>
                <w:b/>
                <w:sz w:val="19"/>
              </w:rPr>
            </w:pPr>
          </w:p>
          <w:p>
            <w:pPr>
              <w:pStyle w:val="TableParagraph"/>
              <w:ind w:right="183"/>
              <w:rPr>
                <w:sz w:val="20"/>
              </w:rPr>
            </w:pPr>
            <w:r>
              <w:rPr>
                <w:sz w:val="20"/>
              </w:rPr>
              <w:t>(4.3)</w:t>
            </w:r>
          </w:p>
        </w:tc>
      </w:tr>
      <w:tr>
        <w:trPr>
          <w:trHeight w:val="346" w:hRule="exact"/>
        </w:trPr>
        <w:tc>
          <w:tcPr>
            <w:tcW w:w="2815" w:type="dxa"/>
          </w:tcPr>
          <w:p>
            <w:pPr>
              <w:pStyle w:val="TableParagraph"/>
              <w:spacing w:before="112"/>
              <w:ind w:left="50"/>
              <w:jc w:val="left"/>
              <w:rPr>
                <w:sz w:val="20"/>
              </w:rPr>
            </w:pPr>
            <w:r>
              <w:rPr>
                <w:sz w:val="20"/>
              </w:rPr>
              <w:t>Depreciation</w:t>
            </w:r>
          </w:p>
        </w:tc>
        <w:tc>
          <w:tcPr>
            <w:tcW w:w="1282" w:type="dxa"/>
          </w:tcPr>
          <w:p>
            <w:pPr>
              <w:pStyle w:val="TableParagraph"/>
              <w:spacing w:before="112"/>
              <w:ind w:left="422"/>
              <w:jc w:val="left"/>
              <w:rPr>
                <w:sz w:val="20"/>
              </w:rPr>
            </w:pPr>
            <w:r>
              <w:rPr>
                <w:sz w:val="20"/>
              </w:rPr>
              <w:t>.43</w:t>
            </w:r>
          </w:p>
        </w:tc>
        <w:tc>
          <w:tcPr>
            <w:tcW w:w="1327" w:type="dxa"/>
          </w:tcPr>
          <w:p>
            <w:pPr>
              <w:pStyle w:val="TableParagraph"/>
              <w:spacing w:before="112"/>
              <w:ind w:left="560" w:right="449"/>
              <w:jc w:val="center"/>
              <w:rPr>
                <w:sz w:val="20"/>
              </w:rPr>
            </w:pPr>
            <w:r>
              <w:rPr>
                <w:sz w:val="20"/>
              </w:rPr>
              <w:t>.43</w:t>
            </w:r>
          </w:p>
        </w:tc>
        <w:tc>
          <w:tcPr>
            <w:tcW w:w="1620" w:type="dxa"/>
          </w:tcPr>
          <w:p>
            <w:pPr>
              <w:pStyle w:val="TableParagraph"/>
              <w:spacing w:before="112"/>
              <w:ind w:left="44"/>
              <w:jc w:val="center"/>
              <w:rPr>
                <w:sz w:val="20"/>
              </w:rPr>
            </w:pPr>
            <w:r>
              <w:rPr>
                <w:w w:val="100"/>
                <w:sz w:val="20"/>
              </w:rPr>
              <w:t>-</w:t>
            </w:r>
          </w:p>
        </w:tc>
        <w:tc>
          <w:tcPr>
            <w:tcW w:w="1047" w:type="dxa"/>
          </w:tcPr>
          <w:p>
            <w:pPr>
              <w:pStyle w:val="TableParagraph"/>
              <w:spacing w:before="112"/>
              <w:ind w:left="257"/>
              <w:jc w:val="center"/>
              <w:rPr>
                <w:sz w:val="20"/>
              </w:rPr>
            </w:pPr>
            <w:r>
              <w:rPr>
                <w:w w:val="100"/>
                <w:sz w:val="20"/>
              </w:rPr>
              <w:t>-</w:t>
            </w:r>
          </w:p>
        </w:tc>
      </w:tr>
      <w:tr>
        <w:trPr>
          <w:trHeight w:val="230" w:hRule="exact"/>
        </w:trPr>
        <w:tc>
          <w:tcPr>
            <w:tcW w:w="2815" w:type="dxa"/>
          </w:tcPr>
          <w:p>
            <w:pPr>
              <w:pStyle w:val="TableParagraph"/>
              <w:spacing w:line="227" w:lineRule="exact"/>
              <w:ind w:left="50"/>
              <w:jc w:val="left"/>
              <w:rPr>
                <w:sz w:val="20"/>
              </w:rPr>
            </w:pPr>
            <w:r>
              <w:rPr>
                <w:sz w:val="20"/>
              </w:rPr>
              <w:t>Other</w:t>
            </w:r>
          </w:p>
        </w:tc>
        <w:tc>
          <w:tcPr>
            <w:tcW w:w="1282" w:type="dxa"/>
          </w:tcPr>
          <w:p>
            <w:pPr>
              <w:pStyle w:val="TableParagraph"/>
              <w:spacing w:line="227" w:lineRule="exact"/>
              <w:ind w:right="522"/>
              <w:rPr>
                <w:sz w:val="20"/>
              </w:rPr>
            </w:pPr>
            <w:r>
              <w:rPr>
                <w:sz w:val="20"/>
                <w:u w:val="single"/>
              </w:rPr>
              <w:t>1.38</w:t>
            </w:r>
          </w:p>
        </w:tc>
        <w:tc>
          <w:tcPr>
            <w:tcW w:w="1327" w:type="dxa"/>
          </w:tcPr>
          <w:p>
            <w:pPr>
              <w:pStyle w:val="TableParagraph"/>
              <w:spacing w:line="227" w:lineRule="exact"/>
              <w:ind w:right="408"/>
              <w:rPr>
                <w:sz w:val="20"/>
              </w:rPr>
            </w:pPr>
            <w:r>
              <w:rPr>
                <w:sz w:val="20"/>
                <w:u w:val="single"/>
              </w:rPr>
              <w:t>1.42</w:t>
            </w:r>
          </w:p>
        </w:tc>
        <w:tc>
          <w:tcPr>
            <w:tcW w:w="1620" w:type="dxa"/>
          </w:tcPr>
          <w:p>
            <w:pPr>
              <w:pStyle w:val="TableParagraph"/>
              <w:spacing w:line="227" w:lineRule="exact"/>
              <w:ind w:left="549" w:right="502"/>
              <w:jc w:val="center"/>
              <w:rPr>
                <w:sz w:val="20"/>
              </w:rPr>
            </w:pPr>
            <w:r>
              <w:rPr>
                <w:sz w:val="20"/>
                <w:u w:val="single"/>
              </w:rPr>
              <w:t>(.04)</w:t>
            </w:r>
          </w:p>
        </w:tc>
        <w:tc>
          <w:tcPr>
            <w:tcW w:w="1047" w:type="dxa"/>
          </w:tcPr>
          <w:p>
            <w:pPr>
              <w:pStyle w:val="TableParagraph"/>
              <w:spacing w:line="227" w:lineRule="exact"/>
              <w:ind w:right="183"/>
              <w:rPr>
                <w:sz w:val="20"/>
              </w:rPr>
            </w:pPr>
            <w:r>
              <w:rPr>
                <w:sz w:val="20"/>
                <w:u w:val="single"/>
              </w:rPr>
              <w:t>(2.8)</w:t>
            </w:r>
          </w:p>
        </w:tc>
      </w:tr>
      <w:tr>
        <w:trPr>
          <w:trHeight w:val="228" w:hRule="exact"/>
        </w:trPr>
        <w:tc>
          <w:tcPr>
            <w:tcW w:w="2815" w:type="dxa"/>
          </w:tcPr>
          <w:p>
            <w:pPr>
              <w:pStyle w:val="TableParagraph"/>
              <w:spacing w:line="227" w:lineRule="exact"/>
              <w:ind w:left="50"/>
              <w:jc w:val="left"/>
              <w:rPr>
                <w:sz w:val="20"/>
              </w:rPr>
            </w:pPr>
            <w:r>
              <w:rPr>
                <w:sz w:val="20"/>
              </w:rPr>
              <w:t>Total</w:t>
            </w:r>
          </w:p>
        </w:tc>
        <w:tc>
          <w:tcPr>
            <w:tcW w:w="1282" w:type="dxa"/>
          </w:tcPr>
          <w:p>
            <w:pPr>
              <w:pStyle w:val="TableParagraph"/>
              <w:spacing w:line="227" w:lineRule="exact"/>
              <w:ind w:right="468"/>
              <w:rPr>
                <w:sz w:val="20"/>
              </w:rPr>
            </w:pPr>
            <w:r>
              <w:rPr>
                <w:sz w:val="20"/>
              </w:rPr>
              <w:t>7.07¢</w:t>
            </w:r>
          </w:p>
        </w:tc>
        <w:tc>
          <w:tcPr>
            <w:tcW w:w="1327" w:type="dxa"/>
          </w:tcPr>
          <w:p>
            <w:pPr>
              <w:pStyle w:val="TableParagraph"/>
              <w:spacing w:line="227" w:lineRule="exact"/>
              <w:ind w:right="355"/>
              <w:rPr>
                <w:sz w:val="20"/>
              </w:rPr>
            </w:pPr>
            <w:r>
              <w:rPr>
                <w:sz w:val="20"/>
              </w:rPr>
              <w:t>7.08¢</w:t>
            </w:r>
          </w:p>
        </w:tc>
        <w:tc>
          <w:tcPr>
            <w:tcW w:w="1620" w:type="dxa"/>
          </w:tcPr>
          <w:p>
            <w:pPr>
              <w:pStyle w:val="TableParagraph"/>
              <w:spacing w:line="227" w:lineRule="exact"/>
              <w:ind w:left="554" w:right="502"/>
              <w:jc w:val="center"/>
              <w:rPr>
                <w:sz w:val="20"/>
              </w:rPr>
            </w:pPr>
            <w:r>
              <w:rPr>
                <w:sz w:val="20"/>
              </w:rPr>
              <w:t>(.01)¢</w:t>
            </w:r>
          </w:p>
        </w:tc>
        <w:tc>
          <w:tcPr>
            <w:tcW w:w="1047" w:type="dxa"/>
          </w:tcPr>
          <w:p>
            <w:pPr>
              <w:pStyle w:val="TableParagraph"/>
              <w:spacing w:line="227" w:lineRule="exact"/>
              <w:ind w:right="89"/>
              <w:rPr>
                <w:sz w:val="20"/>
              </w:rPr>
            </w:pPr>
            <w:r>
              <w:rPr>
                <w:sz w:val="20"/>
              </w:rPr>
              <w:t>(0.1)%</w:t>
            </w:r>
          </w:p>
        </w:tc>
      </w:tr>
    </w:tbl>
    <w:p>
      <w:pPr>
        <w:pStyle w:val="BodyText"/>
        <w:rPr>
          <w:b/>
        </w:rPr>
      </w:pPr>
    </w:p>
    <w:p>
      <w:pPr>
        <w:pStyle w:val="BodyText"/>
        <w:ind w:left="160" w:right="254"/>
      </w:pPr>
      <w:r>
        <w:rPr/>
        <w:t>Salaries, wages, and benefits per ASM increased 1.9 percent in 1995. This increase resulted primarily from a 17.8 percent increase in 1995 average headcount, which outpaced the 1995 capacity (ASM) increase of 12.6 percent, and offset a 2.6 percent decrease in average salary and benefits cost per Employee. The 17.8 percent increase in average headcount was primarily the result of a 44.6 percent increase in Reservations Sales Agents in 1995. Excluding Reservations Sales Agents, total average headcount increased only 11.4 percent. The Reservations Sales Agent increase coincided with increased demand for reservations capacity following 1994 enhancements to Southwest’s ticket delivery systems for direct Customers.</w:t>
      </w:r>
    </w:p>
    <w:p>
      <w:pPr>
        <w:pStyle w:val="BodyText"/>
      </w:pPr>
    </w:p>
    <w:p>
      <w:pPr>
        <w:pStyle w:val="BodyText"/>
        <w:ind w:left="160" w:right="210"/>
      </w:pPr>
      <w:r>
        <w:rPr/>
        <w:t>Fleet Service Employees are subject to an agreement with the Ramp, Operations and Provisioning Association (ROPA), which became amendable in December 1994. The Company reached an agreement with ROPA which was ratified by its membership in November 1995.</w:t>
      </w:r>
    </w:p>
    <w:p>
      <w:pPr>
        <w:pStyle w:val="BodyText"/>
        <w:ind w:left="160"/>
      </w:pPr>
      <w:r>
        <w:rPr/>
        <w:t>Southwest’s mechanics are subject to an agreement with the International Brotherhood of Teamsters, Chauffeurs, Warehousemen and Helpers of America (the Teamsters), which became</w:t>
      </w:r>
    </w:p>
    <w:p>
      <w:pPr>
        <w:spacing w:after="0"/>
        <w:sectPr>
          <w:pgSz w:w="12240" w:h="15840"/>
          <w:pgMar w:header="0" w:footer="730" w:top="1360" w:bottom="980" w:left="1640" w:right="1680"/>
        </w:sectPr>
      </w:pPr>
    </w:p>
    <w:p>
      <w:pPr>
        <w:pStyle w:val="BodyText"/>
        <w:spacing w:before="79"/>
        <w:ind w:left="120"/>
      </w:pPr>
      <w:r>
        <w:rPr/>
        <w:t>amendable August 16, 1995. Southwest is currently in negotiations with the Teamsters for a new contract.</w:t>
      </w:r>
    </w:p>
    <w:p>
      <w:pPr>
        <w:pStyle w:val="BodyText"/>
      </w:pPr>
    </w:p>
    <w:p>
      <w:pPr>
        <w:pStyle w:val="BodyText"/>
        <w:ind w:left="120" w:right="131"/>
      </w:pPr>
      <w:r>
        <w:rPr/>
        <w:t>Employee profitsharing and savings plans expense per ASM increased 4.5 percent in 1995. The increase is primarily the result of increased matching contributions to Employee savings plans resulting from increased Employee participation and higher matching rates in 1995 for non- contract Employees and certain Employee groups covered by collective bargaining agreements.</w:t>
      </w:r>
    </w:p>
    <w:p>
      <w:pPr>
        <w:pStyle w:val="BodyText"/>
      </w:pPr>
    </w:p>
    <w:p>
      <w:pPr>
        <w:pStyle w:val="BodyText"/>
        <w:ind w:left="120" w:right="131"/>
      </w:pPr>
      <w:r>
        <w:rPr/>
        <w:t>Fuel and oil expenses per ASM increased 1.0 percent in 1995, primarily due to a 2.4 percent increase in the average jet fuel cost per gallon from 1994. Jet fuel prices remained relatively stable throughout most of 1995, with quarterly averages through the first three quarters ranging from $.53 to $.55 per gallon. During fourth quarter 1995, the average cost per gallon increased to</w:t>
      </w:r>
    </w:p>
    <w:p>
      <w:pPr>
        <w:pStyle w:val="BodyText"/>
        <w:ind w:left="120"/>
      </w:pPr>
      <w:r>
        <w:rPr/>
        <w:t>$.59 and, in January 1996, has averaged approximately $.62 per gallon.</w:t>
      </w:r>
    </w:p>
    <w:p>
      <w:pPr>
        <w:pStyle w:val="BodyText"/>
        <w:spacing w:before="1"/>
      </w:pPr>
    </w:p>
    <w:p>
      <w:pPr>
        <w:pStyle w:val="BodyText"/>
        <w:ind w:left="120"/>
      </w:pPr>
      <w:r>
        <w:rPr/>
        <w:t>Maintenance materials and repairs per ASM increased 1.7 percent in 1995 compared to 1994 primarily as a result of performing more engine overhauls during 1995.</w:t>
      </w:r>
    </w:p>
    <w:p>
      <w:pPr>
        <w:pStyle w:val="BodyText"/>
      </w:pPr>
    </w:p>
    <w:p>
      <w:pPr>
        <w:pStyle w:val="BodyText"/>
        <w:spacing w:before="1"/>
        <w:ind w:left="120" w:right="239"/>
      </w:pPr>
      <w:r>
        <w:rPr>
          <w:spacing w:val="-4"/>
        </w:rPr>
        <w:t>Agency </w:t>
      </w:r>
      <w:r>
        <w:rPr/>
        <w:t>commissions per </w:t>
      </w:r>
      <w:r>
        <w:rPr>
          <w:spacing w:val="-3"/>
        </w:rPr>
        <w:t>ASM </w:t>
      </w:r>
      <w:r>
        <w:rPr/>
        <w:t>decreased 17.1 percent in 1995 compared to 1994, due to a lower mix of travel agency sales in 1995. The lower travel agency sales mix resulted from 1994 enhancements to Southwest’s ticket delivery systems for direct Customers, as described</w:t>
      </w:r>
      <w:r>
        <w:rPr>
          <w:spacing w:val="-12"/>
        </w:rPr>
        <w:t> </w:t>
      </w:r>
      <w:r>
        <w:rPr/>
        <w:t>below.</w:t>
      </w:r>
    </w:p>
    <w:p>
      <w:pPr>
        <w:pStyle w:val="BodyText"/>
        <w:spacing w:before="1"/>
      </w:pPr>
    </w:p>
    <w:p>
      <w:pPr>
        <w:pStyle w:val="BodyText"/>
        <w:ind w:left="120" w:right="190"/>
      </w:pPr>
      <w:r>
        <w:rPr/>
        <w:t>In response to actions taken by our competitor-owned reservations systems in 1994, we reduced our operating costs and enhanced our ticket delivery systems by developing our own Southwest Airlines Air Travel (“SWAT”) system allowing high-volume travel agents direct access to reservations; introduced overnight ticket delivery for travel agents; reduced to three the number of advance days reservations required for overnight delivery of tickets to consumers (Ticket By Mail); developed our own Ticketless system, which was rolled out system-wide on January 31, 1995; and effective March 30, 1995 subscribed to a new level of service with SABRE that automates the booking process for SABRE travel agencies. We also continue to actively pursue other cost-effective solutions for automating non-SABRE travel agency bookings.</w:t>
      </w:r>
    </w:p>
    <w:p>
      <w:pPr>
        <w:pStyle w:val="BodyText"/>
      </w:pPr>
    </w:p>
    <w:p>
      <w:pPr>
        <w:pStyle w:val="BodyText"/>
        <w:spacing w:before="1"/>
        <w:ind w:left="120" w:right="455"/>
        <w:jc w:val="both"/>
      </w:pPr>
      <w:r>
        <w:rPr/>
        <w:t>Aircraft rentals per ASM increased 11.9 percent in 1995. The increase primarily resulted from second and third quarter 1995 sale/leaseback transactions involving ten new 737-300 aircraft and a higher percentage of the fleet consisting of leased aircraft.</w:t>
      </w:r>
    </w:p>
    <w:p>
      <w:pPr>
        <w:pStyle w:val="BodyText"/>
        <w:spacing w:before="1"/>
      </w:pPr>
    </w:p>
    <w:p>
      <w:pPr>
        <w:pStyle w:val="BodyText"/>
        <w:ind w:left="120" w:right="190"/>
      </w:pPr>
      <w:r>
        <w:rPr/>
        <w:t>Other operating expenses per ASM decreased 2.8 percent in 1995 compared to 1994. This decrease was primarily due to operating efficiencies resulting from the transition of Morris operational functions to Southwest commencing first quarter 1994, and lower communications costs. Communications costs decreased approximately 15 percent per ASM primarily due to lower negotiated rates, increased reservations operations efficiencies, and enhancements to the Company’s ticket delivery system.</w:t>
      </w:r>
    </w:p>
    <w:p>
      <w:pPr>
        <w:pStyle w:val="BodyText"/>
      </w:pPr>
    </w:p>
    <w:p>
      <w:pPr>
        <w:pStyle w:val="BodyText"/>
        <w:spacing w:before="1"/>
        <w:ind w:left="120" w:right="239"/>
      </w:pPr>
      <w:r>
        <w:rPr/>
        <w:t>In August 1993, the Revenue Reconciliation Act of 1993 was enacted, which, among other things, included an assessment of 4.3 cents per gallon in federal jet fuel tax, which became effective September 30, 1995, for commercial aviation. This additional fuel tax increased 1995 “other operating expenses” by $7.4 million.</w:t>
      </w:r>
    </w:p>
    <w:p>
      <w:pPr>
        <w:pStyle w:val="BodyText"/>
        <w:spacing w:before="1"/>
      </w:pPr>
    </w:p>
    <w:p>
      <w:pPr>
        <w:pStyle w:val="BodyText"/>
        <w:spacing w:line="242" w:lineRule="auto"/>
        <w:ind w:left="120" w:right="126"/>
      </w:pPr>
      <w:r>
        <w:rPr>
          <w:i/>
        </w:rPr>
        <w:t>OTHER </w:t>
      </w:r>
      <w:r>
        <w:rPr/>
        <w:t>“Other expenses (income)” included interest expense, interest income, and nonoperating gains and losses. Interest expense increased $5.4 million in 1995 due to the March 1995 issuance of $100 million senior unsecured 8% </w:t>
      </w:r>
      <w:r>
        <w:rPr>
          <w:spacing w:val="-3"/>
        </w:rPr>
        <w:t>Notes </w:t>
      </w:r>
      <w:r>
        <w:rPr/>
        <w:t>due 2005. Capitalized interest</w:t>
      </w:r>
      <w:r>
        <w:rPr>
          <w:spacing w:val="3"/>
        </w:rPr>
        <w:t> </w:t>
      </w:r>
      <w:r>
        <w:rPr/>
        <w:t>increased</w:t>
      </w:r>
    </w:p>
    <w:p>
      <w:pPr>
        <w:pStyle w:val="BodyText"/>
        <w:ind w:left="120" w:right="131"/>
      </w:pPr>
      <w:r>
        <w:rPr/>
        <w:t>$5.0 million in 1995 as a result of higher levels of progress payments on aircraft compared to 1994. Interest income for 1995 increased $10.9 million primarily due to higher invested cash balances and higher short-term interest rates.</w:t>
      </w:r>
    </w:p>
    <w:p>
      <w:pPr>
        <w:pStyle w:val="BodyText"/>
        <w:spacing w:before="2"/>
      </w:pPr>
    </w:p>
    <w:p>
      <w:pPr>
        <w:pStyle w:val="BodyText"/>
        <w:spacing w:line="244" w:lineRule="auto"/>
        <w:ind w:left="119"/>
      </w:pPr>
      <w:r>
        <w:rPr>
          <w:i/>
        </w:rPr>
        <w:t>INCOME TAXES </w:t>
      </w:r>
      <w:r>
        <w:rPr/>
        <w:t>The provision for income taxes as a percentage of income before taxes was relatively unchanged year-over-year.</w:t>
      </w:r>
    </w:p>
    <w:p>
      <w:pPr>
        <w:spacing w:after="0" w:line="244" w:lineRule="auto"/>
        <w:sectPr>
          <w:pgSz w:w="12240" w:h="15840"/>
          <w:pgMar w:header="0" w:footer="730" w:top="1360" w:bottom="980" w:left="1680" w:right="1680"/>
        </w:sectPr>
      </w:pPr>
    </w:p>
    <w:p>
      <w:pPr>
        <w:pStyle w:val="BodyText"/>
        <w:spacing w:line="242" w:lineRule="auto" w:before="175"/>
        <w:ind w:left="120"/>
      </w:pPr>
      <w:r>
        <w:rPr>
          <w:b/>
        </w:rPr>
        <w:t>1994 COMPARED WITH 1993 </w:t>
      </w:r>
      <w:r>
        <w:rPr/>
        <w:t>The Company’s consolidated net income for 1994 was $179.3 million ($1.22 per share), as compared to the corresponding 1993 amount (before the cumulative effect of accounting changes) of $154.3 million ($1.05 per share), an increase of 16.2 percent.</w:t>
      </w:r>
    </w:p>
    <w:p>
      <w:pPr>
        <w:pStyle w:val="BodyText"/>
        <w:ind w:left="120"/>
      </w:pPr>
      <w:r>
        <w:rPr/>
        <w:t>The increase in earnings was primarily attributable to an increase in operating income of 8.5 percent and a decrease in other expenses (nonoperating) of 46.9 percent.</w:t>
      </w:r>
    </w:p>
    <w:p>
      <w:pPr>
        <w:pStyle w:val="BodyText"/>
        <w:spacing w:before="2"/>
      </w:pPr>
    </w:p>
    <w:p>
      <w:pPr>
        <w:pStyle w:val="BodyText"/>
        <w:spacing w:line="242" w:lineRule="auto"/>
        <w:ind w:left="120" w:right="239"/>
      </w:pPr>
      <w:r>
        <w:rPr>
          <w:i/>
        </w:rPr>
        <w:t>OPERATING REVENUES </w:t>
      </w:r>
      <w:r>
        <w:rPr/>
        <w:t>Consolidated operating revenues increased by 12.9 percent in 1994 to $2,591.9 million, compared to $2,296.7 million for 1993. This increase in 1994 operating revenues was derived from a 12.7 percent increase in passenger revenues. RPMs increased</w:t>
      </w:r>
    </w:p>
    <w:p>
      <w:pPr>
        <w:pStyle w:val="BodyText"/>
        <w:ind w:left="120" w:right="190"/>
      </w:pPr>
      <w:r>
        <w:rPr/>
        <w:t>14.8 percent in 1994, compared to a 16.8 percent increase in ASMs, resulting in a decrease in load factor from 68.4 percent in 1993 to 67.3 percent in 1994. The 1994 ASM growth resulted from the addition of 21 aircraft during 1994.</w:t>
      </w:r>
    </w:p>
    <w:p>
      <w:pPr>
        <w:pStyle w:val="BodyText"/>
        <w:spacing w:before="3"/>
      </w:pPr>
    </w:p>
    <w:p>
      <w:pPr>
        <w:pStyle w:val="BodyText"/>
        <w:ind w:left="120" w:right="239"/>
      </w:pPr>
      <w:r>
        <w:rPr/>
        <w:t>Freight revenues in 1994 were $54.4 million, compared to $42.9 million in 1993. The 26.9 percent increase in freight revenues exceeded the 16.8 percent increase in ASMs for the same period primarily due to increased air freight volumes and United States mail  services.</w:t>
      </w:r>
    </w:p>
    <w:p>
      <w:pPr>
        <w:pStyle w:val="BodyText"/>
      </w:pPr>
    </w:p>
    <w:p>
      <w:pPr>
        <w:pStyle w:val="BodyText"/>
        <w:spacing w:line="242" w:lineRule="auto"/>
        <w:ind w:left="120" w:right="157"/>
      </w:pPr>
      <w:r>
        <w:rPr>
          <w:i/>
        </w:rPr>
        <w:t>OPERATING EXPENSES </w:t>
      </w:r>
      <w:r>
        <w:rPr/>
        <w:t>Consolidated operating expenses for 1994 were $2,275.2 million, compared to $2,004.7 million in 1993, an increase of 13.5 percent, compared to the 16.8 percent increase in </w:t>
      </w:r>
      <w:r>
        <w:rPr>
          <w:spacing w:val="-4"/>
        </w:rPr>
        <w:t>ASMs. </w:t>
      </w:r>
      <w:r>
        <w:rPr/>
        <w:t>On a per-ASM basis, operating expenses (excluding 1993 merger expenses) decreased 2.3 percent in 1994. The primary factors contributing to this decrease were an 8.8 percent decrease in average jet fuel cost per gallon and lower agency commission costs, offset by increased aircraft</w:t>
      </w:r>
      <w:r>
        <w:rPr>
          <w:spacing w:val="5"/>
        </w:rPr>
        <w:t> </w:t>
      </w:r>
      <w:r>
        <w:rPr/>
        <w:t>rentals.</w:t>
      </w:r>
    </w:p>
    <w:p>
      <w:pPr>
        <w:pStyle w:val="BodyText"/>
        <w:spacing w:before="9"/>
        <w:rPr>
          <w:sz w:val="19"/>
        </w:rPr>
      </w:pPr>
    </w:p>
    <w:p>
      <w:pPr>
        <w:pStyle w:val="BodyText"/>
        <w:ind w:left="119"/>
      </w:pPr>
      <w:r>
        <w:rPr/>
        <w:t>Salaries, wages, and benefits per ASM increased only .5 percent in 1994. This increase resulted from a 3.0 percent increase in average salary and benefits cost per Employee, partially offset by slower average headcount growth, which increased only 13.8 percent in 1994 versus the 1994 capacity (ASM) increase of 16.8 percent. The majority of the increase in average salary and benefits cost related to increased health benefits and workers’ compensation costs. Employee productivity improved from 2,633 passengers handled per Employee in 1993 to 2,676 in 1994.</w:t>
      </w:r>
    </w:p>
    <w:p>
      <w:pPr>
        <w:pStyle w:val="BodyText"/>
      </w:pPr>
    </w:p>
    <w:p>
      <w:pPr>
        <w:pStyle w:val="BodyText"/>
        <w:ind w:left="119"/>
      </w:pPr>
      <w:r>
        <w:rPr/>
        <w:t>Employee profitsharing and savings plans expense per ASM increased 4.8 percent in 1994. The increase is primarily the result of increased matching contributions to Employee savings plans resulting from increased Employee participation and higher matching rates in 1994 for Flight Attendants  and Customer Service Employees under their respective collective</w:t>
      </w:r>
    </w:p>
    <w:p>
      <w:pPr>
        <w:pStyle w:val="BodyText"/>
        <w:ind w:left="119"/>
      </w:pPr>
      <w:r>
        <w:rPr/>
        <w:t>bargaining agreements.</w:t>
      </w:r>
    </w:p>
    <w:p>
      <w:pPr>
        <w:pStyle w:val="BodyText"/>
      </w:pPr>
    </w:p>
    <w:p>
      <w:pPr>
        <w:pStyle w:val="BodyText"/>
        <w:spacing w:before="1"/>
        <w:ind w:left="119" w:right="131"/>
      </w:pPr>
      <w:r>
        <w:rPr/>
        <w:t>Fuel and oil expenses per ASM decreased 9.9 percent in 1994, primarily due to an 8.8 percent reduction in the average jet fuel cost per gallon from 1993. Jet fuel prices remained relatively stable throughout 1994, with quarterly averages ranging from $.51 to $.56 per gallon.</w:t>
      </w:r>
    </w:p>
    <w:p>
      <w:pPr>
        <w:pStyle w:val="BodyText"/>
      </w:pPr>
    </w:p>
    <w:p>
      <w:pPr>
        <w:pStyle w:val="BodyText"/>
        <w:spacing w:before="1"/>
        <w:ind w:left="119"/>
      </w:pPr>
      <w:r>
        <w:rPr/>
        <w:t>Maintenance materials and repairs per ASM was unchanged in 1994 compared to 1993.</w:t>
      </w:r>
    </w:p>
    <w:p>
      <w:pPr>
        <w:pStyle w:val="BodyText"/>
      </w:pPr>
    </w:p>
    <w:p>
      <w:pPr>
        <w:pStyle w:val="BodyText"/>
        <w:spacing w:before="1"/>
        <w:ind w:left="120" w:right="131"/>
      </w:pPr>
      <w:r>
        <w:rPr/>
        <w:t>Agency commissions per ASM decreased 12.8 percent due to a lower mix of travel agency sales and lower 1994 passenger revenue per ASM. The lower travel agency sales mix resulted from 1994 enhancements to Southwest’s ticket delivery systems for direct Customers.</w:t>
      </w:r>
    </w:p>
    <w:p>
      <w:pPr>
        <w:pStyle w:val="BodyText"/>
      </w:pPr>
    </w:p>
    <w:p>
      <w:pPr>
        <w:pStyle w:val="BodyText"/>
        <w:spacing w:before="1"/>
        <w:ind w:left="120" w:right="131"/>
      </w:pPr>
      <w:r>
        <w:rPr/>
        <w:t>Aircraft rentals per ASM increased 7.7 percent in 1994. The increase primarily resulted from a third quarter 1994 sale/leaseback transaction involving ten new 737-300 aircraft and a lease of three used aircraft under long-term operating leases. At December 31, 1994, 44.7 percent of the Company’s fleet was subject to operating leases, compared to 43.3 percent at December 31, 1993.</w:t>
      </w:r>
    </w:p>
    <w:p>
      <w:pPr>
        <w:pStyle w:val="BodyText"/>
      </w:pPr>
    </w:p>
    <w:p>
      <w:pPr>
        <w:pStyle w:val="BodyText"/>
        <w:spacing w:before="1"/>
        <w:ind w:left="120" w:right="190"/>
      </w:pPr>
      <w:r>
        <w:rPr/>
        <w:t>Other operating expenses per ASM decreased 1.4 percent in 1994 compared to 1993. The overall decrease is primarily attributable to operating efficiencies resulting from the transition of</w:t>
      </w:r>
    </w:p>
    <w:p>
      <w:pPr>
        <w:spacing w:after="0"/>
        <w:sectPr>
          <w:pgSz w:w="12240" w:h="15840"/>
          <w:pgMar w:header="0" w:footer="730" w:top="1500" w:bottom="980" w:left="1680" w:right="1680"/>
        </w:sectPr>
      </w:pPr>
    </w:p>
    <w:p>
      <w:pPr>
        <w:pStyle w:val="BodyText"/>
        <w:spacing w:before="79"/>
        <w:ind w:left="120" w:right="131"/>
      </w:pPr>
      <w:r>
        <w:rPr/>
        <w:t>Morris operational functions to Southwest, primarily contract services which decreased $8.8 million (24.4 percent per ASM), offset by an increase in advertising costs of $24.1 million (22.9 percent per ASM) primarily associated with the start-up of seven new cities and new competitive pressures in 1994.</w:t>
      </w:r>
    </w:p>
    <w:p>
      <w:pPr>
        <w:pStyle w:val="BodyText"/>
      </w:pPr>
    </w:p>
    <w:p>
      <w:pPr>
        <w:pStyle w:val="BodyText"/>
        <w:spacing w:line="242" w:lineRule="auto"/>
        <w:ind w:left="120" w:right="146"/>
      </w:pPr>
      <w:r>
        <w:rPr>
          <w:i/>
        </w:rPr>
        <w:t>OTHER </w:t>
      </w:r>
      <w:r>
        <w:rPr/>
        <w:t>“Other expenses (income)” included interest expense, interest income, and nonoperating gains and losses. Interest expense decreased $5.1 million in 1994 due to the March 1, 1993 redemption of $100 million senior unsecured 9% Notes due 1996 and the repayment of approximately $54.0 million of Morris long-term debt during </w:t>
      </w:r>
      <w:r>
        <w:rPr>
          <w:spacing w:val="2"/>
        </w:rPr>
        <w:t>first </w:t>
      </w:r>
      <w:r>
        <w:rPr/>
        <w:t>quarter 1994. Capitalized  interest increased $8.6 million in 1994 as a result of higher levels of advance payments on  aircraft compared to 1993. Interest income for 1994 decreased $1.9 million primarily due to lower cash balances available for short-term</w:t>
      </w:r>
      <w:r>
        <w:rPr>
          <w:spacing w:val="33"/>
        </w:rPr>
        <w:t> </w:t>
      </w:r>
      <w:r>
        <w:rPr/>
        <w:t>investment.</w:t>
      </w:r>
    </w:p>
    <w:p>
      <w:pPr>
        <w:pStyle w:val="BodyText"/>
        <w:spacing w:before="9"/>
        <w:rPr>
          <w:sz w:val="19"/>
        </w:rPr>
      </w:pPr>
    </w:p>
    <w:p>
      <w:pPr>
        <w:pStyle w:val="BodyText"/>
        <w:spacing w:line="242" w:lineRule="auto" w:before="1"/>
        <w:ind w:left="119" w:right="157"/>
      </w:pPr>
      <w:r>
        <w:rPr>
          <w:i/>
        </w:rPr>
        <w:t>INCOME TAXES </w:t>
      </w:r>
      <w:r>
        <w:rPr/>
        <w:t>The provision for income taxes decreased in 1994 as a percentage of income before taxes, excluding cumulative effect of accounting changes, to 40.1 percent from 40.6 percent in 1993. The 1993 rate was higher due to deferred tax adjustments in 1993 related to the 1993 increase in the federal corporate income tax rate from 34 percent to 35 percent (see Note 11 to the Consolidated Financial Statements). This was offset by increased 1994 effective state income tax rates.</w:t>
      </w:r>
    </w:p>
    <w:p>
      <w:pPr>
        <w:pStyle w:val="BodyText"/>
        <w:spacing w:before="3"/>
      </w:pPr>
    </w:p>
    <w:p>
      <w:pPr>
        <w:pStyle w:val="Heading2"/>
      </w:pPr>
      <w:r>
        <w:rPr/>
        <w:t>LIQUIDITY AND CAPITAL RESOURCES</w:t>
      </w:r>
    </w:p>
    <w:p>
      <w:pPr>
        <w:pStyle w:val="BodyText"/>
        <w:spacing w:before="5"/>
        <w:rPr>
          <w:b/>
        </w:rPr>
      </w:pPr>
    </w:p>
    <w:p>
      <w:pPr>
        <w:pStyle w:val="BodyText"/>
        <w:ind w:left="119" w:right="200"/>
      </w:pPr>
      <w:r>
        <w:rPr/>
        <w:t>Cash provided from operations was $456.4 million in 1995, compared to $412.7 million in 1994. During 1995, additional funds of $321.7 million were generated from the sale and leaseback of ten new 737-300 aircraft subject to long-term operating leases (increasing total commitments for operating leases by $607.9 million). In addition, $98.8 million was generated from the March 1995 issuance of $100 million in senior unsecured 8% Notes due in 2005.</w:t>
      </w:r>
    </w:p>
    <w:p>
      <w:pPr>
        <w:pStyle w:val="BodyText"/>
      </w:pPr>
    </w:p>
    <w:p>
      <w:pPr>
        <w:pStyle w:val="BodyText"/>
        <w:ind w:left="119" w:right="251"/>
      </w:pPr>
      <w:r>
        <w:rPr/>
        <w:t>During 1995, capital expenditures of $728.6 million primarily were for the purchase of 23 new 737-300 aircraft, one used 737-300 aircraft previously leased by Morris, and progress payments for future aircraft deliveries. At December 31, 1995, capital commitments of the Company consisted primarily of scheduled aircraft acquisitions.</w:t>
      </w:r>
    </w:p>
    <w:p>
      <w:pPr>
        <w:pStyle w:val="BodyText"/>
      </w:pPr>
    </w:p>
    <w:p>
      <w:pPr>
        <w:pStyle w:val="BodyText"/>
        <w:ind w:left="120" w:right="131"/>
      </w:pPr>
      <w:r>
        <w:rPr>
          <w:spacing w:val="-3"/>
        </w:rPr>
        <w:t>As </w:t>
      </w:r>
      <w:r>
        <w:rPr/>
        <w:t>of January 1996, </w:t>
      </w:r>
      <w:r>
        <w:rPr>
          <w:spacing w:val="-3"/>
        </w:rPr>
        <w:t>Southwest </w:t>
      </w:r>
      <w:r>
        <w:rPr/>
        <w:t>had one hundred 737s on </w:t>
      </w:r>
      <w:r>
        <w:rPr>
          <w:spacing w:val="2"/>
        </w:rPr>
        <w:t>firm </w:t>
      </w:r>
      <w:r>
        <w:rPr/>
        <w:t>order, including twenty to be delivered in 1996, with options to purchase another sixty-seven. </w:t>
      </w:r>
      <w:r>
        <w:rPr>
          <w:spacing w:val="-4"/>
        </w:rPr>
        <w:t>Aggregate </w:t>
      </w:r>
      <w:r>
        <w:rPr/>
        <w:t>funding required for </w:t>
      </w:r>
      <w:r>
        <w:rPr>
          <w:spacing w:val="2"/>
        </w:rPr>
        <w:t>firm </w:t>
      </w:r>
      <w:r>
        <w:rPr/>
        <w:t>commitments approximated $2,614.0 million through the year 2001 of which $461.5 million related to 1996. </w:t>
      </w:r>
      <w:r>
        <w:rPr>
          <w:spacing w:val="-3"/>
        </w:rPr>
        <w:t>See </w:t>
      </w:r>
      <w:r>
        <w:rPr/>
        <w:t>Note 4 to the Consolidated Financial Statements for further</w:t>
      </w:r>
      <w:r>
        <w:rPr>
          <w:spacing w:val="54"/>
        </w:rPr>
        <w:t> </w:t>
      </w:r>
      <w:r>
        <w:rPr/>
        <w:t>information.</w:t>
      </w:r>
    </w:p>
    <w:p>
      <w:pPr>
        <w:pStyle w:val="BodyText"/>
      </w:pPr>
    </w:p>
    <w:p>
      <w:pPr>
        <w:pStyle w:val="BodyText"/>
        <w:ind w:left="120" w:right="131"/>
      </w:pPr>
      <w:r>
        <w:rPr/>
        <w:t>As of December 31, 1995 and since 1990, the Company had authority from its Board of Directors to purchase 3,750,000 shares of its common stock from time-to-time on the open market. No shares have been purchased since 1990.</w:t>
      </w:r>
    </w:p>
    <w:p>
      <w:pPr>
        <w:pStyle w:val="BodyText"/>
      </w:pPr>
    </w:p>
    <w:p>
      <w:pPr>
        <w:pStyle w:val="BodyText"/>
        <w:ind w:left="120" w:right="192"/>
      </w:pPr>
      <w:r>
        <w:rPr/>
        <w:t>The Company has various options available to meet its capital and operating commitments, including cash on hand at December 31, 1995 of $317.4 million, internally generated funds, and a revolving credit line with a group of banks of up to $460 million (none of which had been drawn at December 31, 1995). In addition, the Company will also consider various borrowing or leasing options to </w:t>
      </w:r>
      <w:r>
        <w:rPr>
          <w:spacing w:val="-3"/>
        </w:rPr>
        <w:t>maximize </w:t>
      </w:r>
      <w:r>
        <w:rPr/>
        <w:t>earnings and supplement cash</w:t>
      </w:r>
      <w:r>
        <w:rPr>
          <w:spacing w:val="38"/>
        </w:rPr>
        <w:t> </w:t>
      </w:r>
      <w:r>
        <w:rPr/>
        <w:t>requirements.</w:t>
      </w:r>
    </w:p>
    <w:p>
      <w:pPr>
        <w:pStyle w:val="BodyText"/>
      </w:pPr>
    </w:p>
    <w:p>
      <w:pPr>
        <w:pStyle w:val="BodyText"/>
        <w:ind w:left="120" w:right="131"/>
      </w:pPr>
      <w:r>
        <w:rPr/>
        <w:t>The Company currently has outstanding shelf registrations for the issuance of $260.6 million public debt securities.</w:t>
      </w:r>
    </w:p>
    <w:p>
      <w:pPr>
        <w:pStyle w:val="BodyText"/>
      </w:pPr>
    </w:p>
    <w:p>
      <w:pPr>
        <w:pStyle w:val="BodyText"/>
        <w:ind w:left="120" w:right="239"/>
      </w:pPr>
      <w:r>
        <w:rPr/>
        <w:t>Cash provided from operations was $412.7 million in 1994 as compared to $392.7 million in 1993. During 1994, additional funds of $315.0 million were generated from the sale and leaseback of ten new 737-300 aircraft subject to long-term operating leases (increasing total commitments for operating leases by $619.0 million). These proceeds were primarily used to finance aircraft-related capital expenditures and to provide working capital.</w:t>
      </w:r>
    </w:p>
    <w:p>
      <w:pPr>
        <w:spacing w:after="0"/>
        <w:sectPr>
          <w:pgSz w:w="12240" w:h="15840"/>
          <w:pgMar w:header="0" w:footer="730" w:top="1360" w:bottom="980" w:left="1680" w:right="1680"/>
        </w:sectPr>
      </w:pPr>
    </w:p>
    <w:p>
      <w:pPr>
        <w:pStyle w:val="BodyText"/>
        <w:spacing w:before="4"/>
        <w:rPr>
          <w:rFonts w:ascii="Times New Roman"/>
          <w:sz w:val="17"/>
        </w:rPr>
      </w:pPr>
    </w:p>
    <w:p>
      <w:pPr>
        <w:spacing w:after="0"/>
        <w:rPr>
          <w:rFonts w:ascii="Times New Roman"/>
          <w:sz w:val="17"/>
        </w:rPr>
        <w:sectPr>
          <w:pgSz w:w="12240" w:h="15840"/>
          <w:pgMar w:header="0" w:footer="730" w:top="1500" w:bottom="920" w:left="1720" w:right="16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19"/>
        <w:gridCol w:w="1894"/>
        <w:gridCol w:w="1270"/>
      </w:tblGrid>
      <w:tr>
        <w:trPr>
          <w:trHeight w:val="345" w:hRule="exact"/>
        </w:trPr>
        <w:tc>
          <w:tcPr>
            <w:tcW w:w="5419" w:type="dxa"/>
          </w:tcPr>
          <w:p>
            <w:pPr>
              <w:pStyle w:val="TableParagraph"/>
              <w:spacing w:line="225" w:lineRule="exact"/>
              <w:ind w:left="50"/>
              <w:jc w:val="left"/>
              <w:rPr>
                <w:b/>
                <w:sz w:val="20"/>
              </w:rPr>
            </w:pPr>
            <w:r>
              <w:rPr>
                <w:b/>
                <w:sz w:val="20"/>
              </w:rPr>
              <w:t>CONSOLIDATED BALANCE SHEET</w:t>
            </w:r>
          </w:p>
        </w:tc>
        <w:tc>
          <w:tcPr>
            <w:tcW w:w="3164" w:type="dxa"/>
            <w:gridSpan w:val="2"/>
          </w:tcPr>
          <w:p>
            <w:pPr/>
          </w:p>
        </w:tc>
      </w:tr>
      <w:tr>
        <w:trPr>
          <w:trHeight w:val="809" w:hRule="exact"/>
        </w:trPr>
        <w:tc>
          <w:tcPr>
            <w:tcW w:w="5419" w:type="dxa"/>
          </w:tcPr>
          <w:p>
            <w:pPr>
              <w:pStyle w:val="TableParagraph"/>
              <w:spacing w:before="115"/>
              <w:ind w:left="50"/>
              <w:jc w:val="left"/>
              <w:rPr>
                <w:sz w:val="20"/>
              </w:rPr>
            </w:pPr>
            <w:r>
              <w:rPr>
                <w:sz w:val="20"/>
              </w:rPr>
              <w:t>(in thousands except share and per share amounts)</w:t>
            </w:r>
          </w:p>
          <w:p>
            <w:pPr>
              <w:pStyle w:val="TableParagraph"/>
              <w:jc w:val="left"/>
              <w:rPr>
                <w:rFonts w:ascii="Times New Roman"/>
                <w:sz w:val="20"/>
              </w:rPr>
            </w:pPr>
          </w:p>
          <w:p>
            <w:pPr>
              <w:pStyle w:val="TableParagraph"/>
              <w:ind w:left="50"/>
              <w:jc w:val="left"/>
              <w:rPr>
                <w:sz w:val="20"/>
              </w:rPr>
            </w:pPr>
            <w:r>
              <w:rPr>
                <w:sz w:val="20"/>
              </w:rPr>
              <w:t>ASSETS</w:t>
            </w:r>
          </w:p>
        </w:tc>
        <w:tc>
          <w:tcPr>
            <w:tcW w:w="1894" w:type="dxa"/>
          </w:tcPr>
          <w:p>
            <w:pPr>
              <w:pStyle w:val="TableParagraph"/>
              <w:spacing w:before="115"/>
              <w:ind w:left="383" w:right="213"/>
              <w:jc w:val="center"/>
              <w:rPr>
                <w:sz w:val="20"/>
              </w:rPr>
            </w:pPr>
            <w:r>
              <w:rPr>
                <w:sz w:val="20"/>
              </w:rPr>
              <w:t>December 31,</w:t>
            </w:r>
          </w:p>
          <w:p>
            <w:pPr>
              <w:pStyle w:val="TableParagraph"/>
              <w:ind w:left="378" w:right="213"/>
              <w:jc w:val="center"/>
              <w:rPr>
                <w:sz w:val="20"/>
              </w:rPr>
            </w:pPr>
            <w:r>
              <w:rPr>
                <w:sz w:val="20"/>
              </w:rPr>
              <w:t>1995</w:t>
            </w:r>
          </w:p>
        </w:tc>
        <w:tc>
          <w:tcPr>
            <w:tcW w:w="1270" w:type="dxa"/>
          </w:tcPr>
          <w:p>
            <w:pPr>
              <w:pStyle w:val="TableParagraph"/>
              <w:jc w:val="left"/>
              <w:rPr>
                <w:rFonts w:ascii="Times New Roman"/>
                <w:sz w:val="30"/>
              </w:rPr>
            </w:pPr>
          </w:p>
          <w:p>
            <w:pPr>
              <w:pStyle w:val="TableParagraph"/>
              <w:ind w:left="354"/>
              <w:jc w:val="left"/>
              <w:rPr>
                <w:sz w:val="20"/>
              </w:rPr>
            </w:pPr>
            <w:r>
              <w:rPr>
                <w:sz w:val="20"/>
              </w:rPr>
              <w:t>1994</w:t>
            </w:r>
          </w:p>
        </w:tc>
      </w:tr>
      <w:tr>
        <w:trPr>
          <w:trHeight w:val="461" w:hRule="exact"/>
        </w:trPr>
        <w:tc>
          <w:tcPr>
            <w:tcW w:w="5419" w:type="dxa"/>
          </w:tcPr>
          <w:p>
            <w:pPr>
              <w:pStyle w:val="TableParagraph"/>
              <w:spacing w:line="227" w:lineRule="exact"/>
              <w:ind w:left="50"/>
              <w:jc w:val="left"/>
              <w:rPr>
                <w:sz w:val="20"/>
              </w:rPr>
            </w:pPr>
            <w:r>
              <w:rPr>
                <w:sz w:val="20"/>
              </w:rPr>
              <w:t>Current assets:</w:t>
            </w:r>
          </w:p>
          <w:p>
            <w:pPr>
              <w:pStyle w:val="TableParagraph"/>
              <w:ind w:left="50"/>
              <w:jc w:val="left"/>
              <w:rPr>
                <w:sz w:val="20"/>
              </w:rPr>
            </w:pPr>
            <w:r>
              <w:rPr>
                <w:sz w:val="20"/>
              </w:rPr>
              <w:t>Cash and cash equivalents</w:t>
            </w:r>
          </w:p>
        </w:tc>
        <w:tc>
          <w:tcPr>
            <w:tcW w:w="1894" w:type="dxa"/>
          </w:tcPr>
          <w:p>
            <w:pPr>
              <w:pStyle w:val="TableParagraph"/>
              <w:spacing w:before="9"/>
              <w:jc w:val="left"/>
              <w:rPr>
                <w:rFonts w:ascii="Times New Roman"/>
                <w:sz w:val="19"/>
              </w:rPr>
            </w:pPr>
          </w:p>
          <w:p>
            <w:pPr>
              <w:pStyle w:val="TableParagraph"/>
              <w:ind w:right="218"/>
              <w:rPr>
                <w:sz w:val="20"/>
              </w:rPr>
            </w:pPr>
            <w:r>
              <w:rPr>
                <w:sz w:val="20"/>
              </w:rPr>
              <w:t>$317,363</w:t>
            </w:r>
          </w:p>
        </w:tc>
        <w:tc>
          <w:tcPr>
            <w:tcW w:w="1270" w:type="dxa"/>
          </w:tcPr>
          <w:p>
            <w:pPr>
              <w:pStyle w:val="TableParagraph"/>
              <w:spacing w:before="9"/>
              <w:jc w:val="left"/>
              <w:rPr>
                <w:rFonts w:ascii="Times New Roman"/>
                <w:sz w:val="19"/>
              </w:rPr>
            </w:pPr>
          </w:p>
          <w:p>
            <w:pPr>
              <w:pStyle w:val="TableParagraph"/>
              <w:ind w:right="48"/>
              <w:rPr>
                <w:sz w:val="20"/>
              </w:rPr>
            </w:pPr>
            <w:r>
              <w:rPr>
                <w:sz w:val="20"/>
              </w:rPr>
              <w:t>$174,538</w:t>
            </w:r>
          </w:p>
        </w:tc>
      </w:tr>
      <w:tr>
        <w:trPr>
          <w:trHeight w:val="230" w:hRule="exact"/>
        </w:trPr>
        <w:tc>
          <w:tcPr>
            <w:tcW w:w="5419" w:type="dxa"/>
          </w:tcPr>
          <w:p>
            <w:pPr>
              <w:pStyle w:val="TableParagraph"/>
              <w:spacing w:line="227" w:lineRule="exact"/>
              <w:ind w:left="50"/>
              <w:jc w:val="left"/>
              <w:rPr>
                <w:sz w:val="20"/>
              </w:rPr>
            </w:pPr>
            <w:r>
              <w:rPr>
                <w:sz w:val="20"/>
              </w:rPr>
              <w:t>Accounts receivable</w:t>
            </w:r>
          </w:p>
        </w:tc>
        <w:tc>
          <w:tcPr>
            <w:tcW w:w="1894" w:type="dxa"/>
          </w:tcPr>
          <w:p>
            <w:pPr>
              <w:pStyle w:val="TableParagraph"/>
              <w:spacing w:line="227" w:lineRule="exact"/>
              <w:ind w:right="218"/>
              <w:rPr>
                <w:sz w:val="20"/>
              </w:rPr>
            </w:pPr>
            <w:r>
              <w:rPr>
                <w:sz w:val="20"/>
              </w:rPr>
              <w:t>79,781</w:t>
            </w:r>
          </w:p>
        </w:tc>
        <w:tc>
          <w:tcPr>
            <w:tcW w:w="1270" w:type="dxa"/>
          </w:tcPr>
          <w:p>
            <w:pPr>
              <w:pStyle w:val="TableParagraph"/>
              <w:spacing w:line="227" w:lineRule="exact"/>
              <w:ind w:right="48"/>
              <w:rPr>
                <w:sz w:val="20"/>
              </w:rPr>
            </w:pPr>
            <w:r>
              <w:rPr>
                <w:sz w:val="20"/>
              </w:rPr>
              <w:t>75,692</w:t>
            </w:r>
          </w:p>
        </w:tc>
      </w:tr>
      <w:tr>
        <w:trPr>
          <w:trHeight w:val="230" w:hRule="exact"/>
        </w:trPr>
        <w:tc>
          <w:tcPr>
            <w:tcW w:w="5419" w:type="dxa"/>
          </w:tcPr>
          <w:p>
            <w:pPr>
              <w:pStyle w:val="TableParagraph"/>
              <w:spacing w:line="227" w:lineRule="exact"/>
              <w:ind w:left="50"/>
              <w:jc w:val="left"/>
              <w:rPr>
                <w:sz w:val="20"/>
              </w:rPr>
            </w:pPr>
            <w:r>
              <w:rPr>
                <w:sz w:val="20"/>
              </w:rPr>
              <w:t>Inventories of parts and supplies, at cost</w:t>
            </w:r>
          </w:p>
        </w:tc>
        <w:tc>
          <w:tcPr>
            <w:tcW w:w="1894" w:type="dxa"/>
          </w:tcPr>
          <w:p>
            <w:pPr>
              <w:pStyle w:val="TableParagraph"/>
              <w:spacing w:line="227" w:lineRule="exact"/>
              <w:ind w:right="218"/>
              <w:rPr>
                <w:sz w:val="20"/>
              </w:rPr>
            </w:pPr>
            <w:r>
              <w:rPr>
                <w:sz w:val="20"/>
              </w:rPr>
              <w:t>41,032</w:t>
            </w:r>
          </w:p>
        </w:tc>
        <w:tc>
          <w:tcPr>
            <w:tcW w:w="1270" w:type="dxa"/>
          </w:tcPr>
          <w:p>
            <w:pPr>
              <w:pStyle w:val="TableParagraph"/>
              <w:spacing w:line="227" w:lineRule="exact"/>
              <w:ind w:right="48"/>
              <w:rPr>
                <w:sz w:val="20"/>
              </w:rPr>
            </w:pPr>
            <w:r>
              <w:rPr>
                <w:sz w:val="20"/>
              </w:rPr>
              <w:t>37,565</w:t>
            </w:r>
          </w:p>
        </w:tc>
      </w:tr>
      <w:tr>
        <w:trPr>
          <w:trHeight w:val="230" w:hRule="exact"/>
        </w:trPr>
        <w:tc>
          <w:tcPr>
            <w:tcW w:w="5419" w:type="dxa"/>
          </w:tcPr>
          <w:p>
            <w:pPr>
              <w:pStyle w:val="TableParagraph"/>
              <w:spacing w:line="227" w:lineRule="exact"/>
              <w:ind w:left="50"/>
              <w:jc w:val="left"/>
              <w:rPr>
                <w:sz w:val="20"/>
              </w:rPr>
            </w:pPr>
            <w:r>
              <w:rPr>
                <w:sz w:val="20"/>
              </w:rPr>
              <w:t>Deferred income taxes (Note 11)</w:t>
            </w:r>
          </w:p>
        </w:tc>
        <w:tc>
          <w:tcPr>
            <w:tcW w:w="1894" w:type="dxa"/>
          </w:tcPr>
          <w:p>
            <w:pPr>
              <w:pStyle w:val="TableParagraph"/>
              <w:spacing w:line="227" w:lineRule="exact"/>
              <w:ind w:right="218"/>
              <w:rPr>
                <w:sz w:val="20"/>
              </w:rPr>
            </w:pPr>
            <w:r>
              <w:rPr>
                <w:sz w:val="20"/>
              </w:rPr>
              <w:t>10,476</w:t>
            </w:r>
          </w:p>
        </w:tc>
        <w:tc>
          <w:tcPr>
            <w:tcW w:w="1270" w:type="dxa"/>
          </w:tcPr>
          <w:p>
            <w:pPr>
              <w:pStyle w:val="TableParagraph"/>
              <w:spacing w:line="227" w:lineRule="exact"/>
              <w:ind w:right="48"/>
              <w:rPr>
                <w:sz w:val="20"/>
              </w:rPr>
            </w:pPr>
            <w:r>
              <w:rPr>
                <w:sz w:val="20"/>
              </w:rPr>
              <w:t>9,822</w:t>
            </w:r>
          </w:p>
        </w:tc>
      </w:tr>
      <w:tr>
        <w:trPr>
          <w:trHeight w:val="230" w:hRule="exact"/>
        </w:trPr>
        <w:tc>
          <w:tcPr>
            <w:tcW w:w="5419" w:type="dxa"/>
          </w:tcPr>
          <w:p>
            <w:pPr>
              <w:pStyle w:val="TableParagraph"/>
              <w:spacing w:line="227" w:lineRule="exact"/>
              <w:ind w:left="50"/>
              <w:jc w:val="left"/>
              <w:rPr>
                <w:sz w:val="20"/>
              </w:rPr>
            </w:pPr>
            <w:r>
              <w:rPr>
                <w:sz w:val="20"/>
              </w:rPr>
              <w:t>Prepaid expenses and other current assets</w:t>
            </w:r>
          </w:p>
        </w:tc>
        <w:tc>
          <w:tcPr>
            <w:tcW w:w="1894" w:type="dxa"/>
          </w:tcPr>
          <w:p>
            <w:pPr>
              <w:pStyle w:val="TableParagraph"/>
              <w:spacing w:line="227" w:lineRule="exact"/>
              <w:ind w:right="218"/>
              <w:rPr>
                <w:sz w:val="20"/>
              </w:rPr>
            </w:pPr>
            <w:r>
              <w:rPr>
                <w:sz w:val="20"/>
                <w:u w:val="single"/>
              </w:rPr>
              <w:t>24,484</w:t>
            </w:r>
          </w:p>
        </w:tc>
        <w:tc>
          <w:tcPr>
            <w:tcW w:w="1270" w:type="dxa"/>
          </w:tcPr>
          <w:p>
            <w:pPr>
              <w:pStyle w:val="TableParagraph"/>
              <w:spacing w:line="227" w:lineRule="exact"/>
              <w:ind w:right="48"/>
              <w:rPr>
                <w:sz w:val="20"/>
              </w:rPr>
            </w:pPr>
            <w:r>
              <w:rPr>
                <w:sz w:val="20"/>
                <w:u w:val="single"/>
              </w:rPr>
              <w:t>17,281</w:t>
            </w:r>
          </w:p>
        </w:tc>
      </w:tr>
      <w:tr>
        <w:trPr>
          <w:trHeight w:val="230" w:hRule="exact"/>
        </w:trPr>
        <w:tc>
          <w:tcPr>
            <w:tcW w:w="5419" w:type="dxa"/>
          </w:tcPr>
          <w:p>
            <w:pPr>
              <w:pStyle w:val="TableParagraph"/>
              <w:spacing w:line="227" w:lineRule="exact"/>
              <w:ind w:left="50"/>
              <w:jc w:val="left"/>
              <w:rPr>
                <w:sz w:val="20"/>
              </w:rPr>
            </w:pPr>
            <w:r>
              <w:rPr>
                <w:sz w:val="20"/>
              </w:rPr>
              <w:t>Total current assets</w:t>
            </w:r>
          </w:p>
        </w:tc>
        <w:tc>
          <w:tcPr>
            <w:tcW w:w="1894" w:type="dxa"/>
          </w:tcPr>
          <w:p>
            <w:pPr>
              <w:pStyle w:val="TableParagraph"/>
              <w:spacing w:line="227" w:lineRule="exact"/>
              <w:ind w:right="218"/>
              <w:rPr>
                <w:sz w:val="20"/>
              </w:rPr>
            </w:pPr>
            <w:r>
              <w:rPr>
                <w:sz w:val="20"/>
              </w:rPr>
              <w:t>473,136</w:t>
            </w:r>
          </w:p>
        </w:tc>
        <w:tc>
          <w:tcPr>
            <w:tcW w:w="1270" w:type="dxa"/>
          </w:tcPr>
          <w:p>
            <w:pPr>
              <w:pStyle w:val="TableParagraph"/>
              <w:spacing w:line="227" w:lineRule="exact"/>
              <w:ind w:right="48"/>
              <w:rPr>
                <w:sz w:val="20"/>
              </w:rPr>
            </w:pPr>
            <w:r>
              <w:rPr>
                <w:sz w:val="20"/>
              </w:rPr>
              <w:t>314,898</w:t>
            </w:r>
          </w:p>
        </w:tc>
      </w:tr>
      <w:tr>
        <w:trPr>
          <w:trHeight w:val="461" w:hRule="exact"/>
        </w:trPr>
        <w:tc>
          <w:tcPr>
            <w:tcW w:w="5419" w:type="dxa"/>
          </w:tcPr>
          <w:p>
            <w:pPr>
              <w:pStyle w:val="TableParagraph"/>
              <w:ind w:left="50" w:right="645"/>
              <w:jc w:val="left"/>
              <w:rPr>
                <w:sz w:val="20"/>
              </w:rPr>
            </w:pPr>
            <w:r>
              <w:rPr>
                <w:sz w:val="20"/>
              </w:rPr>
              <w:t>Property and equipment, at cost (Notes 4 and 7): Flight equipment</w:t>
            </w:r>
          </w:p>
        </w:tc>
        <w:tc>
          <w:tcPr>
            <w:tcW w:w="1894" w:type="dxa"/>
          </w:tcPr>
          <w:p>
            <w:pPr>
              <w:pStyle w:val="TableParagraph"/>
              <w:spacing w:before="9"/>
              <w:jc w:val="left"/>
              <w:rPr>
                <w:rFonts w:ascii="Times New Roman"/>
                <w:sz w:val="19"/>
              </w:rPr>
            </w:pPr>
          </w:p>
          <w:p>
            <w:pPr>
              <w:pStyle w:val="TableParagraph"/>
              <w:ind w:right="218"/>
              <w:rPr>
                <w:sz w:val="20"/>
              </w:rPr>
            </w:pPr>
            <w:r>
              <w:rPr>
                <w:sz w:val="20"/>
              </w:rPr>
              <w:t>3,024,702</w:t>
            </w:r>
          </w:p>
        </w:tc>
        <w:tc>
          <w:tcPr>
            <w:tcW w:w="1270" w:type="dxa"/>
          </w:tcPr>
          <w:p>
            <w:pPr>
              <w:pStyle w:val="TableParagraph"/>
              <w:spacing w:before="9"/>
              <w:jc w:val="left"/>
              <w:rPr>
                <w:rFonts w:ascii="Times New Roman"/>
                <w:sz w:val="19"/>
              </w:rPr>
            </w:pPr>
          </w:p>
          <w:p>
            <w:pPr>
              <w:pStyle w:val="TableParagraph"/>
              <w:ind w:right="48"/>
              <w:rPr>
                <w:sz w:val="20"/>
              </w:rPr>
            </w:pPr>
            <w:r>
              <w:rPr>
                <w:sz w:val="20"/>
              </w:rPr>
              <w:t>2,564,551</w:t>
            </w:r>
          </w:p>
        </w:tc>
      </w:tr>
      <w:tr>
        <w:trPr>
          <w:trHeight w:val="230" w:hRule="exact"/>
        </w:trPr>
        <w:tc>
          <w:tcPr>
            <w:tcW w:w="5419" w:type="dxa"/>
          </w:tcPr>
          <w:p>
            <w:pPr>
              <w:pStyle w:val="TableParagraph"/>
              <w:spacing w:line="227" w:lineRule="exact"/>
              <w:ind w:left="50"/>
              <w:jc w:val="left"/>
              <w:rPr>
                <w:sz w:val="20"/>
              </w:rPr>
            </w:pPr>
            <w:r>
              <w:rPr>
                <w:sz w:val="20"/>
              </w:rPr>
              <w:t>Ground property and equipment</w:t>
            </w:r>
          </w:p>
        </w:tc>
        <w:tc>
          <w:tcPr>
            <w:tcW w:w="1894" w:type="dxa"/>
          </w:tcPr>
          <w:p>
            <w:pPr>
              <w:pStyle w:val="TableParagraph"/>
              <w:spacing w:line="227" w:lineRule="exact"/>
              <w:ind w:right="218"/>
              <w:rPr>
                <w:sz w:val="20"/>
              </w:rPr>
            </w:pPr>
            <w:r>
              <w:rPr>
                <w:sz w:val="20"/>
              </w:rPr>
              <w:t>435,822</w:t>
            </w:r>
          </w:p>
        </w:tc>
        <w:tc>
          <w:tcPr>
            <w:tcW w:w="1270" w:type="dxa"/>
          </w:tcPr>
          <w:p>
            <w:pPr>
              <w:pStyle w:val="TableParagraph"/>
              <w:spacing w:line="227" w:lineRule="exact"/>
              <w:ind w:right="48"/>
              <w:rPr>
                <w:sz w:val="20"/>
              </w:rPr>
            </w:pPr>
            <w:r>
              <w:rPr>
                <w:sz w:val="20"/>
              </w:rPr>
              <w:t>384,501</w:t>
            </w:r>
          </w:p>
        </w:tc>
      </w:tr>
      <w:tr>
        <w:trPr>
          <w:trHeight w:val="230" w:hRule="exact"/>
        </w:trPr>
        <w:tc>
          <w:tcPr>
            <w:tcW w:w="5419" w:type="dxa"/>
          </w:tcPr>
          <w:p>
            <w:pPr>
              <w:pStyle w:val="TableParagraph"/>
              <w:spacing w:line="227" w:lineRule="exact"/>
              <w:ind w:left="50"/>
              <w:jc w:val="left"/>
              <w:rPr>
                <w:sz w:val="20"/>
              </w:rPr>
            </w:pPr>
            <w:r>
              <w:rPr>
                <w:sz w:val="20"/>
              </w:rPr>
              <w:t>Deposits on flight equipment purchase contracts</w:t>
            </w:r>
          </w:p>
        </w:tc>
        <w:tc>
          <w:tcPr>
            <w:tcW w:w="1894" w:type="dxa"/>
          </w:tcPr>
          <w:p>
            <w:pPr>
              <w:pStyle w:val="TableParagraph"/>
              <w:spacing w:line="227" w:lineRule="exact"/>
              <w:ind w:right="218"/>
              <w:rPr>
                <w:sz w:val="20"/>
              </w:rPr>
            </w:pPr>
            <w:r>
              <w:rPr>
                <w:sz w:val="20"/>
              </w:rPr>
              <w:t>323,864</w:t>
            </w:r>
          </w:p>
        </w:tc>
        <w:tc>
          <w:tcPr>
            <w:tcW w:w="1270" w:type="dxa"/>
          </w:tcPr>
          <w:p>
            <w:pPr>
              <w:pStyle w:val="TableParagraph"/>
              <w:spacing w:line="227" w:lineRule="exact"/>
              <w:ind w:right="48"/>
              <w:rPr>
                <w:sz w:val="20"/>
              </w:rPr>
            </w:pPr>
            <w:r>
              <w:rPr>
                <w:sz w:val="20"/>
              </w:rPr>
              <w:t>393,749</w:t>
            </w:r>
          </w:p>
        </w:tc>
      </w:tr>
      <w:tr>
        <w:trPr>
          <w:trHeight w:val="230" w:hRule="exact"/>
        </w:trPr>
        <w:tc>
          <w:tcPr>
            <w:tcW w:w="5419" w:type="dxa"/>
          </w:tcPr>
          <w:p>
            <w:pPr/>
          </w:p>
        </w:tc>
        <w:tc>
          <w:tcPr>
            <w:tcW w:w="1894" w:type="dxa"/>
          </w:tcPr>
          <w:p>
            <w:pPr>
              <w:pStyle w:val="TableParagraph"/>
              <w:spacing w:line="227" w:lineRule="exact"/>
              <w:ind w:right="218"/>
              <w:rPr>
                <w:sz w:val="20"/>
              </w:rPr>
            </w:pPr>
            <w:r>
              <w:rPr>
                <w:sz w:val="20"/>
              </w:rPr>
              <w:t>3,784,388</w:t>
            </w:r>
          </w:p>
        </w:tc>
        <w:tc>
          <w:tcPr>
            <w:tcW w:w="1270" w:type="dxa"/>
          </w:tcPr>
          <w:p>
            <w:pPr>
              <w:pStyle w:val="TableParagraph"/>
              <w:spacing w:line="227" w:lineRule="exact"/>
              <w:ind w:right="48"/>
              <w:rPr>
                <w:sz w:val="20"/>
              </w:rPr>
            </w:pPr>
            <w:r>
              <w:rPr>
                <w:sz w:val="20"/>
              </w:rPr>
              <w:t>3,342,801</w:t>
            </w:r>
          </w:p>
        </w:tc>
      </w:tr>
      <w:tr>
        <w:trPr>
          <w:trHeight w:val="230" w:hRule="exact"/>
        </w:trPr>
        <w:tc>
          <w:tcPr>
            <w:tcW w:w="5419" w:type="dxa"/>
          </w:tcPr>
          <w:p>
            <w:pPr>
              <w:pStyle w:val="TableParagraph"/>
              <w:spacing w:line="227" w:lineRule="exact"/>
              <w:ind w:left="50"/>
              <w:jc w:val="left"/>
              <w:rPr>
                <w:sz w:val="20"/>
              </w:rPr>
            </w:pPr>
            <w:r>
              <w:rPr>
                <w:sz w:val="20"/>
              </w:rPr>
              <w:t>Less allowance for depreciation</w:t>
            </w:r>
          </w:p>
        </w:tc>
        <w:tc>
          <w:tcPr>
            <w:tcW w:w="1894" w:type="dxa"/>
          </w:tcPr>
          <w:p>
            <w:pPr>
              <w:pStyle w:val="TableParagraph"/>
              <w:spacing w:line="227" w:lineRule="exact"/>
              <w:ind w:right="218"/>
              <w:rPr>
                <w:sz w:val="20"/>
              </w:rPr>
            </w:pPr>
            <w:r>
              <w:rPr>
                <w:sz w:val="20"/>
                <w:u w:val="single"/>
              </w:rPr>
              <w:t>1,005,081</w:t>
            </w:r>
          </w:p>
        </w:tc>
        <w:tc>
          <w:tcPr>
            <w:tcW w:w="1270" w:type="dxa"/>
          </w:tcPr>
          <w:p>
            <w:pPr>
              <w:pStyle w:val="TableParagraph"/>
              <w:spacing w:line="227" w:lineRule="exact"/>
              <w:ind w:right="48"/>
              <w:rPr>
                <w:sz w:val="20"/>
              </w:rPr>
            </w:pPr>
            <w:r>
              <w:rPr>
                <w:sz w:val="20"/>
                <w:u w:val="single"/>
              </w:rPr>
              <w:t>837,838</w:t>
            </w:r>
          </w:p>
        </w:tc>
      </w:tr>
      <w:tr>
        <w:trPr>
          <w:trHeight w:val="230" w:hRule="exact"/>
        </w:trPr>
        <w:tc>
          <w:tcPr>
            <w:tcW w:w="5419" w:type="dxa"/>
          </w:tcPr>
          <w:p>
            <w:pPr/>
          </w:p>
        </w:tc>
        <w:tc>
          <w:tcPr>
            <w:tcW w:w="1894" w:type="dxa"/>
          </w:tcPr>
          <w:p>
            <w:pPr>
              <w:pStyle w:val="TableParagraph"/>
              <w:spacing w:line="227" w:lineRule="exact"/>
              <w:ind w:right="218"/>
              <w:rPr>
                <w:sz w:val="20"/>
              </w:rPr>
            </w:pPr>
            <w:r>
              <w:rPr>
                <w:sz w:val="20"/>
              </w:rPr>
              <w:t>2,779,307</w:t>
            </w:r>
          </w:p>
        </w:tc>
        <w:tc>
          <w:tcPr>
            <w:tcW w:w="1270" w:type="dxa"/>
          </w:tcPr>
          <w:p>
            <w:pPr>
              <w:pStyle w:val="TableParagraph"/>
              <w:spacing w:line="227" w:lineRule="exact"/>
              <w:ind w:right="48"/>
              <w:rPr>
                <w:sz w:val="20"/>
              </w:rPr>
            </w:pPr>
            <w:r>
              <w:rPr>
                <w:sz w:val="20"/>
              </w:rPr>
              <w:t>2,504,963</w:t>
            </w:r>
          </w:p>
        </w:tc>
      </w:tr>
      <w:tr>
        <w:trPr>
          <w:trHeight w:val="230" w:hRule="exact"/>
        </w:trPr>
        <w:tc>
          <w:tcPr>
            <w:tcW w:w="5419" w:type="dxa"/>
          </w:tcPr>
          <w:p>
            <w:pPr>
              <w:pStyle w:val="TableParagraph"/>
              <w:spacing w:line="227" w:lineRule="exact"/>
              <w:ind w:left="50"/>
              <w:jc w:val="left"/>
              <w:rPr>
                <w:sz w:val="20"/>
              </w:rPr>
            </w:pPr>
            <w:r>
              <w:rPr>
                <w:sz w:val="20"/>
              </w:rPr>
              <w:t>Other assets</w:t>
            </w:r>
          </w:p>
        </w:tc>
        <w:tc>
          <w:tcPr>
            <w:tcW w:w="1894" w:type="dxa"/>
          </w:tcPr>
          <w:p>
            <w:pPr>
              <w:pStyle w:val="TableParagraph"/>
              <w:spacing w:line="227" w:lineRule="exact"/>
              <w:ind w:right="218"/>
              <w:rPr>
                <w:sz w:val="20"/>
              </w:rPr>
            </w:pPr>
            <w:r>
              <w:rPr>
                <w:sz w:val="20"/>
                <w:u w:val="single"/>
              </w:rPr>
              <w:t>3,679</w:t>
            </w:r>
          </w:p>
        </w:tc>
        <w:tc>
          <w:tcPr>
            <w:tcW w:w="1270" w:type="dxa"/>
          </w:tcPr>
          <w:p>
            <w:pPr>
              <w:pStyle w:val="TableParagraph"/>
              <w:spacing w:line="227" w:lineRule="exact"/>
              <w:ind w:right="48"/>
              <w:rPr>
                <w:sz w:val="20"/>
              </w:rPr>
            </w:pPr>
            <w:r>
              <w:rPr>
                <w:sz w:val="20"/>
                <w:u w:val="single"/>
              </w:rPr>
              <w:t>3,210</w:t>
            </w:r>
          </w:p>
        </w:tc>
      </w:tr>
      <w:tr>
        <w:trPr>
          <w:trHeight w:val="346" w:hRule="exact"/>
        </w:trPr>
        <w:tc>
          <w:tcPr>
            <w:tcW w:w="5419" w:type="dxa"/>
          </w:tcPr>
          <w:p>
            <w:pPr/>
          </w:p>
        </w:tc>
        <w:tc>
          <w:tcPr>
            <w:tcW w:w="1894" w:type="dxa"/>
          </w:tcPr>
          <w:p>
            <w:pPr>
              <w:pStyle w:val="TableParagraph"/>
              <w:spacing w:line="227" w:lineRule="exact"/>
              <w:ind w:right="218"/>
              <w:rPr>
                <w:sz w:val="20"/>
              </w:rPr>
            </w:pPr>
            <w:r>
              <w:rPr>
                <w:sz w:val="20"/>
                <w:u w:val="single"/>
              </w:rPr>
              <w:t>$3,256,122</w:t>
            </w:r>
          </w:p>
        </w:tc>
        <w:tc>
          <w:tcPr>
            <w:tcW w:w="1270" w:type="dxa"/>
          </w:tcPr>
          <w:p>
            <w:pPr>
              <w:pStyle w:val="TableParagraph"/>
              <w:spacing w:line="227" w:lineRule="exact"/>
              <w:ind w:right="48"/>
              <w:rPr>
                <w:sz w:val="20"/>
              </w:rPr>
            </w:pPr>
            <w:r>
              <w:rPr>
                <w:sz w:val="20"/>
                <w:u w:val="single"/>
              </w:rPr>
              <w:t>$2,823,071</w:t>
            </w:r>
          </w:p>
        </w:tc>
      </w:tr>
      <w:tr>
        <w:trPr>
          <w:trHeight w:val="806" w:hRule="exact"/>
        </w:trPr>
        <w:tc>
          <w:tcPr>
            <w:tcW w:w="5419" w:type="dxa"/>
          </w:tcPr>
          <w:p>
            <w:pPr>
              <w:pStyle w:val="TableParagraph"/>
              <w:spacing w:before="112"/>
              <w:ind w:left="50"/>
              <w:jc w:val="left"/>
              <w:rPr>
                <w:sz w:val="20"/>
              </w:rPr>
            </w:pPr>
            <w:r>
              <w:rPr>
                <w:sz w:val="20"/>
              </w:rPr>
              <w:t>LIABILITIES AND STOCKHOLDERS’ EQUITY</w:t>
            </w:r>
          </w:p>
          <w:p>
            <w:pPr>
              <w:pStyle w:val="TableParagraph"/>
              <w:ind w:left="50" w:right="3770"/>
              <w:jc w:val="left"/>
              <w:rPr>
                <w:sz w:val="20"/>
              </w:rPr>
            </w:pPr>
            <w:r>
              <w:rPr>
                <w:sz w:val="20"/>
              </w:rPr>
              <w:t>Current liabilities: Accounts payable</w:t>
            </w:r>
          </w:p>
        </w:tc>
        <w:tc>
          <w:tcPr>
            <w:tcW w:w="1894"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218"/>
              <w:rPr>
                <w:sz w:val="20"/>
              </w:rPr>
            </w:pPr>
            <w:r>
              <w:rPr>
                <w:sz w:val="20"/>
              </w:rPr>
              <w:t>$117,473</w:t>
            </w:r>
          </w:p>
        </w:tc>
        <w:tc>
          <w:tcPr>
            <w:tcW w:w="1270"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48"/>
              <w:rPr>
                <w:sz w:val="20"/>
              </w:rPr>
            </w:pPr>
            <w:r>
              <w:rPr>
                <w:sz w:val="20"/>
              </w:rPr>
              <w:t>$117,599</w:t>
            </w:r>
          </w:p>
        </w:tc>
      </w:tr>
      <w:tr>
        <w:trPr>
          <w:trHeight w:val="230" w:hRule="exact"/>
        </w:trPr>
        <w:tc>
          <w:tcPr>
            <w:tcW w:w="5419" w:type="dxa"/>
          </w:tcPr>
          <w:p>
            <w:pPr>
              <w:pStyle w:val="TableParagraph"/>
              <w:spacing w:line="227" w:lineRule="exact"/>
              <w:ind w:left="50"/>
              <w:jc w:val="left"/>
              <w:rPr>
                <w:sz w:val="20"/>
              </w:rPr>
            </w:pPr>
            <w:r>
              <w:rPr>
                <w:sz w:val="20"/>
              </w:rPr>
              <w:t>Accrued  liabilities (Note 5)</w:t>
            </w:r>
          </w:p>
        </w:tc>
        <w:tc>
          <w:tcPr>
            <w:tcW w:w="1894" w:type="dxa"/>
          </w:tcPr>
          <w:p>
            <w:pPr>
              <w:pStyle w:val="TableParagraph"/>
              <w:spacing w:line="227" w:lineRule="exact"/>
              <w:ind w:right="218"/>
              <w:rPr>
                <w:sz w:val="20"/>
              </w:rPr>
            </w:pPr>
            <w:r>
              <w:rPr>
                <w:sz w:val="20"/>
              </w:rPr>
              <w:t>348,476</w:t>
            </w:r>
          </w:p>
        </w:tc>
        <w:tc>
          <w:tcPr>
            <w:tcW w:w="1270" w:type="dxa"/>
          </w:tcPr>
          <w:p>
            <w:pPr>
              <w:pStyle w:val="TableParagraph"/>
              <w:spacing w:line="227" w:lineRule="exact"/>
              <w:ind w:right="48"/>
              <w:rPr>
                <w:sz w:val="20"/>
              </w:rPr>
            </w:pPr>
            <w:r>
              <w:rPr>
                <w:sz w:val="20"/>
              </w:rPr>
              <w:t>288,979</w:t>
            </w:r>
          </w:p>
        </w:tc>
      </w:tr>
      <w:tr>
        <w:trPr>
          <w:trHeight w:val="230" w:hRule="exact"/>
        </w:trPr>
        <w:tc>
          <w:tcPr>
            <w:tcW w:w="5419" w:type="dxa"/>
          </w:tcPr>
          <w:p>
            <w:pPr>
              <w:pStyle w:val="TableParagraph"/>
              <w:spacing w:line="227" w:lineRule="exact"/>
              <w:ind w:left="50"/>
              <w:jc w:val="left"/>
              <w:rPr>
                <w:sz w:val="20"/>
              </w:rPr>
            </w:pPr>
            <w:r>
              <w:rPr>
                <w:sz w:val="20"/>
              </w:rPr>
              <w:t>Air traffic liability</w:t>
            </w:r>
          </w:p>
        </w:tc>
        <w:tc>
          <w:tcPr>
            <w:tcW w:w="1894" w:type="dxa"/>
          </w:tcPr>
          <w:p>
            <w:pPr>
              <w:pStyle w:val="TableParagraph"/>
              <w:spacing w:line="227" w:lineRule="exact"/>
              <w:ind w:right="218"/>
              <w:rPr>
                <w:sz w:val="20"/>
              </w:rPr>
            </w:pPr>
            <w:r>
              <w:rPr>
                <w:sz w:val="20"/>
              </w:rPr>
              <w:t>131,156</w:t>
            </w:r>
          </w:p>
        </w:tc>
        <w:tc>
          <w:tcPr>
            <w:tcW w:w="1270" w:type="dxa"/>
          </w:tcPr>
          <w:p>
            <w:pPr>
              <w:pStyle w:val="TableParagraph"/>
              <w:spacing w:line="227" w:lineRule="exact"/>
              <w:ind w:right="48"/>
              <w:rPr>
                <w:sz w:val="20"/>
              </w:rPr>
            </w:pPr>
            <w:r>
              <w:rPr>
                <w:sz w:val="20"/>
              </w:rPr>
              <w:t>106,139</w:t>
            </w:r>
          </w:p>
        </w:tc>
      </w:tr>
      <w:tr>
        <w:trPr>
          <w:trHeight w:val="230" w:hRule="exact"/>
        </w:trPr>
        <w:tc>
          <w:tcPr>
            <w:tcW w:w="5419" w:type="dxa"/>
          </w:tcPr>
          <w:p>
            <w:pPr>
              <w:pStyle w:val="TableParagraph"/>
              <w:spacing w:line="227" w:lineRule="exact"/>
              <w:ind w:left="50"/>
              <w:jc w:val="left"/>
              <w:rPr>
                <w:sz w:val="20"/>
              </w:rPr>
            </w:pPr>
            <w:r>
              <w:rPr>
                <w:sz w:val="20"/>
              </w:rPr>
              <w:t>Current maturities of long-term debt</w:t>
            </w:r>
          </w:p>
        </w:tc>
        <w:tc>
          <w:tcPr>
            <w:tcW w:w="1894" w:type="dxa"/>
          </w:tcPr>
          <w:p>
            <w:pPr>
              <w:pStyle w:val="TableParagraph"/>
              <w:spacing w:line="227" w:lineRule="exact"/>
              <w:ind w:right="218"/>
              <w:rPr>
                <w:sz w:val="20"/>
              </w:rPr>
            </w:pPr>
            <w:r>
              <w:rPr>
                <w:sz w:val="20"/>
                <w:u w:val="single"/>
              </w:rPr>
              <w:t>13,516</w:t>
            </w:r>
          </w:p>
        </w:tc>
        <w:tc>
          <w:tcPr>
            <w:tcW w:w="1270" w:type="dxa"/>
          </w:tcPr>
          <w:p>
            <w:pPr>
              <w:pStyle w:val="TableParagraph"/>
              <w:spacing w:line="227" w:lineRule="exact"/>
              <w:ind w:right="48"/>
              <w:rPr>
                <w:sz w:val="20"/>
              </w:rPr>
            </w:pPr>
            <w:r>
              <w:rPr>
                <w:sz w:val="20"/>
                <w:u w:val="single"/>
              </w:rPr>
              <w:t>9,553</w:t>
            </w:r>
          </w:p>
        </w:tc>
      </w:tr>
      <w:tr>
        <w:trPr>
          <w:trHeight w:val="346" w:hRule="exact"/>
        </w:trPr>
        <w:tc>
          <w:tcPr>
            <w:tcW w:w="5419" w:type="dxa"/>
          </w:tcPr>
          <w:p>
            <w:pPr>
              <w:pStyle w:val="TableParagraph"/>
              <w:spacing w:line="227" w:lineRule="exact"/>
              <w:ind w:left="50"/>
              <w:jc w:val="left"/>
              <w:rPr>
                <w:sz w:val="20"/>
              </w:rPr>
            </w:pPr>
            <w:r>
              <w:rPr>
                <w:sz w:val="20"/>
              </w:rPr>
              <w:t>Total current liabilities</w:t>
            </w:r>
          </w:p>
        </w:tc>
        <w:tc>
          <w:tcPr>
            <w:tcW w:w="1894" w:type="dxa"/>
          </w:tcPr>
          <w:p>
            <w:pPr>
              <w:pStyle w:val="TableParagraph"/>
              <w:spacing w:line="227" w:lineRule="exact"/>
              <w:ind w:right="218"/>
              <w:rPr>
                <w:sz w:val="20"/>
              </w:rPr>
            </w:pPr>
            <w:r>
              <w:rPr>
                <w:sz w:val="20"/>
              </w:rPr>
              <w:t>610,621</w:t>
            </w:r>
          </w:p>
        </w:tc>
        <w:tc>
          <w:tcPr>
            <w:tcW w:w="1270" w:type="dxa"/>
          </w:tcPr>
          <w:p>
            <w:pPr>
              <w:pStyle w:val="TableParagraph"/>
              <w:spacing w:line="227" w:lineRule="exact"/>
              <w:ind w:right="48"/>
              <w:rPr>
                <w:sz w:val="20"/>
              </w:rPr>
            </w:pPr>
            <w:r>
              <w:rPr>
                <w:sz w:val="20"/>
              </w:rPr>
              <w:t>522,270</w:t>
            </w:r>
          </w:p>
        </w:tc>
      </w:tr>
      <w:tr>
        <w:trPr>
          <w:trHeight w:val="346" w:hRule="exact"/>
        </w:trPr>
        <w:tc>
          <w:tcPr>
            <w:tcW w:w="5419" w:type="dxa"/>
          </w:tcPr>
          <w:p>
            <w:pPr>
              <w:pStyle w:val="TableParagraph"/>
              <w:spacing w:before="112"/>
              <w:ind w:left="50"/>
              <w:jc w:val="left"/>
              <w:rPr>
                <w:sz w:val="20"/>
              </w:rPr>
            </w:pPr>
            <w:r>
              <w:rPr>
                <w:sz w:val="20"/>
              </w:rPr>
              <w:t>Long-term debt less current maturities (Note 6)</w:t>
            </w:r>
          </w:p>
        </w:tc>
        <w:tc>
          <w:tcPr>
            <w:tcW w:w="1894" w:type="dxa"/>
          </w:tcPr>
          <w:p>
            <w:pPr>
              <w:pStyle w:val="TableParagraph"/>
              <w:spacing w:before="112"/>
              <w:ind w:right="218"/>
              <w:rPr>
                <w:sz w:val="20"/>
              </w:rPr>
            </w:pPr>
            <w:r>
              <w:rPr>
                <w:sz w:val="20"/>
              </w:rPr>
              <w:t>661,010</w:t>
            </w:r>
          </w:p>
        </w:tc>
        <w:tc>
          <w:tcPr>
            <w:tcW w:w="1270" w:type="dxa"/>
          </w:tcPr>
          <w:p>
            <w:pPr>
              <w:pStyle w:val="TableParagraph"/>
              <w:spacing w:before="112"/>
              <w:ind w:right="48"/>
              <w:rPr>
                <w:sz w:val="20"/>
              </w:rPr>
            </w:pPr>
            <w:r>
              <w:rPr>
                <w:sz w:val="20"/>
              </w:rPr>
              <w:t>583,071</w:t>
            </w:r>
          </w:p>
        </w:tc>
      </w:tr>
      <w:tr>
        <w:trPr>
          <w:trHeight w:val="230" w:hRule="exact"/>
        </w:trPr>
        <w:tc>
          <w:tcPr>
            <w:tcW w:w="5419" w:type="dxa"/>
          </w:tcPr>
          <w:p>
            <w:pPr>
              <w:pStyle w:val="TableParagraph"/>
              <w:spacing w:line="227" w:lineRule="exact"/>
              <w:ind w:left="50"/>
              <w:jc w:val="left"/>
              <w:rPr>
                <w:sz w:val="20"/>
              </w:rPr>
            </w:pPr>
            <w:r>
              <w:rPr>
                <w:sz w:val="20"/>
              </w:rPr>
              <w:t>Deferred income taxes (Note 11)</w:t>
            </w:r>
          </w:p>
        </w:tc>
        <w:tc>
          <w:tcPr>
            <w:tcW w:w="1894" w:type="dxa"/>
          </w:tcPr>
          <w:p>
            <w:pPr>
              <w:pStyle w:val="TableParagraph"/>
              <w:spacing w:line="227" w:lineRule="exact"/>
              <w:ind w:right="218"/>
              <w:rPr>
                <w:sz w:val="20"/>
              </w:rPr>
            </w:pPr>
            <w:r>
              <w:rPr>
                <w:sz w:val="20"/>
              </w:rPr>
              <w:t>281,650</w:t>
            </w:r>
          </w:p>
        </w:tc>
        <w:tc>
          <w:tcPr>
            <w:tcW w:w="1270" w:type="dxa"/>
          </w:tcPr>
          <w:p>
            <w:pPr>
              <w:pStyle w:val="TableParagraph"/>
              <w:spacing w:line="227" w:lineRule="exact"/>
              <w:ind w:right="48"/>
              <w:rPr>
                <w:sz w:val="20"/>
              </w:rPr>
            </w:pPr>
            <w:r>
              <w:rPr>
                <w:sz w:val="20"/>
              </w:rPr>
              <w:t>232,850</w:t>
            </w:r>
          </w:p>
        </w:tc>
      </w:tr>
      <w:tr>
        <w:trPr>
          <w:trHeight w:val="230" w:hRule="exact"/>
        </w:trPr>
        <w:tc>
          <w:tcPr>
            <w:tcW w:w="5419" w:type="dxa"/>
          </w:tcPr>
          <w:p>
            <w:pPr>
              <w:pStyle w:val="TableParagraph"/>
              <w:spacing w:line="227" w:lineRule="exact"/>
              <w:ind w:left="50"/>
              <w:jc w:val="left"/>
              <w:rPr>
                <w:sz w:val="20"/>
              </w:rPr>
            </w:pPr>
            <w:r>
              <w:rPr>
                <w:sz w:val="20"/>
              </w:rPr>
              <w:t>Deferred gains from sale and leaseback of aircraft</w:t>
            </w:r>
          </w:p>
        </w:tc>
        <w:tc>
          <w:tcPr>
            <w:tcW w:w="1894" w:type="dxa"/>
          </w:tcPr>
          <w:p>
            <w:pPr>
              <w:pStyle w:val="TableParagraph"/>
              <w:spacing w:line="227" w:lineRule="exact"/>
              <w:ind w:right="218"/>
              <w:rPr>
                <w:sz w:val="20"/>
              </w:rPr>
            </w:pPr>
            <w:r>
              <w:rPr>
                <w:sz w:val="20"/>
              </w:rPr>
              <w:t>245,154</w:t>
            </w:r>
          </w:p>
        </w:tc>
        <w:tc>
          <w:tcPr>
            <w:tcW w:w="1270" w:type="dxa"/>
          </w:tcPr>
          <w:p>
            <w:pPr>
              <w:pStyle w:val="TableParagraph"/>
              <w:spacing w:line="227" w:lineRule="exact"/>
              <w:ind w:right="48"/>
              <w:rPr>
                <w:sz w:val="20"/>
              </w:rPr>
            </w:pPr>
            <w:r>
              <w:rPr>
                <w:sz w:val="20"/>
              </w:rPr>
              <w:t>217,677</w:t>
            </w:r>
          </w:p>
        </w:tc>
      </w:tr>
      <w:tr>
        <w:trPr>
          <w:trHeight w:val="346" w:hRule="exact"/>
        </w:trPr>
        <w:tc>
          <w:tcPr>
            <w:tcW w:w="5419" w:type="dxa"/>
          </w:tcPr>
          <w:p>
            <w:pPr>
              <w:pStyle w:val="TableParagraph"/>
              <w:spacing w:line="227" w:lineRule="exact"/>
              <w:ind w:left="50"/>
              <w:jc w:val="left"/>
              <w:rPr>
                <w:sz w:val="20"/>
              </w:rPr>
            </w:pPr>
            <w:r>
              <w:rPr>
                <w:sz w:val="20"/>
              </w:rPr>
              <w:t>Other deferred liabilities</w:t>
            </w:r>
          </w:p>
        </w:tc>
        <w:tc>
          <w:tcPr>
            <w:tcW w:w="1894" w:type="dxa"/>
          </w:tcPr>
          <w:p>
            <w:pPr>
              <w:pStyle w:val="TableParagraph"/>
              <w:spacing w:line="227" w:lineRule="exact"/>
              <w:ind w:right="218"/>
              <w:rPr>
                <w:sz w:val="20"/>
              </w:rPr>
            </w:pPr>
            <w:r>
              <w:rPr>
                <w:sz w:val="20"/>
              </w:rPr>
              <w:t>30,369</w:t>
            </w:r>
          </w:p>
        </w:tc>
        <w:tc>
          <w:tcPr>
            <w:tcW w:w="1270" w:type="dxa"/>
          </w:tcPr>
          <w:p>
            <w:pPr>
              <w:pStyle w:val="TableParagraph"/>
              <w:spacing w:line="227" w:lineRule="exact"/>
              <w:ind w:right="48"/>
              <w:rPr>
                <w:sz w:val="20"/>
              </w:rPr>
            </w:pPr>
            <w:r>
              <w:rPr>
                <w:sz w:val="20"/>
              </w:rPr>
              <w:t>28,497</w:t>
            </w:r>
          </w:p>
        </w:tc>
      </w:tr>
      <w:tr>
        <w:trPr>
          <w:trHeight w:val="461" w:hRule="exact"/>
        </w:trPr>
        <w:tc>
          <w:tcPr>
            <w:tcW w:w="5419" w:type="dxa"/>
          </w:tcPr>
          <w:p>
            <w:pPr>
              <w:pStyle w:val="TableParagraph"/>
              <w:spacing w:before="112"/>
              <w:ind w:left="50"/>
              <w:jc w:val="left"/>
              <w:rPr>
                <w:sz w:val="20"/>
              </w:rPr>
            </w:pPr>
            <w:r>
              <w:rPr>
                <w:sz w:val="20"/>
              </w:rPr>
              <w:t>Commitments and contingencies (Notes 4, 7, and 11)</w:t>
            </w:r>
          </w:p>
        </w:tc>
        <w:tc>
          <w:tcPr>
            <w:tcW w:w="1894" w:type="dxa"/>
          </w:tcPr>
          <w:p>
            <w:pPr/>
          </w:p>
        </w:tc>
        <w:tc>
          <w:tcPr>
            <w:tcW w:w="1270" w:type="dxa"/>
          </w:tcPr>
          <w:p>
            <w:pPr/>
          </w:p>
        </w:tc>
      </w:tr>
      <w:tr>
        <w:trPr>
          <w:trHeight w:val="1037" w:hRule="exact"/>
        </w:trPr>
        <w:tc>
          <w:tcPr>
            <w:tcW w:w="5419" w:type="dxa"/>
          </w:tcPr>
          <w:p>
            <w:pPr>
              <w:pStyle w:val="TableParagraph"/>
              <w:spacing w:before="112"/>
              <w:ind w:left="50"/>
              <w:jc w:val="left"/>
              <w:rPr>
                <w:sz w:val="20"/>
              </w:rPr>
            </w:pPr>
            <w:r>
              <w:rPr>
                <w:sz w:val="20"/>
              </w:rPr>
              <w:t>Stockholders’ equity (Notes 8 and 9):</w:t>
            </w:r>
          </w:p>
          <w:p>
            <w:pPr>
              <w:pStyle w:val="TableParagraph"/>
              <w:ind w:left="50" w:right="645"/>
              <w:jc w:val="left"/>
              <w:rPr>
                <w:sz w:val="20"/>
              </w:rPr>
            </w:pPr>
            <w:r>
              <w:rPr>
                <w:sz w:val="20"/>
              </w:rPr>
              <w:t>Common stock, $1.00 par value: 500,000,000 shares authorized;</w:t>
            </w:r>
          </w:p>
          <w:p>
            <w:pPr>
              <w:pStyle w:val="TableParagraph"/>
              <w:ind w:left="50"/>
              <w:jc w:val="left"/>
              <w:rPr>
                <w:sz w:val="20"/>
              </w:rPr>
            </w:pPr>
            <w:r>
              <w:rPr>
                <w:sz w:val="20"/>
              </w:rPr>
              <w:t>144,033,273 shares issued and outstanding in 1995 and</w:t>
            </w:r>
          </w:p>
        </w:tc>
        <w:tc>
          <w:tcPr>
            <w:tcW w:w="1894" w:type="dxa"/>
          </w:tcPr>
          <w:p>
            <w:pPr>
              <w:pStyle w:val="TableParagraph"/>
              <w:jc w:val="left"/>
              <w:rPr>
                <w:rFonts w:ascii="Times New Roman"/>
                <w:sz w:val="22"/>
              </w:rPr>
            </w:pPr>
          </w:p>
          <w:p>
            <w:pPr>
              <w:pStyle w:val="TableParagraph"/>
              <w:jc w:val="left"/>
              <w:rPr>
                <w:rFonts w:ascii="Times New Roman"/>
                <w:sz w:val="22"/>
              </w:rPr>
            </w:pPr>
          </w:p>
          <w:p>
            <w:pPr>
              <w:pStyle w:val="TableParagraph"/>
              <w:spacing w:before="10"/>
              <w:jc w:val="left"/>
              <w:rPr>
                <w:rFonts w:ascii="Times New Roman"/>
                <w:sz w:val="25"/>
              </w:rPr>
            </w:pPr>
          </w:p>
          <w:p>
            <w:pPr>
              <w:pStyle w:val="TableParagraph"/>
              <w:ind w:right="218"/>
              <w:rPr>
                <w:sz w:val="20"/>
              </w:rPr>
            </w:pPr>
            <w:r>
              <w:rPr>
                <w:sz w:val="20"/>
              </w:rPr>
              <w:t>144,033</w:t>
            </w:r>
          </w:p>
        </w:tc>
        <w:tc>
          <w:tcPr>
            <w:tcW w:w="1270" w:type="dxa"/>
          </w:tcPr>
          <w:p>
            <w:pPr>
              <w:pStyle w:val="TableParagraph"/>
              <w:jc w:val="left"/>
              <w:rPr>
                <w:rFonts w:ascii="Times New Roman"/>
                <w:sz w:val="22"/>
              </w:rPr>
            </w:pPr>
          </w:p>
          <w:p>
            <w:pPr>
              <w:pStyle w:val="TableParagraph"/>
              <w:jc w:val="left"/>
              <w:rPr>
                <w:rFonts w:ascii="Times New Roman"/>
                <w:sz w:val="22"/>
              </w:rPr>
            </w:pPr>
          </w:p>
          <w:p>
            <w:pPr>
              <w:pStyle w:val="TableParagraph"/>
              <w:spacing w:before="10"/>
              <w:jc w:val="left"/>
              <w:rPr>
                <w:rFonts w:ascii="Times New Roman"/>
                <w:sz w:val="25"/>
              </w:rPr>
            </w:pPr>
          </w:p>
          <w:p>
            <w:pPr>
              <w:pStyle w:val="TableParagraph"/>
              <w:ind w:right="48"/>
              <w:rPr>
                <w:sz w:val="20"/>
              </w:rPr>
            </w:pPr>
            <w:r>
              <w:rPr>
                <w:sz w:val="20"/>
              </w:rPr>
              <w:t>143,256</w:t>
            </w:r>
          </w:p>
        </w:tc>
      </w:tr>
      <w:tr>
        <w:trPr>
          <w:trHeight w:val="461" w:hRule="exact"/>
        </w:trPr>
        <w:tc>
          <w:tcPr>
            <w:tcW w:w="5419" w:type="dxa"/>
          </w:tcPr>
          <w:p>
            <w:pPr>
              <w:pStyle w:val="TableParagraph"/>
              <w:ind w:left="50" w:right="2286"/>
              <w:jc w:val="left"/>
              <w:rPr>
                <w:sz w:val="20"/>
              </w:rPr>
            </w:pPr>
            <w:r>
              <w:rPr>
                <w:sz w:val="20"/>
              </w:rPr>
              <w:t>143,255,795 shares in 1994 Capital in excess of par value</w:t>
            </w:r>
          </w:p>
        </w:tc>
        <w:tc>
          <w:tcPr>
            <w:tcW w:w="1894" w:type="dxa"/>
          </w:tcPr>
          <w:p>
            <w:pPr>
              <w:pStyle w:val="TableParagraph"/>
              <w:spacing w:before="9"/>
              <w:jc w:val="left"/>
              <w:rPr>
                <w:rFonts w:ascii="Times New Roman"/>
                <w:sz w:val="19"/>
              </w:rPr>
            </w:pPr>
          </w:p>
          <w:p>
            <w:pPr>
              <w:pStyle w:val="TableParagraph"/>
              <w:ind w:right="218"/>
              <w:rPr>
                <w:sz w:val="20"/>
              </w:rPr>
            </w:pPr>
            <w:r>
              <w:rPr>
                <w:sz w:val="20"/>
              </w:rPr>
              <w:t>162,704</w:t>
            </w:r>
          </w:p>
        </w:tc>
        <w:tc>
          <w:tcPr>
            <w:tcW w:w="1270" w:type="dxa"/>
          </w:tcPr>
          <w:p>
            <w:pPr>
              <w:pStyle w:val="TableParagraph"/>
              <w:spacing w:before="9"/>
              <w:jc w:val="left"/>
              <w:rPr>
                <w:rFonts w:ascii="Times New Roman"/>
                <w:sz w:val="19"/>
              </w:rPr>
            </w:pPr>
          </w:p>
          <w:p>
            <w:pPr>
              <w:pStyle w:val="TableParagraph"/>
              <w:ind w:right="48"/>
              <w:rPr>
                <w:sz w:val="20"/>
              </w:rPr>
            </w:pPr>
            <w:r>
              <w:rPr>
                <w:sz w:val="20"/>
              </w:rPr>
              <w:t>151,746</w:t>
            </w:r>
          </w:p>
        </w:tc>
      </w:tr>
      <w:tr>
        <w:trPr>
          <w:trHeight w:val="230" w:hRule="exact"/>
        </w:trPr>
        <w:tc>
          <w:tcPr>
            <w:tcW w:w="5419" w:type="dxa"/>
          </w:tcPr>
          <w:p>
            <w:pPr>
              <w:pStyle w:val="TableParagraph"/>
              <w:spacing w:line="227" w:lineRule="exact"/>
              <w:ind w:left="50"/>
              <w:jc w:val="left"/>
              <w:rPr>
                <w:sz w:val="20"/>
              </w:rPr>
            </w:pPr>
            <w:r>
              <w:rPr>
                <w:sz w:val="20"/>
              </w:rPr>
              <w:t>Retained earnings</w:t>
            </w:r>
          </w:p>
        </w:tc>
        <w:tc>
          <w:tcPr>
            <w:tcW w:w="1894" w:type="dxa"/>
          </w:tcPr>
          <w:p>
            <w:pPr>
              <w:pStyle w:val="TableParagraph"/>
              <w:spacing w:line="227" w:lineRule="exact"/>
              <w:ind w:right="218"/>
              <w:rPr>
                <w:sz w:val="20"/>
              </w:rPr>
            </w:pPr>
            <w:r>
              <w:rPr>
                <w:sz w:val="20"/>
                <w:u w:val="single"/>
              </w:rPr>
              <w:t>1,120,581</w:t>
            </w:r>
          </w:p>
        </w:tc>
        <w:tc>
          <w:tcPr>
            <w:tcW w:w="1270" w:type="dxa"/>
          </w:tcPr>
          <w:p>
            <w:pPr>
              <w:pStyle w:val="TableParagraph"/>
              <w:spacing w:line="227" w:lineRule="exact"/>
              <w:ind w:right="48"/>
              <w:rPr>
                <w:sz w:val="20"/>
              </w:rPr>
            </w:pPr>
            <w:r>
              <w:rPr>
                <w:sz w:val="20"/>
                <w:u w:val="single"/>
              </w:rPr>
              <w:t>943,704</w:t>
            </w:r>
          </w:p>
        </w:tc>
      </w:tr>
      <w:tr>
        <w:trPr>
          <w:trHeight w:val="230" w:hRule="exact"/>
        </w:trPr>
        <w:tc>
          <w:tcPr>
            <w:tcW w:w="5419" w:type="dxa"/>
          </w:tcPr>
          <w:p>
            <w:pPr>
              <w:pStyle w:val="TableParagraph"/>
              <w:spacing w:line="227" w:lineRule="exact"/>
              <w:ind w:left="50"/>
              <w:jc w:val="left"/>
              <w:rPr>
                <w:sz w:val="20"/>
              </w:rPr>
            </w:pPr>
            <w:r>
              <w:rPr>
                <w:sz w:val="20"/>
              </w:rPr>
              <w:t>Total stockholders’ equity</w:t>
            </w:r>
          </w:p>
        </w:tc>
        <w:tc>
          <w:tcPr>
            <w:tcW w:w="1894" w:type="dxa"/>
          </w:tcPr>
          <w:p>
            <w:pPr>
              <w:pStyle w:val="TableParagraph"/>
              <w:spacing w:line="227" w:lineRule="exact"/>
              <w:ind w:right="218"/>
              <w:rPr>
                <w:sz w:val="20"/>
              </w:rPr>
            </w:pPr>
            <w:r>
              <w:rPr>
                <w:sz w:val="20"/>
                <w:u w:val="single"/>
              </w:rPr>
              <w:t>1,427,318</w:t>
            </w:r>
          </w:p>
        </w:tc>
        <w:tc>
          <w:tcPr>
            <w:tcW w:w="1270" w:type="dxa"/>
          </w:tcPr>
          <w:p>
            <w:pPr>
              <w:pStyle w:val="TableParagraph"/>
              <w:spacing w:line="227" w:lineRule="exact"/>
              <w:ind w:right="48"/>
              <w:rPr>
                <w:sz w:val="20"/>
              </w:rPr>
            </w:pPr>
            <w:r>
              <w:rPr>
                <w:sz w:val="20"/>
                <w:u w:val="single"/>
              </w:rPr>
              <w:t>1,238,706</w:t>
            </w:r>
          </w:p>
        </w:tc>
      </w:tr>
      <w:tr>
        <w:trPr>
          <w:trHeight w:val="228" w:hRule="exact"/>
        </w:trPr>
        <w:tc>
          <w:tcPr>
            <w:tcW w:w="5419" w:type="dxa"/>
          </w:tcPr>
          <w:p>
            <w:pPr/>
          </w:p>
        </w:tc>
        <w:tc>
          <w:tcPr>
            <w:tcW w:w="1894" w:type="dxa"/>
          </w:tcPr>
          <w:p>
            <w:pPr>
              <w:pStyle w:val="TableParagraph"/>
              <w:spacing w:line="227" w:lineRule="exact"/>
              <w:ind w:right="218"/>
              <w:rPr>
                <w:sz w:val="20"/>
              </w:rPr>
            </w:pPr>
            <w:r>
              <w:rPr>
                <w:sz w:val="20"/>
                <w:u w:val="single"/>
              </w:rPr>
              <w:t>$3,256,122</w:t>
            </w:r>
          </w:p>
        </w:tc>
        <w:tc>
          <w:tcPr>
            <w:tcW w:w="1270" w:type="dxa"/>
          </w:tcPr>
          <w:p>
            <w:pPr>
              <w:pStyle w:val="TableParagraph"/>
              <w:spacing w:line="227" w:lineRule="exact"/>
              <w:ind w:right="48"/>
              <w:rPr>
                <w:sz w:val="20"/>
              </w:rPr>
            </w:pPr>
            <w:r>
              <w:rPr>
                <w:sz w:val="20"/>
                <w:u w:val="single"/>
              </w:rPr>
              <w:t>$2,823,071</w:t>
            </w:r>
          </w:p>
        </w:tc>
      </w:tr>
    </w:tbl>
    <w:p>
      <w:pPr>
        <w:spacing w:after="0" w:line="227" w:lineRule="exact"/>
        <w:rPr>
          <w:sz w:val="20"/>
        </w:rPr>
        <w:sectPr>
          <w:pgSz w:w="12240" w:h="15840"/>
          <w:pgMar w:header="0" w:footer="730" w:top="1440" w:bottom="920" w:left="1640" w:right="16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94"/>
        <w:gridCol w:w="1537"/>
        <w:gridCol w:w="1440"/>
        <w:gridCol w:w="1490"/>
      </w:tblGrid>
      <w:tr>
        <w:trPr>
          <w:trHeight w:val="345" w:hRule="exact"/>
        </w:trPr>
        <w:tc>
          <w:tcPr>
            <w:tcW w:w="4694" w:type="dxa"/>
          </w:tcPr>
          <w:p>
            <w:pPr>
              <w:pStyle w:val="TableParagraph"/>
              <w:spacing w:line="225" w:lineRule="exact"/>
              <w:ind w:left="50"/>
              <w:jc w:val="left"/>
              <w:rPr>
                <w:b/>
                <w:sz w:val="20"/>
              </w:rPr>
            </w:pPr>
            <w:r>
              <w:rPr>
                <w:b/>
                <w:sz w:val="20"/>
              </w:rPr>
              <w:t>CONSOLIDATED STATEMENT OF INCOME</w:t>
            </w:r>
          </w:p>
        </w:tc>
        <w:tc>
          <w:tcPr>
            <w:tcW w:w="4467" w:type="dxa"/>
            <w:gridSpan w:val="3"/>
          </w:tcPr>
          <w:p>
            <w:pPr/>
          </w:p>
        </w:tc>
      </w:tr>
      <w:tr>
        <w:trPr>
          <w:trHeight w:val="809" w:hRule="exact"/>
        </w:trPr>
        <w:tc>
          <w:tcPr>
            <w:tcW w:w="4694" w:type="dxa"/>
          </w:tcPr>
          <w:p>
            <w:pPr>
              <w:pStyle w:val="TableParagraph"/>
              <w:spacing w:before="115"/>
              <w:ind w:left="50"/>
              <w:jc w:val="left"/>
              <w:rPr>
                <w:sz w:val="20"/>
              </w:rPr>
            </w:pPr>
            <w:r>
              <w:rPr>
                <w:sz w:val="20"/>
              </w:rPr>
              <w:t>(in thousands except per share amounts)</w:t>
            </w:r>
          </w:p>
        </w:tc>
        <w:tc>
          <w:tcPr>
            <w:tcW w:w="1537" w:type="dxa"/>
          </w:tcPr>
          <w:p>
            <w:pPr>
              <w:pStyle w:val="TableParagraph"/>
              <w:spacing w:before="115"/>
              <w:ind w:left="261" w:right="11" w:hanging="1"/>
              <w:jc w:val="center"/>
              <w:rPr>
                <w:sz w:val="20"/>
              </w:rPr>
            </w:pPr>
            <w:r>
              <w:rPr>
                <w:sz w:val="20"/>
              </w:rPr>
              <w:t>Years ended December 31,</w:t>
            </w:r>
          </w:p>
          <w:p>
            <w:pPr>
              <w:pStyle w:val="TableParagraph"/>
              <w:ind w:left="647" w:right="404"/>
              <w:jc w:val="center"/>
              <w:rPr>
                <w:sz w:val="20"/>
              </w:rPr>
            </w:pPr>
            <w:r>
              <w:rPr>
                <w:sz w:val="20"/>
              </w:rPr>
              <w:t>1995</w:t>
            </w:r>
          </w:p>
        </w:tc>
        <w:tc>
          <w:tcPr>
            <w:tcW w:w="1440" w:type="dxa"/>
          </w:tcPr>
          <w:p>
            <w:pPr>
              <w:pStyle w:val="TableParagraph"/>
              <w:jc w:val="left"/>
              <w:rPr>
                <w:rFonts w:ascii="Times New Roman"/>
                <w:sz w:val="22"/>
              </w:rPr>
            </w:pPr>
          </w:p>
          <w:p>
            <w:pPr>
              <w:pStyle w:val="TableParagraph"/>
              <w:jc w:val="left"/>
              <w:rPr>
                <w:rFonts w:ascii="Times New Roman"/>
                <w:sz w:val="28"/>
              </w:rPr>
            </w:pPr>
          </w:p>
          <w:p>
            <w:pPr>
              <w:pStyle w:val="TableParagraph"/>
              <w:spacing w:before="1"/>
              <w:ind w:left="571"/>
              <w:jc w:val="left"/>
              <w:rPr>
                <w:sz w:val="20"/>
              </w:rPr>
            </w:pPr>
            <w:r>
              <w:rPr>
                <w:sz w:val="20"/>
              </w:rPr>
              <w:t>1994</w:t>
            </w:r>
          </w:p>
        </w:tc>
        <w:tc>
          <w:tcPr>
            <w:tcW w:w="1490" w:type="dxa"/>
          </w:tcPr>
          <w:p>
            <w:pPr>
              <w:pStyle w:val="TableParagraph"/>
              <w:jc w:val="left"/>
              <w:rPr>
                <w:rFonts w:ascii="Times New Roman"/>
                <w:sz w:val="22"/>
              </w:rPr>
            </w:pPr>
          </w:p>
          <w:p>
            <w:pPr>
              <w:pStyle w:val="TableParagraph"/>
              <w:jc w:val="left"/>
              <w:rPr>
                <w:rFonts w:ascii="Times New Roman"/>
                <w:sz w:val="28"/>
              </w:rPr>
            </w:pPr>
          </w:p>
          <w:p>
            <w:pPr>
              <w:pStyle w:val="TableParagraph"/>
              <w:spacing w:before="1"/>
              <w:ind w:left="571"/>
              <w:jc w:val="left"/>
              <w:rPr>
                <w:sz w:val="20"/>
              </w:rPr>
            </w:pPr>
            <w:r>
              <w:rPr>
                <w:sz w:val="20"/>
              </w:rPr>
              <w:t>1993</w:t>
            </w:r>
          </w:p>
        </w:tc>
      </w:tr>
      <w:tr>
        <w:trPr>
          <w:trHeight w:val="461" w:hRule="exact"/>
        </w:trPr>
        <w:tc>
          <w:tcPr>
            <w:tcW w:w="4694" w:type="dxa"/>
          </w:tcPr>
          <w:p>
            <w:pPr>
              <w:pStyle w:val="TableParagraph"/>
              <w:spacing w:line="227" w:lineRule="exact"/>
              <w:ind w:left="50"/>
              <w:jc w:val="left"/>
              <w:rPr>
                <w:sz w:val="20"/>
              </w:rPr>
            </w:pPr>
            <w:r>
              <w:rPr>
                <w:sz w:val="20"/>
              </w:rPr>
              <w:t>OPERATING REVENUES:</w:t>
            </w:r>
          </w:p>
          <w:p>
            <w:pPr>
              <w:pStyle w:val="TableParagraph"/>
              <w:ind w:left="50"/>
              <w:jc w:val="left"/>
              <w:rPr>
                <w:sz w:val="20"/>
              </w:rPr>
            </w:pPr>
            <w:r>
              <w:rPr>
                <w:sz w:val="20"/>
              </w:rPr>
              <w:t>Passenger</w:t>
            </w:r>
          </w:p>
        </w:tc>
        <w:tc>
          <w:tcPr>
            <w:tcW w:w="1537" w:type="dxa"/>
          </w:tcPr>
          <w:p>
            <w:pPr>
              <w:pStyle w:val="TableParagraph"/>
              <w:spacing w:before="9"/>
              <w:jc w:val="left"/>
              <w:rPr>
                <w:rFonts w:ascii="Times New Roman"/>
                <w:sz w:val="19"/>
              </w:rPr>
            </w:pPr>
          </w:p>
          <w:p>
            <w:pPr>
              <w:pStyle w:val="TableParagraph"/>
              <w:ind w:right="1"/>
              <w:rPr>
                <w:sz w:val="20"/>
              </w:rPr>
            </w:pPr>
            <w:r>
              <w:rPr>
                <w:sz w:val="20"/>
              </w:rPr>
              <w:t>$2,760,756</w:t>
            </w:r>
          </w:p>
        </w:tc>
        <w:tc>
          <w:tcPr>
            <w:tcW w:w="1440" w:type="dxa"/>
          </w:tcPr>
          <w:p>
            <w:pPr>
              <w:pStyle w:val="TableParagraph"/>
              <w:spacing w:before="9"/>
              <w:jc w:val="left"/>
              <w:rPr>
                <w:rFonts w:ascii="Times New Roman"/>
                <w:sz w:val="19"/>
              </w:rPr>
            </w:pPr>
          </w:p>
          <w:p>
            <w:pPr>
              <w:pStyle w:val="TableParagraph"/>
              <w:ind w:right="1"/>
              <w:rPr>
                <w:sz w:val="20"/>
              </w:rPr>
            </w:pPr>
            <w:r>
              <w:rPr>
                <w:sz w:val="20"/>
              </w:rPr>
              <w:t>$2,497,765</w:t>
            </w:r>
          </w:p>
        </w:tc>
        <w:tc>
          <w:tcPr>
            <w:tcW w:w="1490" w:type="dxa"/>
          </w:tcPr>
          <w:p>
            <w:pPr>
              <w:pStyle w:val="TableParagraph"/>
              <w:spacing w:before="9"/>
              <w:jc w:val="left"/>
              <w:rPr>
                <w:rFonts w:ascii="Times New Roman"/>
                <w:sz w:val="19"/>
              </w:rPr>
            </w:pPr>
          </w:p>
          <w:p>
            <w:pPr>
              <w:pStyle w:val="TableParagraph"/>
              <w:ind w:right="51"/>
              <w:rPr>
                <w:sz w:val="20"/>
              </w:rPr>
            </w:pPr>
            <w:r>
              <w:rPr>
                <w:sz w:val="20"/>
              </w:rPr>
              <w:t>$2,216,342</w:t>
            </w:r>
          </w:p>
        </w:tc>
      </w:tr>
      <w:tr>
        <w:trPr>
          <w:trHeight w:val="230" w:hRule="exact"/>
        </w:trPr>
        <w:tc>
          <w:tcPr>
            <w:tcW w:w="4694" w:type="dxa"/>
          </w:tcPr>
          <w:p>
            <w:pPr>
              <w:pStyle w:val="TableParagraph"/>
              <w:spacing w:line="227" w:lineRule="exact"/>
              <w:ind w:left="50"/>
              <w:jc w:val="left"/>
              <w:rPr>
                <w:sz w:val="20"/>
              </w:rPr>
            </w:pPr>
            <w:r>
              <w:rPr>
                <w:sz w:val="20"/>
              </w:rPr>
              <w:t>Freight</w:t>
            </w:r>
          </w:p>
        </w:tc>
        <w:tc>
          <w:tcPr>
            <w:tcW w:w="1537" w:type="dxa"/>
          </w:tcPr>
          <w:p>
            <w:pPr>
              <w:pStyle w:val="TableParagraph"/>
              <w:spacing w:line="227" w:lineRule="exact"/>
              <w:ind w:right="1"/>
              <w:rPr>
                <w:sz w:val="20"/>
              </w:rPr>
            </w:pPr>
            <w:r>
              <w:rPr>
                <w:sz w:val="20"/>
              </w:rPr>
              <w:t>65,825</w:t>
            </w:r>
          </w:p>
        </w:tc>
        <w:tc>
          <w:tcPr>
            <w:tcW w:w="1440" w:type="dxa"/>
          </w:tcPr>
          <w:p>
            <w:pPr>
              <w:pStyle w:val="TableParagraph"/>
              <w:spacing w:line="227" w:lineRule="exact"/>
              <w:ind w:right="1"/>
              <w:rPr>
                <w:sz w:val="20"/>
              </w:rPr>
            </w:pPr>
            <w:r>
              <w:rPr>
                <w:sz w:val="20"/>
              </w:rPr>
              <w:t>54,419</w:t>
            </w:r>
          </w:p>
        </w:tc>
        <w:tc>
          <w:tcPr>
            <w:tcW w:w="1490" w:type="dxa"/>
          </w:tcPr>
          <w:p>
            <w:pPr>
              <w:pStyle w:val="TableParagraph"/>
              <w:spacing w:line="227" w:lineRule="exact"/>
              <w:ind w:right="51"/>
              <w:rPr>
                <w:sz w:val="20"/>
              </w:rPr>
            </w:pPr>
            <w:r>
              <w:rPr>
                <w:sz w:val="20"/>
              </w:rPr>
              <w:t>42,897</w:t>
            </w:r>
          </w:p>
        </w:tc>
      </w:tr>
      <w:tr>
        <w:trPr>
          <w:trHeight w:val="230" w:hRule="exact"/>
        </w:trPr>
        <w:tc>
          <w:tcPr>
            <w:tcW w:w="4694" w:type="dxa"/>
          </w:tcPr>
          <w:p>
            <w:pPr>
              <w:pStyle w:val="TableParagraph"/>
              <w:spacing w:line="227" w:lineRule="exact"/>
              <w:ind w:left="50"/>
              <w:jc w:val="left"/>
              <w:rPr>
                <w:sz w:val="20"/>
              </w:rPr>
            </w:pPr>
            <w:r>
              <w:rPr>
                <w:sz w:val="20"/>
              </w:rPr>
              <w:t>Other</w:t>
            </w:r>
          </w:p>
        </w:tc>
        <w:tc>
          <w:tcPr>
            <w:tcW w:w="1537" w:type="dxa"/>
          </w:tcPr>
          <w:p>
            <w:pPr>
              <w:pStyle w:val="TableParagraph"/>
              <w:spacing w:line="227" w:lineRule="exact"/>
              <w:ind w:right="1"/>
              <w:rPr>
                <w:sz w:val="20"/>
              </w:rPr>
            </w:pPr>
            <w:r>
              <w:rPr>
                <w:sz w:val="20"/>
                <w:u w:val="single"/>
              </w:rPr>
              <w:t>46,170</w:t>
            </w:r>
          </w:p>
        </w:tc>
        <w:tc>
          <w:tcPr>
            <w:tcW w:w="1440" w:type="dxa"/>
          </w:tcPr>
          <w:p>
            <w:pPr>
              <w:pStyle w:val="TableParagraph"/>
              <w:spacing w:line="227" w:lineRule="exact"/>
              <w:ind w:right="1"/>
              <w:rPr>
                <w:sz w:val="20"/>
              </w:rPr>
            </w:pPr>
            <w:r>
              <w:rPr>
                <w:sz w:val="20"/>
                <w:u w:val="single"/>
              </w:rPr>
              <w:t>39,749</w:t>
            </w:r>
          </w:p>
        </w:tc>
        <w:tc>
          <w:tcPr>
            <w:tcW w:w="1490" w:type="dxa"/>
          </w:tcPr>
          <w:p>
            <w:pPr>
              <w:pStyle w:val="TableParagraph"/>
              <w:spacing w:line="227" w:lineRule="exact"/>
              <w:ind w:right="51"/>
              <w:rPr>
                <w:sz w:val="20"/>
              </w:rPr>
            </w:pPr>
            <w:r>
              <w:rPr>
                <w:sz w:val="20"/>
                <w:u w:val="single"/>
              </w:rPr>
              <w:t>37,434</w:t>
            </w:r>
          </w:p>
        </w:tc>
      </w:tr>
      <w:tr>
        <w:trPr>
          <w:trHeight w:val="346" w:hRule="exact"/>
        </w:trPr>
        <w:tc>
          <w:tcPr>
            <w:tcW w:w="4694" w:type="dxa"/>
          </w:tcPr>
          <w:p>
            <w:pPr>
              <w:pStyle w:val="TableParagraph"/>
              <w:spacing w:line="227" w:lineRule="exact"/>
              <w:ind w:left="50"/>
              <w:jc w:val="left"/>
              <w:rPr>
                <w:sz w:val="20"/>
              </w:rPr>
            </w:pPr>
            <w:r>
              <w:rPr>
                <w:sz w:val="20"/>
              </w:rPr>
              <w:t>Total operating revenues</w:t>
            </w:r>
          </w:p>
        </w:tc>
        <w:tc>
          <w:tcPr>
            <w:tcW w:w="1537" w:type="dxa"/>
          </w:tcPr>
          <w:p>
            <w:pPr>
              <w:pStyle w:val="TableParagraph"/>
              <w:spacing w:line="227" w:lineRule="exact"/>
              <w:ind w:right="1"/>
              <w:rPr>
                <w:sz w:val="20"/>
              </w:rPr>
            </w:pPr>
            <w:r>
              <w:rPr>
                <w:sz w:val="20"/>
              </w:rPr>
              <w:t>2,872,751</w:t>
            </w:r>
          </w:p>
        </w:tc>
        <w:tc>
          <w:tcPr>
            <w:tcW w:w="1440" w:type="dxa"/>
          </w:tcPr>
          <w:p>
            <w:pPr>
              <w:pStyle w:val="TableParagraph"/>
              <w:spacing w:line="227" w:lineRule="exact"/>
              <w:ind w:right="1"/>
              <w:rPr>
                <w:sz w:val="20"/>
              </w:rPr>
            </w:pPr>
            <w:r>
              <w:rPr>
                <w:sz w:val="20"/>
              </w:rPr>
              <w:t>2,591,933</w:t>
            </w:r>
          </w:p>
        </w:tc>
        <w:tc>
          <w:tcPr>
            <w:tcW w:w="1490" w:type="dxa"/>
          </w:tcPr>
          <w:p>
            <w:pPr>
              <w:pStyle w:val="TableParagraph"/>
              <w:spacing w:line="227" w:lineRule="exact"/>
              <w:ind w:right="51"/>
              <w:rPr>
                <w:sz w:val="20"/>
              </w:rPr>
            </w:pPr>
            <w:r>
              <w:rPr>
                <w:sz w:val="20"/>
              </w:rPr>
              <w:t>2,296,673</w:t>
            </w:r>
          </w:p>
        </w:tc>
      </w:tr>
      <w:tr>
        <w:trPr>
          <w:trHeight w:val="576" w:hRule="exact"/>
        </w:trPr>
        <w:tc>
          <w:tcPr>
            <w:tcW w:w="4694" w:type="dxa"/>
          </w:tcPr>
          <w:p>
            <w:pPr>
              <w:pStyle w:val="TableParagraph"/>
              <w:spacing w:before="112"/>
              <w:ind w:left="50"/>
              <w:jc w:val="left"/>
              <w:rPr>
                <w:sz w:val="20"/>
              </w:rPr>
            </w:pPr>
            <w:r>
              <w:rPr>
                <w:sz w:val="20"/>
              </w:rPr>
              <w:t>OPERATING EXPENSES:</w:t>
            </w:r>
          </w:p>
          <w:p>
            <w:pPr>
              <w:pStyle w:val="TableParagraph"/>
              <w:ind w:left="50"/>
              <w:jc w:val="left"/>
              <w:rPr>
                <w:sz w:val="20"/>
              </w:rPr>
            </w:pPr>
            <w:r>
              <w:rPr>
                <w:sz w:val="20"/>
              </w:rPr>
              <w:t>Salaries, wages, and benefits (Note 10)</w:t>
            </w:r>
          </w:p>
        </w:tc>
        <w:tc>
          <w:tcPr>
            <w:tcW w:w="1537" w:type="dxa"/>
          </w:tcPr>
          <w:p>
            <w:pPr>
              <w:pStyle w:val="TableParagraph"/>
              <w:spacing w:before="9"/>
              <w:jc w:val="left"/>
              <w:rPr>
                <w:rFonts w:ascii="Times New Roman"/>
                <w:sz w:val="29"/>
              </w:rPr>
            </w:pPr>
          </w:p>
          <w:p>
            <w:pPr>
              <w:pStyle w:val="TableParagraph"/>
              <w:ind w:right="1"/>
              <w:rPr>
                <w:sz w:val="20"/>
              </w:rPr>
            </w:pPr>
            <w:r>
              <w:rPr>
                <w:sz w:val="20"/>
              </w:rPr>
              <w:t>867,984</w:t>
            </w:r>
          </w:p>
        </w:tc>
        <w:tc>
          <w:tcPr>
            <w:tcW w:w="1440" w:type="dxa"/>
          </w:tcPr>
          <w:p>
            <w:pPr>
              <w:pStyle w:val="TableParagraph"/>
              <w:spacing w:before="9"/>
              <w:jc w:val="left"/>
              <w:rPr>
                <w:rFonts w:ascii="Times New Roman"/>
                <w:sz w:val="29"/>
              </w:rPr>
            </w:pPr>
          </w:p>
          <w:p>
            <w:pPr>
              <w:pStyle w:val="TableParagraph"/>
              <w:ind w:right="1"/>
              <w:rPr>
                <w:sz w:val="20"/>
              </w:rPr>
            </w:pPr>
            <w:r>
              <w:rPr>
                <w:sz w:val="20"/>
              </w:rPr>
              <w:t>756,023</w:t>
            </w:r>
          </w:p>
        </w:tc>
        <w:tc>
          <w:tcPr>
            <w:tcW w:w="1490" w:type="dxa"/>
          </w:tcPr>
          <w:p>
            <w:pPr>
              <w:pStyle w:val="TableParagraph"/>
              <w:spacing w:before="9"/>
              <w:jc w:val="left"/>
              <w:rPr>
                <w:rFonts w:ascii="Times New Roman"/>
                <w:sz w:val="29"/>
              </w:rPr>
            </w:pPr>
          </w:p>
          <w:p>
            <w:pPr>
              <w:pStyle w:val="TableParagraph"/>
              <w:ind w:right="51"/>
              <w:rPr>
                <w:sz w:val="20"/>
              </w:rPr>
            </w:pPr>
            <w:r>
              <w:rPr>
                <w:sz w:val="20"/>
              </w:rPr>
              <w:t>641,747</w:t>
            </w:r>
          </w:p>
        </w:tc>
      </w:tr>
      <w:tr>
        <w:trPr>
          <w:trHeight w:val="230" w:hRule="exact"/>
        </w:trPr>
        <w:tc>
          <w:tcPr>
            <w:tcW w:w="4694" w:type="dxa"/>
          </w:tcPr>
          <w:p>
            <w:pPr>
              <w:pStyle w:val="TableParagraph"/>
              <w:spacing w:line="227" w:lineRule="exact"/>
              <w:ind w:left="50"/>
              <w:jc w:val="left"/>
              <w:rPr>
                <w:sz w:val="20"/>
              </w:rPr>
            </w:pPr>
            <w:r>
              <w:rPr>
                <w:sz w:val="20"/>
              </w:rPr>
              <w:t>Fuel and oil</w:t>
            </w:r>
          </w:p>
        </w:tc>
        <w:tc>
          <w:tcPr>
            <w:tcW w:w="1537" w:type="dxa"/>
          </w:tcPr>
          <w:p>
            <w:pPr>
              <w:pStyle w:val="TableParagraph"/>
              <w:spacing w:line="227" w:lineRule="exact"/>
              <w:ind w:right="1"/>
              <w:rPr>
                <w:sz w:val="20"/>
              </w:rPr>
            </w:pPr>
            <w:r>
              <w:rPr>
                <w:sz w:val="20"/>
              </w:rPr>
              <w:t>365,670</w:t>
            </w:r>
          </w:p>
        </w:tc>
        <w:tc>
          <w:tcPr>
            <w:tcW w:w="1440" w:type="dxa"/>
          </w:tcPr>
          <w:p>
            <w:pPr>
              <w:pStyle w:val="TableParagraph"/>
              <w:spacing w:line="227" w:lineRule="exact"/>
              <w:ind w:right="1"/>
              <w:rPr>
                <w:sz w:val="20"/>
              </w:rPr>
            </w:pPr>
            <w:r>
              <w:rPr>
                <w:sz w:val="20"/>
              </w:rPr>
              <w:t>319,552</w:t>
            </w:r>
          </w:p>
        </w:tc>
        <w:tc>
          <w:tcPr>
            <w:tcW w:w="1490" w:type="dxa"/>
          </w:tcPr>
          <w:p>
            <w:pPr>
              <w:pStyle w:val="TableParagraph"/>
              <w:spacing w:line="227" w:lineRule="exact"/>
              <w:ind w:right="51"/>
              <w:rPr>
                <w:sz w:val="20"/>
              </w:rPr>
            </w:pPr>
            <w:r>
              <w:rPr>
                <w:sz w:val="20"/>
              </w:rPr>
              <w:t>304,424</w:t>
            </w:r>
          </w:p>
        </w:tc>
      </w:tr>
      <w:tr>
        <w:trPr>
          <w:trHeight w:val="230" w:hRule="exact"/>
        </w:trPr>
        <w:tc>
          <w:tcPr>
            <w:tcW w:w="4694" w:type="dxa"/>
          </w:tcPr>
          <w:p>
            <w:pPr>
              <w:pStyle w:val="TableParagraph"/>
              <w:spacing w:line="227" w:lineRule="exact"/>
              <w:ind w:left="50"/>
              <w:jc w:val="left"/>
              <w:rPr>
                <w:sz w:val="20"/>
              </w:rPr>
            </w:pPr>
            <w:r>
              <w:rPr>
                <w:sz w:val="20"/>
              </w:rPr>
              <w:t>Maintenance materials and repairs</w:t>
            </w:r>
          </w:p>
        </w:tc>
        <w:tc>
          <w:tcPr>
            <w:tcW w:w="1537" w:type="dxa"/>
          </w:tcPr>
          <w:p>
            <w:pPr>
              <w:pStyle w:val="TableParagraph"/>
              <w:spacing w:line="227" w:lineRule="exact"/>
              <w:ind w:right="1"/>
              <w:rPr>
                <w:sz w:val="20"/>
              </w:rPr>
            </w:pPr>
            <w:r>
              <w:rPr>
                <w:sz w:val="20"/>
              </w:rPr>
              <w:t>217,259</w:t>
            </w:r>
          </w:p>
        </w:tc>
        <w:tc>
          <w:tcPr>
            <w:tcW w:w="1440" w:type="dxa"/>
          </w:tcPr>
          <w:p>
            <w:pPr>
              <w:pStyle w:val="TableParagraph"/>
              <w:spacing w:line="227" w:lineRule="exact"/>
              <w:ind w:right="1"/>
              <w:rPr>
                <w:sz w:val="20"/>
              </w:rPr>
            </w:pPr>
            <w:r>
              <w:rPr>
                <w:sz w:val="20"/>
              </w:rPr>
              <w:t>190,308</w:t>
            </w:r>
          </w:p>
        </w:tc>
        <w:tc>
          <w:tcPr>
            <w:tcW w:w="1490" w:type="dxa"/>
          </w:tcPr>
          <w:p>
            <w:pPr>
              <w:pStyle w:val="TableParagraph"/>
              <w:spacing w:line="227" w:lineRule="exact"/>
              <w:ind w:right="51"/>
              <w:rPr>
                <w:sz w:val="20"/>
              </w:rPr>
            </w:pPr>
            <w:r>
              <w:rPr>
                <w:sz w:val="20"/>
              </w:rPr>
              <w:t>163,395</w:t>
            </w:r>
          </w:p>
        </w:tc>
      </w:tr>
      <w:tr>
        <w:trPr>
          <w:trHeight w:val="230" w:hRule="exact"/>
        </w:trPr>
        <w:tc>
          <w:tcPr>
            <w:tcW w:w="4694" w:type="dxa"/>
          </w:tcPr>
          <w:p>
            <w:pPr>
              <w:pStyle w:val="TableParagraph"/>
              <w:spacing w:line="227" w:lineRule="exact"/>
              <w:ind w:left="50"/>
              <w:jc w:val="left"/>
              <w:rPr>
                <w:sz w:val="20"/>
              </w:rPr>
            </w:pPr>
            <w:r>
              <w:rPr>
                <w:sz w:val="20"/>
              </w:rPr>
              <w:t>Agency commissions</w:t>
            </w:r>
          </w:p>
        </w:tc>
        <w:tc>
          <w:tcPr>
            <w:tcW w:w="1537" w:type="dxa"/>
          </w:tcPr>
          <w:p>
            <w:pPr>
              <w:pStyle w:val="TableParagraph"/>
              <w:spacing w:line="227" w:lineRule="exact"/>
              <w:ind w:right="1"/>
              <w:rPr>
                <w:sz w:val="20"/>
              </w:rPr>
            </w:pPr>
            <w:r>
              <w:rPr>
                <w:sz w:val="20"/>
              </w:rPr>
              <w:t>123,380</w:t>
            </w:r>
          </w:p>
        </w:tc>
        <w:tc>
          <w:tcPr>
            <w:tcW w:w="1440" w:type="dxa"/>
          </w:tcPr>
          <w:p>
            <w:pPr>
              <w:pStyle w:val="TableParagraph"/>
              <w:spacing w:line="227" w:lineRule="exact"/>
              <w:ind w:right="1"/>
              <w:rPr>
                <w:sz w:val="20"/>
              </w:rPr>
            </w:pPr>
            <w:r>
              <w:rPr>
                <w:sz w:val="20"/>
              </w:rPr>
              <w:t>133,081</w:t>
            </w:r>
          </w:p>
        </w:tc>
        <w:tc>
          <w:tcPr>
            <w:tcW w:w="1490" w:type="dxa"/>
          </w:tcPr>
          <w:p>
            <w:pPr>
              <w:pStyle w:val="TableParagraph"/>
              <w:spacing w:line="227" w:lineRule="exact"/>
              <w:ind w:right="51"/>
              <w:rPr>
                <w:sz w:val="20"/>
              </w:rPr>
            </w:pPr>
            <w:r>
              <w:rPr>
                <w:sz w:val="20"/>
              </w:rPr>
              <w:t>130,445</w:t>
            </w:r>
          </w:p>
        </w:tc>
      </w:tr>
      <w:tr>
        <w:trPr>
          <w:trHeight w:val="230" w:hRule="exact"/>
        </w:trPr>
        <w:tc>
          <w:tcPr>
            <w:tcW w:w="4694" w:type="dxa"/>
          </w:tcPr>
          <w:p>
            <w:pPr>
              <w:pStyle w:val="TableParagraph"/>
              <w:spacing w:line="227" w:lineRule="exact"/>
              <w:ind w:left="50"/>
              <w:jc w:val="left"/>
              <w:rPr>
                <w:sz w:val="20"/>
              </w:rPr>
            </w:pPr>
            <w:r>
              <w:rPr>
                <w:sz w:val="20"/>
              </w:rPr>
              <w:t>Aircraft rentals</w:t>
            </w:r>
          </w:p>
        </w:tc>
        <w:tc>
          <w:tcPr>
            <w:tcW w:w="1537" w:type="dxa"/>
          </w:tcPr>
          <w:p>
            <w:pPr>
              <w:pStyle w:val="TableParagraph"/>
              <w:spacing w:line="227" w:lineRule="exact"/>
              <w:ind w:right="1"/>
              <w:rPr>
                <w:sz w:val="20"/>
              </w:rPr>
            </w:pPr>
            <w:r>
              <w:rPr>
                <w:sz w:val="20"/>
              </w:rPr>
              <w:t>169,461</w:t>
            </w:r>
          </w:p>
        </w:tc>
        <w:tc>
          <w:tcPr>
            <w:tcW w:w="1440" w:type="dxa"/>
          </w:tcPr>
          <w:p>
            <w:pPr>
              <w:pStyle w:val="TableParagraph"/>
              <w:spacing w:line="227" w:lineRule="exact"/>
              <w:ind w:right="1"/>
              <w:rPr>
                <w:sz w:val="20"/>
              </w:rPr>
            </w:pPr>
            <w:r>
              <w:rPr>
                <w:sz w:val="20"/>
              </w:rPr>
              <w:t>132,992</w:t>
            </w:r>
          </w:p>
        </w:tc>
        <w:tc>
          <w:tcPr>
            <w:tcW w:w="1490" w:type="dxa"/>
          </w:tcPr>
          <w:p>
            <w:pPr>
              <w:pStyle w:val="TableParagraph"/>
              <w:spacing w:line="227" w:lineRule="exact"/>
              <w:ind w:right="51"/>
              <w:rPr>
                <w:sz w:val="20"/>
              </w:rPr>
            </w:pPr>
            <w:r>
              <w:rPr>
                <w:sz w:val="20"/>
              </w:rPr>
              <w:t>107,885</w:t>
            </w:r>
          </w:p>
        </w:tc>
      </w:tr>
      <w:tr>
        <w:trPr>
          <w:trHeight w:val="230" w:hRule="exact"/>
        </w:trPr>
        <w:tc>
          <w:tcPr>
            <w:tcW w:w="4694" w:type="dxa"/>
          </w:tcPr>
          <w:p>
            <w:pPr>
              <w:pStyle w:val="TableParagraph"/>
              <w:spacing w:line="227" w:lineRule="exact"/>
              <w:ind w:left="50"/>
              <w:jc w:val="left"/>
              <w:rPr>
                <w:sz w:val="20"/>
              </w:rPr>
            </w:pPr>
            <w:r>
              <w:rPr>
                <w:sz w:val="20"/>
              </w:rPr>
              <w:t>Landing fees and other rentals</w:t>
            </w:r>
          </w:p>
        </w:tc>
        <w:tc>
          <w:tcPr>
            <w:tcW w:w="1537" w:type="dxa"/>
          </w:tcPr>
          <w:p>
            <w:pPr>
              <w:pStyle w:val="TableParagraph"/>
              <w:spacing w:line="227" w:lineRule="exact"/>
              <w:ind w:right="1"/>
              <w:rPr>
                <w:sz w:val="20"/>
              </w:rPr>
            </w:pPr>
            <w:r>
              <w:rPr>
                <w:sz w:val="20"/>
              </w:rPr>
              <w:t>160,322</w:t>
            </w:r>
          </w:p>
        </w:tc>
        <w:tc>
          <w:tcPr>
            <w:tcW w:w="1440" w:type="dxa"/>
          </w:tcPr>
          <w:p>
            <w:pPr>
              <w:pStyle w:val="TableParagraph"/>
              <w:spacing w:line="227" w:lineRule="exact"/>
              <w:ind w:right="1"/>
              <w:rPr>
                <w:sz w:val="20"/>
              </w:rPr>
            </w:pPr>
            <w:r>
              <w:rPr>
                <w:sz w:val="20"/>
              </w:rPr>
              <w:t>148,107</w:t>
            </w:r>
          </w:p>
        </w:tc>
        <w:tc>
          <w:tcPr>
            <w:tcW w:w="1490" w:type="dxa"/>
          </w:tcPr>
          <w:p>
            <w:pPr>
              <w:pStyle w:val="TableParagraph"/>
              <w:spacing w:line="227" w:lineRule="exact"/>
              <w:ind w:right="51"/>
              <w:rPr>
                <w:sz w:val="20"/>
              </w:rPr>
            </w:pPr>
            <w:r>
              <w:rPr>
                <w:sz w:val="20"/>
              </w:rPr>
              <w:t>129,222</w:t>
            </w:r>
          </w:p>
        </w:tc>
      </w:tr>
      <w:tr>
        <w:trPr>
          <w:trHeight w:val="230" w:hRule="exact"/>
        </w:trPr>
        <w:tc>
          <w:tcPr>
            <w:tcW w:w="4694" w:type="dxa"/>
          </w:tcPr>
          <w:p>
            <w:pPr>
              <w:pStyle w:val="TableParagraph"/>
              <w:spacing w:line="227" w:lineRule="exact"/>
              <w:ind w:left="50"/>
              <w:jc w:val="left"/>
              <w:rPr>
                <w:sz w:val="20"/>
              </w:rPr>
            </w:pPr>
            <w:r>
              <w:rPr>
                <w:sz w:val="20"/>
              </w:rPr>
              <w:t>Depreciation</w:t>
            </w:r>
          </w:p>
        </w:tc>
        <w:tc>
          <w:tcPr>
            <w:tcW w:w="1537" w:type="dxa"/>
          </w:tcPr>
          <w:p>
            <w:pPr>
              <w:pStyle w:val="TableParagraph"/>
              <w:spacing w:line="227" w:lineRule="exact"/>
              <w:ind w:right="1"/>
              <w:rPr>
                <w:sz w:val="20"/>
              </w:rPr>
            </w:pPr>
            <w:r>
              <w:rPr>
                <w:sz w:val="20"/>
              </w:rPr>
              <w:t>156,771</w:t>
            </w:r>
          </w:p>
        </w:tc>
        <w:tc>
          <w:tcPr>
            <w:tcW w:w="1440" w:type="dxa"/>
          </w:tcPr>
          <w:p>
            <w:pPr>
              <w:pStyle w:val="TableParagraph"/>
              <w:spacing w:line="227" w:lineRule="exact"/>
              <w:ind w:right="1"/>
              <w:rPr>
                <w:sz w:val="20"/>
              </w:rPr>
            </w:pPr>
            <w:r>
              <w:rPr>
                <w:sz w:val="20"/>
              </w:rPr>
              <w:t>139,045</w:t>
            </w:r>
          </w:p>
        </w:tc>
        <w:tc>
          <w:tcPr>
            <w:tcW w:w="1490" w:type="dxa"/>
          </w:tcPr>
          <w:p>
            <w:pPr>
              <w:pStyle w:val="TableParagraph"/>
              <w:spacing w:line="227" w:lineRule="exact"/>
              <w:ind w:right="51"/>
              <w:rPr>
                <w:sz w:val="20"/>
              </w:rPr>
            </w:pPr>
            <w:r>
              <w:rPr>
                <w:sz w:val="20"/>
              </w:rPr>
              <w:t>119,338</w:t>
            </w:r>
          </w:p>
        </w:tc>
      </w:tr>
      <w:tr>
        <w:trPr>
          <w:trHeight w:val="230" w:hRule="exact"/>
        </w:trPr>
        <w:tc>
          <w:tcPr>
            <w:tcW w:w="4694" w:type="dxa"/>
          </w:tcPr>
          <w:p>
            <w:pPr>
              <w:pStyle w:val="TableParagraph"/>
              <w:spacing w:line="227" w:lineRule="exact"/>
              <w:ind w:left="50"/>
              <w:jc w:val="left"/>
              <w:rPr>
                <w:sz w:val="20"/>
              </w:rPr>
            </w:pPr>
            <w:r>
              <w:rPr>
                <w:sz w:val="20"/>
              </w:rPr>
              <w:t>Other operating expenses</w:t>
            </w:r>
          </w:p>
        </w:tc>
        <w:tc>
          <w:tcPr>
            <w:tcW w:w="1537" w:type="dxa"/>
          </w:tcPr>
          <w:p>
            <w:pPr>
              <w:pStyle w:val="TableParagraph"/>
              <w:spacing w:line="227" w:lineRule="exact"/>
              <w:ind w:right="1"/>
              <w:rPr>
                <w:sz w:val="20"/>
              </w:rPr>
            </w:pPr>
            <w:r>
              <w:rPr>
                <w:sz w:val="20"/>
              </w:rPr>
              <w:t>498,373</w:t>
            </w:r>
          </w:p>
        </w:tc>
        <w:tc>
          <w:tcPr>
            <w:tcW w:w="1440" w:type="dxa"/>
          </w:tcPr>
          <w:p>
            <w:pPr>
              <w:pStyle w:val="TableParagraph"/>
              <w:spacing w:line="227" w:lineRule="exact"/>
              <w:ind w:right="1"/>
              <w:rPr>
                <w:sz w:val="20"/>
              </w:rPr>
            </w:pPr>
            <w:r>
              <w:rPr>
                <w:sz w:val="20"/>
              </w:rPr>
              <w:t>456,116</w:t>
            </w:r>
          </w:p>
        </w:tc>
        <w:tc>
          <w:tcPr>
            <w:tcW w:w="1490" w:type="dxa"/>
          </w:tcPr>
          <w:p>
            <w:pPr>
              <w:pStyle w:val="TableParagraph"/>
              <w:spacing w:line="227" w:lineRule="exact"/>
              <w:ind w:right="51"/>
              <w:rPr>
                <w:sz w:val="20"/>
              </w:rPr>
            </w:pPr>
            <w:r>
              <w:rPr>
                <w:sz w:val="20"/>
              </w:rPr>
              <w:t>397,441</w:t>
            </w:r>
          </w:p>
        </w:tc>
      </w:tr>
      <w:tr>
        <w:trPr>
          <w:trHeight w:val="228" w:hRule="exact"/>
        </w:trPr>
        <w:tc>
          <w:tcPr>
            <w:tcW w:w="4694" w:type="dxa"/>
          </w:tcPr>
          <w:p>
            <w:pPr>
              <w:pStyle w:val="TableParagraph"/>
              <w:spacing w:line="227" w:lineRule="exact"/>
              <w:ind w:left="50"/>
              <w:jc w:val="left"/>
              <w:rPr>
                <w:sz w:val="20"/>
              </w:rPr>
            </w:pPr>
            <w:r>
              <w:rPr>
                <w:sz w:val="20"/>
              </w:rPr>
              <w:t>Merger expenses (Note 2)</w:t>
            </w:r>
          </w:p>
        </w:tc>
        <w:tc>
          <w:tcPr>
            <w:tcW w:w="1537"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1"/>
              <w:rPr>
                <w:sz w:val="20"/>
              </w:rPr>
            </w:pPr>
            <w:r>
              <w:rPr>
                <w:sz w:val="20"/>
                <w:u w:val="single"/>
              </w:rPr>
              <w:t>10,803</w:t>
            </w:r>
          </w:p>
        </w:tc>
      </w:tr>
      <w:tr>
        <w:trPr>
          <w:trHeight w:val="233" w:hRule="exact"/>
        </w:trPr>
        <w:tc>
          <w:tcPr>
            <w:tcW w:w="4694" w:type="dxa"/>
          </w:tcPr>
          <w:p>
            <w:pPr>
              <w:pStyle w:val="TableParagraph"/>
              <w:ind w:left="50"/>
              <w:jc w:val="left"/>
              <w:rPr>
                <w:sz w:val="20"/>
              </w:rPr>
            </w:pPr>
            <w:r>
              <w:rPr>
                <w:sz w:val="20"/>
              </w:rPr>
              <w:t>Total operating expenses</w:t>
            </w:r>
          </w:p>
        </w:tc>
        <w:tc>
          <w:tcPr>
            <w:tcW w:w="1537" w:type="dxa"/>
          </w:tcPr>
          <w:p>
            <w:pPr>
              <w:pStyle w:val="TableParagraph"/>
              <w:spacing w:before="16"/>
              <w:ind w:right="1"/>
              <w:rPr>
                <w:sz w:val="20"/>
              </w:rPr>
            </w:pPr>
            <w:r>
              <w:rPr>
                <w:sz w:val="20"/>
                <w:u w:val="single"/>
              </w:rPr>
              <w:t>2,559,220</w:t>
            </w:r>
          </w:p>
        </w:tc>
        <w:tc>
          <w:tcPr>
            <w:tcW w:w="1440" w:type="dxa"/>
          </w:tcPr>
          <w:p>
            <w:pPr>
              <w:pStyle w:val="TableParagraph"/>
              <w:spacing w:before="16"/>
              <w:ind w:right="1"/>
              <w:rPr>
                <w:sz w:val="20"/>
              </w:rPr>
            </w:pPr>
            <w:r>
              <w:rPr>
                <w:sz w:val="20"/>
                <w:u w:val="single"/>
              </w:rPr>
              <w:t>2,275,224</w:t>
            </w:r>
          </w:p>
        </w:tc>
        <w:tc>
          <w:tcPr>
            <w:tcW w:w="1490" w:type="dxa"/>
          </w:tcPr>
          <w:p>
            <w:pPr>
              <w:pStyle w:val="TableParagraph"/>
              <w:ind w:right="51"/>
              <w:rPr>
                <w:sz w:val="20"/>
              </w:rPr>
            </w:pPr>
            <w:r>
              <w:rPr>
                <w:sz w:val="20"/>
                <w:u w:val="single"/>
              </w:rPr>
              <w:t>2,004,700</w:t>
            </w:r>
          </w:p>
        </w:tc>
      </w:tr>
      <w:tr>
        <w:trPr>
          <w:trHeight w:val="230" w:hRule="exact"/>
        </w:trPr>
        <w:tc>
          <w:tcPr>
            <w:tcW w:w="4694" w:type="dxa"/>
          </w:tcPr>
          <w:p>
            <w:pPr>
              <w:pStyle w:val="TableParagraph"/>
              <w:spacing w:line="227" w:lineRule="exact"/>
              <w:ind w:left="50"/>
              <w:jc w:val="left"/>
              <w:rPr>
                <w:sz w:val="20"/>
              </w:rPr>
            </w:pPr>
            <w:r>
              <w:rPr>
                <w:sz w:val="20"/>
              </w:rPr>
              <w:t>OPERATING INCOME</w:t>
            </w:r>
          </w:p>
        </w:tc>
        <w:tc>
          <w:tcPr>
            <w:tcW w:w="1537" w:type="dxa"/>
          </w:tcPr>
          <w:p>
            <w:pPr>
              <w:pStyle w:val="TableParagraph"/>
              <w:spacing w:line="227" w:lineRule="exact"/>
              <w:ind w:right="1"/>
              <w:rPr>
                <w:sz w:val="20"/>
              </w:rPr>
            </w:pPr>
            <w:r>
              <w:rPr>
                <w:sz w:val="20"/>
              </w:rPr>
              <w:t>313,531</w:t>
            </w:r>
          </w:p>
        </w:tc>
        <w:tc>
          <w:tcPr>
            <w:tcW w:w="1440" w:type="dxa"/>
          </w:tcPr>
          <w:p>
            <w:pPr>
              <w:pStyle w:val="TableParagraph"/>
              <w:spacing w:line="227" w:lineRule="exact"/>
              <w:ind w:right="1"/>
              <w:rPr>
                <w:sz w:val="20"/>
              </w:rPr>
            </w:pPr>
            <w:r>
              <w:rPr>
                <w:sz w:val="20"/>
              </w:rPr>
              <w:t>316,709</w:t>
            </w:r>
          </w:p>
        </w:tc>
        <w:tc>
          <w:tcPr>
            <w:tcW w:w="1490" w:type="dxa"/>
          </w:tcPr>
          <w:p>
            <w:pPr>
              <w:pStyle w:val="TableParagraph"/>
              <w:spacing w:line="227" w:lineRule="exact"/>
              <w:ind w:right="51"/>
              <w:rPr>
                <w:sz w:val="20"/>
              </w:rPr>
            </w:pPr>
            <w:r>
              <w:rPr>
                <w:sz w:val="20"/>
              </w:rPr>
              <w:t>291,973</w:t>
            </w:r>
          </w:p>
        </w:tc>
      </w:tr>
      <w:tr>
        <w:trPr>
          <w:trHeight w:val="461" w:hRule="exact"/>
        </w:trPr>
        <w:tc>
          <w:tcPr>
            <w:tcW w:w="4694" w:type="dxa"/>
          </w:tcPr>
          <w:p>
            <w:pPr>
              <w:pStyle w:val="TableParagraph"/>
              <w:spacing w:line="227" w:lineRule="exact"/>
              <w:ind w:left="50"/>
              <w:jc w:val="left"/>
              <w:rPr>
                <w:sz w:val="20"/>
              </w:rPr>
            </w:pPr>
            <w:r>
              <w:rPr>
                <w:sz w:val="20"/>
              </w:rPr>
              <w:t>OTHER EXPENSES (INCOME):</w:t>
            </w:r>
          </w:p>
          <w:p>
            <w:pPr>
              <w:pStyle w:val="TableParagraph"/>
              <w:ind w:left="50"/>
              <w:jc w:val="left"/>
              <w:rPr>
                <w:sz w:val="20"/>
              </w:rPr>
            </w:pPr>
            <w:r>
              <w:rPr>
                <w:sz w:val="20"/>
              </w:rPr>
              <w:t>Interest expense</w:t>
            </w:r>
          </w:p>
        </w:tc>
        <w:tc>
          <w:tcPr>
            <w:tcW w:w="1537" w:type="dxa"/>
          </w:tcPr>
          <w:p>
            <w:pPr>
              <w:pStyle w:val="TableParagraph"/>
              <w:spacing w:before="9"/>
              <w:jc w:val="left"/>
              <w:rPr>
                <w:rFonts w:ascii="Times New Roman"/>
                <w:sz w:val="19"/>
              </w:rPr>
            </w:pPr>
          </w:p>
          <w:p>
            <w:pPr>
              <w:pStyle w:val="TableParagraph"/>
              <w:ind w:right="1"/>
              <w:rPr>
                <w:sz w:val="20"/>
              </w:rPr>
            </w:pPr>
            <w:r>
              <w:rPr>
                <w:sz w:val="20"/>
              </w:rPr>
              <w:t>58,810</w:t>
            </w:r>
          </w:p>
        </w:tc>
        <w:tc>
          <w:tcPr>
            <w:tcW w:w="1440" w:type="dxa"/>
          </w:tcPr>
          <w:p>
            <w:pPr>
              <w:pStyle w:val="TableParagraph"/>
              <w:spacing w:before="9"/>
              <w:jc w:val="left"/>
              <w:rPr>
                <w:rFonts w:ascii="Times New Roman"/>
                <w:sz w:val="19"/>
              </w:rPr>
            </w:pPr>
          </w:p>
          <w:p>
            <w:pPr>
              <w:pStyle w:val="TableParagraph"/>
              <w:ind w:right="1"/>
              <w:rPr>
                <w:sz w:val="20"/>
              </w:rPr>
            </w:pPr>
            <w:r>
              <w:rPr>
                <w:sz w:val="20"/>
              </w:rPr>
              <w:t>53,368</w:t>
            </w:r>
          </w:p>
        </w:tc>
        <w:tc>
          <w:tcPr>
            <w:tcW w:w="1490" w:type="dxa"/>
          </w:tcPr>
          <w:p>
            <w:pPr>
              <w:pStyle w:val="TableParagraph"/>
              <w:spacing w:before="9"/>
              <w:jc w:val="left"/>
              <w:rPr>
                <w:rFonts w:ascii="Times New Roman"/>
                <w:sz w:val="19"/>
              </w:rPr>
            </w:pPr>
          </w:p>
          <w:p>
            <w:pPr>
              <w:pStyle w:val="TableParagraph"/>
              <w:ind w:right="51"/>
              <w:rPr>
                <w:sz w:val="20"/>
              </w:rPr>
            </w:pPr>
            <w:r>
              <w:rPr>
                <w:sz w:val="20"/>
              </w:rPr>
              <w:t>58,460</w:t>
            </w:r>
          </w:p>
        </w:tc>
      </w:tr>
      <w:tr>
        <w:trPr>
          <w:trHeight w:val="230" w:hRule="exact"/>
        </w:trPr>
        <w:tc>
          <w:tcPr>
            <w:tcW w:w="4694" w:type="dxa"/>
          </w:tcPr>
          <w:p>
            <w:pPr>
              <w:pStyle w:val="TableParagraph"/>
              <w:spacing w:line="227" w:lineRule="exact"/>
              <w:ind w:left="50"/>
              <w:jc w:val="left"/>
              <w:rPr>
                <w:sz w:val="20"/>
              </w:rPr>
            </w:pPr>
            <w:r>
              <w:rPr>
                <w:sz w:val="20"/>
              </w:rPr>
              <w:t>Capitalized interest</w:t>
            </w:r>
          </w:p>
        </w:tc>
        <w:tc>
          <w:tcPr>
            <w:tcW w:w="1537" w:type="dxa"/>
          </w:tcPr>
          <w:p>
            <w:pPr>
              <w:pStyle w:val="TableParagraph"/>
              <w:spacing w:line="227" w:lineRule="exact"/>
              <w:rPr>
                <w:sz w:val="20"/>
              </w:rPr>
            </w:pPr>
            <w:r>
              <w:rPr>
                <w:sz w:val="20"/>
              </w:rPr>
              <w:t>(31,371)</w:t>
            </w:r>
          </w:p>
        </w:tc>
        <w:tc>
          <w:tcPr>
            <w:tcW w:w="1440" w:type="dxa"/>
          </w:tcPr>
          <w:p>
            <w:pPr>
              <w:pStyle w:val="TableParagraph"/>
              <w:spacing w:line="227" w:lineRule="exact"/>
              <w:rPr>
                <w:sz w:val="20"/>
              </w:rPr>
            </w:pPr>
            <w:r>
              <w:rPr>
                <w:sz w:val="20"/>
              </w:rPr>
              <w:t>(26,323)</w:t>
            </w:r>
          </w:p>
        </w:tc>
        <w:tc>
          <w:tcPr>
            <w:tcW w:w="1490" w:type="dxa"/>
          </w:tcPr>
          <w:p>
            <w:pPr>
              <w:pStyle w:val="TableParagraph"/>
              <w:spacing w:line="227" w:lineRule="exact"/>
              <w:ind w:right="48"/>
              <w:rPr>
                <w:sz w:val="20"/>
              </w:rPr>
            </w:pPr>
            <w:r>
              <w:rPr>
                <w:sz w:val="20"/>
              </w:rPr>
              <w:t>(17,770)</w:t>
            </w:r>
          </w:p>
        </w:tc>
      </w:tr>
      <w:tr>
        <w:trPr>
          <w:trHeight w:val="230" w:hRule="exact"/>
        </w:trPr>
        <w:tc>
          <w:tcPr>
            <w:tcW w:w="4694" w:type="dxa"/>
          </w:tcPr>
          <w:p>
            <w:pPr>
              <w:pStyle w:val="TableParagraph"/>
              <w:spacing w:line="227" w:lineRule="exact"/>
              <w:ind w:left="50"/>
              <w:jc w:val="left"/>
              <w:rPr>
                <w:sz w:val="20"/>
              </w:rPr>
            </w:pPr>
            <w:r>
              <w:rPr>
                <w:sz w:val="20"/>
              </w:rPr>
              <w:t>Interest income</w:t>
            </w:r>
          </w:p>
        </w:tc>
        <w:tc>
          <w:tcPr>
            <w:tcW w:w="1537" w:type="dxa"/>
          </w:tcPr>
          <w:p>
            <w:pPr>
              <w:pStyle w:val="TableParagraph"/>
              <w:spacing w:line="227" w:lineRule="exact"/>
              <w:rPr>
                <w:sz w:val="20"/>
              </w:rPr>
            </w:pPr>
            <w:r>
              <w:rPr>
                <w:sz w:val="20"/>
              </w:rPr>
              <w:t>(20,095)</w:t>
            </w:r>
          </w:p>
        </w:tc>
        <w:tc>
          <w:tcPr>
            <w:tcW w:w="1440" w:type="dxa"/>
          </w:tcPr>
          <w:p>
            <w:pPr>
              <w:pStyle w:val="TableParagraph"/>
              <w:spacing w:line="227" w:lineRule="exact"/>
              <w:rPr>
                <w:sz w:val="20"/>
              </w:rPr>
            </w:pPr>
            <w:r>
              <w:rPr>
                <w:sz w:val="20"/>
              </w:rPr>
              <w:t>(9,166)</w:t>
            </w:r>
          </w:p>
        </w:tc>
        <w:tc>
          <w:tcPr>
            <w:tcW w:w="1490" w:type="dxa"/>
          </w:tcPr>
          <w:p>
            <w:pPr>
              <w:pStyle w:val="TableParagraph"/>
              <w:spacing w:line="227" w:lineRule="exact"/>
              <w:ind w:right="48"/>
              <w:rPr>
                <w:sz w:val="20"/>
              </w:rPr>
            </w:pPr>
            <w:r>
              <w:rPr>
                <w:sz w:val="20"/>
              </w:rPr>
              <w:t>(11,093)</w:t>
            </w:r>
          </w:p>
        </w:tc>
      </w:tr>
      <w:tr>
        <w:trPr>
          <w:trHeight w:val="230" w:hRule="exact"/>
        </w:trPr>
        <w:tc>
          <w:tcPr>
            <w:tcW w:w="4694" w:type="dxa"/>
          </w:tcPr>
          <w:p>
            <w:pPr>
              <w:pStyle w:val="TableParagraph"/>
              <w:spacing w:line="227" w:lineRule="exact"/>
              <w:ind w:left="50"/>
              <w:jc w:val="left"/>
              <w:rPr>
                <w:sz w:val="20"/>
              </w:rPr>
            </w:pPr>
            <w:r>
              <w:rPr>
                <w:sz w:val="20"/>
              </w:rPr>
              <w:t>Nonoperating (gains) losses, net</w:t>
            </w:r>
          </w:p>
        </w:tc>
        <w:tc>
          <w:tcPr>
            <w:tcW w:w="1537" w:type="dxa"/>
          </w:tcPr>
          <w:p>
            <w:pPr>
              <w:pStyle w:val="TableParagraph"/>
              <w:spacing w:line="227" w:lineRule="exact"/>
              <w:ind w:right="1"/>
              <w:rPr>
                <w:sz w:val="20"/>
              </w:rPr>
            </w:pPr>
            <w:r>
              <w:rPr>
                <w:sz w:val="20"/>
                <w:u w:val="single"/>
              </w:rPr>
              <w:t>1,047</w:t>
            </w:r>
          </w:p>
        </w:tc>
        <w:tc>
          <w:tcPr>
            <w:tcW w:w="1440" w:type="dxa"/>
          </w:tcPr>
          <w:p>
            <w:pPr>
              <w:pStyle w:val="TableParagraph"/>
              <w:spacing w:line="227" w:lineRule="exact"/>
              <w:rPr>
                <w:sz w:val="20"/>
              </w:rPr>
            </w:pPr>
            <w:r>
              <w:rPr>
                <w:sz w:val="20"/>
                <w:u w:val="single"/>
              </w:rPr>
              <w:t>(693)</w:t>
            </w:r>
          </w:p>
        </w:tc>
        <w:tc>
          <w:tcPr>
            <w:tcW w:w="1490" w:type="dxa"/>
          </w:tcPr>
          <w:p>
            <w:pPr>
              <w:pStyle w:val="TableParagraph"/>
              <w:spacing w:line="227" w:lineRule="exact"/>
              <w:ind w:right="51"/>
              <w:rPr>
                <w:sz w:val="20"/>
              </w:rPr>
            </w:pPr>
            <w:r>
              <w:rPr>
                <w:sz w:val="20"/>
                <w:u w:val="single"/>
              </w:rPr>
              <w:t>2,739</w:t>
            </w:r>
          </w:p>
        </w:tc>
      </w:tr>
      <w:tr>
        <w:trPr>
          <w:trHeight w:val="1037" w:hRule="exact"/>
        </w:trPr>
        <w:tc>
          <w:tcPr>
            <w:tcW w:w="4694" w:type="dxa"/>
          </w:tcPr>
          <w:p>
            <w:pPr>
              <w:pStyle w:val="TableParagraph"/>
              <w:spacing w:line="227" w:lineRule="exact"/>
              <w:ind w:left="50"/>
              <w:jc w:val="left"/>
              <w:rPr>
                <w:sz w:val="20"/>
              </w:rPr>
            </w:pPr>
            <w:r>
              <w:rPr>
                <w:sz w:val="20"/>
              </w:rPr>
              <w:t>Total other expenses</w:t>
            </w:r>
          </w:p>
          <w:p>
            <w:pPr>
              <w:pStyle w:val="TableParagraph"/>
              <w:ind w:left="50"/>
              <w:jc w:val="left"/>
              <w:rPr>
                <w:sz w:val="20"/>
              </w:rPr>
            </w:pPr>
            <w:r>
              <w:rPr>
                <w:sz w:val="20"/>
              </w:rPr>
              <w:t>INCOME BEFORE INCOME TAXES AND CUMULATIVE EFFECT OF ACCOUNTING CHANGES</w:t>
            </w:r>
          </w:p>
        </w:tc>
        <w:tc>
          <w:tcPr>
            <w:tcW w:w="1537" w:type="dxa"/>
          </w:tcPr>
          <w:p>
            <w:pPr>
              <w:pStyle w:val="TableParagraph"/>
              <w:spacing w:line="227" w:lineRule="exact"/>
              <w:ind w:right="1"/>
              <w:rPr>
                <w:sz w:val="20"/>
              </w:rPr>
            </w:pPr>
            <w:r>
              <w:rPr>
                <w:sz w:val="20"/>
                <w:u w:val="single"/>
              </w:rPr>
              <w:t>8,391</w:t>
            </w:r>
          </w:p>
          <w:p>
            <w:pPr>
              <w:pStyle w:val="TableParagraph"/>
              <w:jc w:val="left"/>
              <w:rPr>
                <w:rFonts w:ascii="Times New Roman"/>
                <w:sz w:val="22"/>
              </w:rPr>
            </w:pPr>
          </w:p>
          <w:p>
            <w:pPr>
              <w:pStyle w:val="TableParagraph"/>
              <w:spacing w:before="1"/>
              <w:jc w:val="left"/>
              <w:rPr>
                <w:rFonts w:ascii="Times New Roman"/>
                <w:sz w:val="18"/>
              </w:rPr>
            </w:pPr>
          </w:p>
          <w:p>
            <w:pPr>
              <w:pStyle w:val="TableParagraph"/>
              <w:ind w:right="1"/>
              <w:rPr>
                <w:sz w:val="20"/>
              </w:rPr>
            </w:pPr>
            <w:r>
              <w:rPr>
                <w:sz w:val="20"/>
              </w:rPr>
              <w:t>305,140</w:t>
            </w:r>
          </w:p>
        </w:tc>
        <w:tc>
          <w:tcPr>
            <w:tcW w:w="1440" w:type="dxa"/>
          </w:tcPr>
          <w:p>
            <w:pPr>
              <w:pStyle w:val="TableParagraph"/>
              <w:spacing w:line="227" w:lineRule="exact"/>
              <w:ind w:left="822"/>
              <w:jc w:val="center"/>
              <w:rPr>
                <w:sz w:val="20"/>
              </w:rPr>
            </w:pPr>
            <w:r>
              <w:rPr>
                <w:sz w:val="20"/>
                <w:u w:val="single"/>
              </w:rPr>
              <w:t>17,186</w:t>
            </w:r>
          </w:p>
          <w:p>
            <w:pPr>
              <w:pStyle w:val="TableParagraph"/>
              <w:jc w:val="left"/>
              <w:rPr>
                <w:rFonts w:ascii="Times New Roman"/>
                <w:sz w:val="22"/>
              </w:rPr>
            </w:pPr>
          </w:p>
          <w:p>
            <w:pPr>
              <w:pStyle w:val="TableParagraph"/>
              <w:spacing w:before="1"/>
              <w:jc w:val="left"/>
              <w:rPr>
                <w:rFonts w:ascii="Times New Roman"/>
                <w:sz w:val="18"/>
              </w:rPr>
            </w:pPr>
          </w:p>
          <w:p>
            <w:pPr>
              <w:pStyle w:val="TableParagraph"/>
              <w:ind w:left="712"/>
              <w:jc w:val="center"/>
              <w:rPr>
                <w:sz w:val="20"/>
              </w:rPr>
            </w:pPr>
            <w:r>
              <w:rPr>
                <w:sz w:val="20"/>
              </w:rPr>
              <w:t>299,523</w:t>
            </w:r>
          </w:p>
        </w:tc>
        <w:tc>
          <w:tcPr>
            <w:tcW w:w="1490" w:type="dxa"/>
          </w:tcPr>
          <w:p>
            <w:pPr>
              <w:pStyle w:val="TableParagraph"/>
              <w:spacing w:line="227" w:lineRule="exact"/>
              <w:ind w:left="804" w:right="32"/>
              <w:jc w:val="center"/>
              <w:rPr>
                <w:sz w:val="20"/>
              </w:rPr>
            </w:pPr>
            <w:r>
              <w:rPr>
                <w:sz w:val="20"/>
                <w:u w:val="single"/>
              </w:rPr>
              <w:t>32,336</w:t>
            </w:r>
          </w:p>
          <w:p>
            <w:pPr>
              <w:pStyle w:val="TableParagraph"/>
              <w:jc w:val="left"/>
              <w:rPr>
                <w:rFonts w:ascii="Times New Roman"/>
                <w:sz w:val="22"/>
              </w:rPr>
            </w:pPr>
          </w:p>
          <w:p>
            <w:pPr>
              <w:pStyle w:val="TableParagraph"/>
              <w:spacing w:before="1"/>
              <w:jc w:val="left"/>
              <w:rPr>
                <w:rFonts w:ascii="Times New Roman"/>
                <w:sz w:val="18"/>
              </w:rPr>
            </w:pPr>
          </w:p>
          <w:p>
            <w:pPr>
              <w:pStyle w:val="TableParagraph"/>
              <w:ind w:left="694" w:right="32"/>
              <w:jc w:val="center"/>
              <w:rPr>
                <w:sz w:val="20"/>
              </w:rPr>
            </w:pPr>
            <w:r>
              <w:rPr>
                <w:sz w:val="20"/>
              </w:rPr>
              <w:t>259,637</w:t>
            </w:r>
          </w:p>
        </w:tc>
      </w:tr>
      <w:tr>
        <w:trPr>
          <w:trHeight w:val="346" w:hRule="exact"/>
        </w:trPr>
        <w:tc>
          <w:tcPr>
            <w:tcW w:w="4694" w:type="dxa"/>
          </w:tcPr>
          <w:p>
            <w:pPr>
              <w:pStyle w:val="TableParagraph"/>
              <w:spacing w:before="112"/>
              <w:ind w:left="50"/>
              <w:jc w:val="left"/>
              <w:rPr>
                <w:sz w:val="20"/>
              </w:rPr>
            </w:pPr>
            <w:r>
              <w:rPr>
                <w:sz w:val="20"/>
              </w:rPr>
              <w:t>PROVISION  FOR INCOME TAXES (NOTE 11)</w:t>
            </w:r>
          </w:p>
        </w:tc>
        <w:tc>
          <w:tcPr>
            <w:tcW w:w="1537" w:type="dxa"/>
          </w:tcPr>
          <w:p>
            <w:pPr>
              <w:pStyle w:val="TableParagraph"/>
              <w:spacing w:before="112"/>
              <w:ind w:right="1"/>
              <w:rPr>
                <w:sz w:val="20"/>
              </w:rPr>
            </w:pPr>
            <w:r>
              <w:rPr>
                <w:sz w:val="20"/>
                <w:u w:val="single"/>
              </w:rPr>
              <w:t>122,514</w:t>
            </w:r>
          </w:p>
        </w:tc>
        <w:tc>
          <w:tcPr>
            <w:tcW w:w="1440" w:type="dxa"/>
          </w:tcPr>
          <w:p>
            <w:pPr>
              <w:pStyle w:val="TableParagraph"/>
              <w:spacing w:before="112"/>
              <w:ind w:right="1"/>
              <w:rPr>
                <w:sz w:val="20"/>
              </w:rPr>
            </w:pPr>
            <w:r>
              <w:rPr>
                <w:sz w:val="20"/>
                <w:u w:val="single"/>
              </w:rPr>
              <w:t>120,192</w:t>
            </w:r>
          </w:p>
        </w:tc>
        <w:tc>
          <w:tcPr>
            <w:tcW w:w="1490" w:type="dxa"/>
          </w:tcPr>
          <w:p>
            <w:pPr>
              <w:pStyle w:val="TableParagraph"/>
              <w:spacing w:before="112"/>
              <w:ind w:right="51"/>
              <w:rPr>
                <w:sz w:val="20"/>
              </w:rPr>
            </w:pPr>
            <w:r>
              <w:rPr>
                <w:sz w:val="20"/>
                <w:u w:val="single"/>
              </w:rPr>
              <w:t>105,353</w:t>
            </w:r>
          </w:p>
        </w:tc>
      </w:tr>
      <w:tr>
        <w:trPr>
          <w:trHeight w:val="461" w:hRule="exact"/>
        </w:trPr>
        <w:tc>
          <w:tcPr>
            <w:tcW w:w="4694" w:type="dxa"/>
          </w:tcPr>
          <w:p>
            <w:pPr>
              <w:pStyle w:val="TableParagraph"/>
              <w:ind w:left="50" w:right="530"/>
              <w:jc w:val="left"/>
              <w:rPr>
                <w:sz w:val="20"/>
              </w:rPr>
            </w:pPr>
            <w:r>
              <w:rPr>
                <w:sz w:val="20"/>
              </w:rPr>
              <w:t>INCOME BEFORE CUMULATIVE EFFECT OF ACCOUNTING CHANGES</w:t>
            </w:r>
          </w:p>
        </w:tc>
        <w:tc>
          <w:tcPr>
            <w:tcW w:w="1537" w:type="dxa"/>
          </w:tcPr>
          <w:p>
            <w:pPr>
              <w:pStyle w:val="TableParagraph"/>
              <w:spacing w:before="9"/>
              <w:jc w:val="left"/>
              <w:rPr>
                <w:rFonts w:ascii="Times New Roman"/>
                <w:sz w:val="19"/>
              </w:rPr>
            </w:pPr>
          </w:p>
          <w:p>
            <w:pPr>
              <w:pStyle w:val="TableParagraph"/>
              <w:ind w:right="1"/>
              <w:rPr>
                <w:sz w:val="20"/>
              </w:rPr>
            </w:pPr>
            <w:r>
              <w:rPr>
                <w:sz w:val="20"/>
              </w:rPr>
              <w:t>182,626</w:t>
            </w:r>
          </w:p>
        </w:tc>
        <w:tc>
          <w:tcPr>
            <w:tcW w:w="1440" w:type="dxa"/>
          </w:tcPr>
          <w:p>
            <w:pPr>
              <w:pStyle w:val="TableParagraph"/>
              <w:spacing w:before="9"/>
              <w:jc w:val="left"/>
              <w:rPr>
                <w:rFonts w:ascii="Times New Roman"/>
                <w:sz w:val="19"/>
              </w:rPr>
            </w:pPr>
          </w:p>
          <w:p>
            <w:pPr>
              <w:pStyle w:val="TableParagraph"/>
              <w:ind w:right="1"/>
              <w:rPr>
                <w:sz w:val="20"/>
              </w:rPr>
            </w:pPr>
            <w:r>
              <w:rPr>
                <w:sz w:val="20"/>
              </w:rPr>
              <w:t>179,331</w:t>
            </w:r>
          </w:p>
        </w:tc>
        <w:tc>
          <w:tcPr>
            <w:tcW w:w="1490" w:type="dxa"/>
          </w:tcPr>
          <w:p>
            <w:pPr>
              <w:pStyle w:val="TableParagraph"/>
              <w:spacing w:before="9"/>
              <w:jc w:val="left"/>
              <w:rPr>
                <w:rFonts w:ascii="Times New Roman"/>
                <w:sz w:val="19"/>
              </w:rPr>
            </w:pPr>
          </w:p>
          <w:p>
            <w:pPr>
              <w:pStyle w:val="TableParagraph"/>
              <w:ind w:right="51"/>
              <w:rPr>
                <w:sz w:val="20"/>
              </w:rPr>
            </w:pPr>
            <w:r>
              <w:rPr>
                <w:sz w:val="20"/>
              </w:rPr>
              <w:t>154,284</w:t>
            </w:r>
          </w:p>
        </w:tc>
      </w:tr>
      <w:tr>
        <w:trPr>
          <w:trHeight w:val="458" w:hRule="exact"/>
        </w:trPr>
        <w:tc>
          <w:tcPr>
            <w:tcW w:w="4694" w:type="dxa"/>
          </w:tcPr>
          <w:p>
            <w:pPr>
              <w:pStyle w:val="TableParagraph"/>
              <w:ind w:left="50"/>
              <w:jc w:val="left"/>
              <w:rPr>
                <w:sz w:val="20"/>
              </w:rPr>
            </w:pPr>
            <w:r>
              <w:rPr>
                <w:sz w:val="20"/>
              </w:rPr>
              <w:t>CUMULATIVE EFFECT OF ACCOUNTING CHANGES (NOTE 3)</w:t>
            </w:r>
          </w:p>
        </w:tc>
        <w:tc>
          <w:tcPr>
            <w:tcW w:w="1537" w:type="dxa"/>
          </w:tcPr>
          <w:p>
            <w:pPr>
              <w:pStyle w:val="TableParagraph"/>
              <w:spacing w:before="9"/>
              <w:jc w:val="left"/>
              <w:rPr>
                <w:rFonts w:ascii="Times New Roman"/>
                <w:sz w:val="19"/>
              </w:rPr>
            </w:pPr>
          </w:p>
          <w:p>
            <w:pPr>
              <w:pStyle w:val="TableParagraph"/>
              <w:ind w:right="2"/>
              <w:rPr>
                <w:sz w:val="20"/>
              </w:rPr>
            </w:pPr>
            <w:r>
              <w:rPr>
                <w:w w:val="100"/>
                <w:sz w:val="20"/>
              </w:rPr>
              <w:t>-</w:t>
            </w:r>
          </w:p>
        </w:tc>
        <w:tc>
          <w:tcPr>
            <w:tcW w:w="1440" w:type="dxa"/>
          </w:tcPr>
          <w:p>
            <w:pPr>
              <w:pStyle w:val="TableParagraph"/>
              <w:spacing w:before="9"/>
              <w:jc w:val="left"/>
              <w:rPr>
                <w:rFonts w:ascii="Times New Roman"/>
                <w:sz w:val="19"/>
              </w:rPr>
            </w:pPr>
          </w:p>
          <w:p>
            <w:pPr>
              <w:pStyle w:val="TableParagraph"/>
              <w:ind w:right="2"/>
              <w:rPr>
                <w:sz w:val="20"/>
              </w:rPr>
            </w:pPr>
            <w:r>
              <w:rPr>
                <w:w w:val="100"/>
                <w:sz w:val="20"/>
              </w:rPr>
              <w:t>-</w:t>
            </w:r>
          </w:p>
        </w:tc>
        <w:tc>
          <w:tcPr>
            <w:tcW w:w="1490" w:type="dxa"/>
          </w:tcPr>
          <w:p>
            <w:pPr>
              <w:pStyle w:val="TableParagraph"/>
              <w:spacing w:before="9"/>
              <w:jc w:val="left"/>
              <w:rPr>
                <w:rFonts w:ascii="Times New Roman"/>
                <w:sz w:val="19"/>
              </w:rPr>
            </w:pPr>
          </w:p>
          <w:p>
            <w:pPr>
              <w:pStyle w:val="TableParagraph"/>
              <w:ind w:right="51"/>
              <w:rPr>
                <w:sz w:val="20"/>
              </w:rPr>
            </w:pPr>
            <w:r>
              <w:rPr>
                <w:sz w:val="20"/>
                <w:u w:val="single"/>
              </w:rPr>
              <w:t>15,259</w:t>
            </w:r>
          </w:p>
        </w:tc>
      </w:tr>
      <w:tr>
        <w:trPr>
          <w:trHeight w:val="348" w:hRule="exact"/>
        </w:trPr>
        <w:tc>
          <w:tcPr>
            <w:tcW w:w="4694" w:type="dxa"/>
          </w:tcPr>
          <w:p>
            <w:pPr>
              <w:pStyle w:val="TableParagraph"/>
              <w:ind w:left="50"/>
              <w:jc w:val="left"/>
              <w:rPr>
                <w:sz w:val="20"/>
              </w:rPr>
            </w:pPr>
            <w:r>
              <w:rPr>
                <w:sz w:val="20"/>
              </w:rPr>
              <w:t>NET INCOME</w:t>
            </w:r>
          </w:p>
        </w:tc>
        <w:tc>
          <w:tcPr>
            <w:tcW w:w="1537" w:type="dxa"/>
          </w:tcPr>
          <w:p>
            <w:pPr>
              <w:pStyle w:val="TableParagraph"/>
              <w:spacing w:before="16"/>
              <w:ind w:right="1"/>
              <w:rPr>
                <w:sz w:val="20"/>
              </w:rPr>
            </w:pPr>
            <w:r>
              <w:rPr>
                <w:sz w:val="20"/>
                <w:u w:val="single"/>
              </w:rPr>
              <w:t>$182,626</w:t>
            </w:r>
          </w:p>
        </w:tc>
        <w:tc>
          <w:tcPr>
            <w:tcW w:w="1440" w:type="dxa"/>
          </w:tcPr>
          <w:p>
            <w:pPr>
              <w:pStyle w:val="TableParagraph"/>
              <w:spacing w:before="16"/>
              <w:ind w:right="1"/>
              <w:rPr>
                <w:sz w:val="20"/>
              </w:rPr>
            </w:pPr>
            <w:r>
              <w:rPr>
                <w:sz w:val="20"/>
                <w:u w:val="single"/>
              </w:rPr>
              <w:t>$179,331</w:t>
            </w:r>
          </w:p>
        </w:tc>
        <w:tc>
          <w:tcPr>
            <w:tcW w:w="1490" w:type="dxa"/>
          </w:tcPr>
          <w:p>
            <w:pPr>
              <w:pStyle w:val="TableParagraph"/>
              <w:ind w:right="51"/>
              <w:rPr>
                <w:sz w:val="20"/>
              </w:rPr>
            </w:pPr>
            <w:r>
              <w:rPr>
                <w:sz w:val="20"/>
                <w:u w:val="single"/>
              </w:rPr>
              <w:t>$169,543</w:t>
            </w:r>
          </w:p>
        </w:tc>
      </w:tr>
      <w:tr>
        <w:trPr>
          <w:trHeight w:val="806" w:hRule="exact"/>
        </w:trPr>
        <w:tc>
          <w:tcPr>
            <w:tcW w:w="4694" w:type="dxa"/>
          </w:tcPr>
          <w:p>
            <w:pPr>
              <w:pStyle w:val="TableParagraph"/>
              <w:spacing w:before="112"/>
              <w:ind w:left="50"/>
              <w:jc w:val="left"/>
              <w:rPr>
                <w:sz w:val="20"/>
              </w:rPr>
            </w:pPr>
            <w:r>
              <w:rPr>
                <w:sz w:val="20"/>
              </w:rPr>
              <w:t>PER SHARE AMOUNTS (NOTES 3, 8, AND  12):</w:t>
            </w:r>
          </w:p>
          <w:p>
            <w:pPr>
              <w:pStyle w:val="TableParagraph"/>
              <w:ind w:left="50"/>
              <w:jc w:val="left"/>
              <w:rPr>
                <w:sz w:val="20"/>
              </w:rPr>
            </w:pPr>
            <w:r>
              <w:rPr>
                <w:sz w:val="20"/>
              </w:rPr>
              <w:t>Income before cumulative effect of accounting changes</w:t>
            </w:r>
          </w:p>
        </w:tc>
        <w:tc>
          <w:tcPr>
            <w:tcW w:w="1537"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1"/>
              <w:rPr>
                <w:sz w:val="20"/>
              </w:rPr>
            </w:pPr>
            <w:r>
              <w:rPr>
                <w:sz w:val="20"/>
              </w:rPr>
              <w:t>$1.23</w:t>
            </w:r>
          </w:p>
        </w:tc>
        <w:tc>
          <w:tcPr>
            <w:tcW w:w="1440"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1"/>
              <w:rPr>
                <w:sz w:val="20"/>
              </w:rPr>
            </w:pPr>
            <w:r>
              <w:rPr>
                <w:sz w:val="20"/>
              </w:rPr>
              <w:t>$ 1.22</w:t>
            </w:r>
          </w:p>
        </w:tc>
        <w:tc>
          <w:tcPr>
            <w:tcW w:w="1490" w:type="dxa"/>
          </w:tcPr>
          <w:p>
            <w:pPr>
              <w:pStyle w:val="TableParagraph"/>
              <w:jc w:val="left"/>
              <w:rPr>
                <w:rFonts w:ascii="Times New Roman"/>
                <w:sz w:val="22"/>
              </w:rPr>
            </w:pPr>
          </w:p>
          <w:p>
            <w:pPr>
              <w:pStyle w:val="TableParagraph"/>
              <w:spacing w:before="10"/>
              <w:jc w:val="left"/>
              <w:rPr>
                <w:rFonts w:ascii="Times New Roman"/>
                <w:sz w:val="27"/>
              </w:rPr>
            </w:pPr>
          </w:p>
          <w:p>
            <w:pPr>
              <w:pStyle w:val="TableParagraph"/>
              <w:ind w:right="51"/>
              <w:rPr>
                <w:sz w:val="20"/>
              </w:rPr>
            </w:pPr>
            <w:r>
              <w:rPr>
                <w:sz w:val="20"/>
              </w:rPr>
              <w:t>$1.05</w:t>
            </w:r>
          </w:p>
        </w:tc>
      </w:tr>
      <w:tr>
        <w:trPr>
          <w:trHeight w:val="228" w:hRule="exact"/>
        </w:trPr>
        <w:tc>
          <w:tcPr>
            <w:tcW w:w="4694" w:type="dxa"/>
          </w:tcPr>
          <w:p>
            <w:pPr>
              <w:pStyle w:val="TableParagraph"/>
              <w:spacing w:line="227" w:lineRule="exact"/>
              <w:ind w:left="50"/>
              <w:jc w:val="left"/>
              <w:rPr>
                <w:sz w:val="20"/>
              </w:rPr>
            </w:pPr>
            <w:r>
              <w:rPr>
                <w:sz w:val="20"/>
              </w:rPr>
              <w:t>Cumulative effect of accounting changes</w:t>
            </w:r>
          </w:p>
        </w:tc>
        <w:tc>
          <w:tcPr>
            <w:tcW w:w="1537"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2"/>
              <w:rPr>
                <w:sz w:val="20"/>
              </w:rPr>
            </w:pPr>
            <w:r>
              <w:rPr>
                <w:sz w:val="20"/>
                <w:u w:val="single"/>
              </w:rPr>
              <w:t>.10</w:t>
            </w:r>
          </w:p>
        </w:tc>
      </w:tr>
      <w:tr>
        <w:trPr>
          <w:trHeight w:val="230" w:hRule="exact"/>
        </w:trPr>
        <w:tc>
          <w:tcPr>
            <w:tcW w:w="4694" w:type="dxa"/>
          </w:tcPr>
          <w:p>
            <w:pPr>
              <w:pStyle w:val="TableParagraph"/>
              <w:ind w:left="50"/>
              <w:jc w:val="left"/>
              <w:rPr>
                <w:sz w:val="20"/>
              </w:rPr>
            </w:pPr>
            <w:r>
              <w:rPr>
                <w:sz w:val="20"/>
              </w:rPr>
              <w:t>Net income</w:t>
            </w:r>
          </w:p>
        </w:tc>
        <w:tc>
          <w:tcPr>
            <w:tcW w:w="1537" w:type="dxa"/>
          </w:tcPr>
          <w:p>
            <w:pPr>
              <w:pStyle w:val="TableParagraph"/>
              <w:spacing w:before="16"/>
              <w:ind w:right="1"/>
              <w:rPr>
                <w:sz w:val="20"/>
              </w:rPr>
            </w:pPr>
            <w:r>
              <w:rPr>
                <w:sz w:val="20"/>
                <w:u w:val="single"/>
              </w:rPr>
              <w:t>$1.23</w:t>
            </w:r>
          </w:p>
        </w:tc>
        <w:tc>
          <w:tcPr>
            <w:tcW w:w="1440" w:type="dxa"/>
          </w:tcPr>
          <w:p>
            <w:pPr>
              <w:pStyle w:val="TableParagraph"/>
              <w:spacing w:before="16"/>
              <w:ind w:right="1"/>
              <w:rPr>
                <w:sz w:val="20"/>
              </w:rPr>
            </w:pPr>
            <w:r>
              <w:rPr>
                <w:sz w:val="20"/>
                <w:u w:val="single"/>
              </w:rPr>
              <w:t>$1.22</w:t>
            </w:r>
          </w:p>
        </w:tc>
        <w:tc>
          <w:tcPr>
            <w:tcW w:w="1490" w:type="dxa"/>
          </w:tcPr>
          <w:p>
            <w:pPr>
              <w:pStyle w:val="TableParagraph"/>
              <w:ind w:right="51"/>
              <w:rPr>
                <w:sz w:val="20"/>
              </w:rPr>
            </w:pPr>
            <w:r>
              <w:rPr>
                <w:sz w:val="20"/>
                <w:u w:val="single"/>
              </w:rPr>
              <w:t>$1.15</w:t>
            </w:r>
          </w:p>
        </w:tc>
      </w:tr>
    </w:tbl>
    <w:p>
      <w:pPr>
        <w:spacing w:after="0"/>
        <w:rPr>
          <w:sz w:val="20"/>
        </w:rPr>
        <w:sectPr>
          <w:pgSz w:w="12240" w:h="15840"/>
          <w:pgMar w:header="0" w:footer="730" w:top="1440" w:bottom="980" w:left="1640" w:right="1220"/>
        </w:sectPr>
      </w:pPr>
    </w:p>
    <w:p>
      <w:pPr>
        <w:pStyle w:val="Heading2"/>
        <w:spacing w:before="84"/>
        <w:ind w:left="160"/>
      </w:pPr>
      <w:r>
        <w:rPr/>
        <w:t>CONSOLIDATED STATEMENT OF STOCKHOLDERS’  EQUITY</w:t>
      </w:r>
    </w:p>
    <w:p>
      <w:pPr>
        <w:pStyle w:val="BodyText"/>
        <w:spacing w:before="10"/>
        <w:rPr>
          <w:b/>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43"/>
        <w:gridCol w:w="1369"/>
        <w:gridCol w:w="1444"/>
        <w:gridCol w:w="1658"/>
        <w:gridCol w:w="1271"/>
      </w:tblGrid>
      <w:tr>
        <w:trPr>
          <w:trHeight w:val="458" w:hRule="exact"/>
        </w:trPr>
        <w:tc>
          <w:tcPr>
            <w:tcW w:w="2843" w:type="dxa"/>
          </w:tcPr>
          <w:p>
            <w:pPr>
              <w:pStyle w:val="TableParagraph"/>
              <w:ind w:left="50" w:right="583"/>
              <w:jc w:val="left"/>
              <w:rPr>
                <w:sz w:val="20"/>
              </w:rPr>
            </w:pPr>
            <w:r>
              <w:rPr>
                <w:sz w:val="20"/>
              </w:rPr>
              <w:t>(in thousands except per share amounts)</w:t>
            </w:r>
          </w:p>
        </w:tc>
        <w:tc>
          <w:tcPr>
            <w:tcW w:w="1369" w:type="dxa"/>
          </w:tcPr>
          <w:p>
            <w:pPr>
              <w:pStyle w:val="TableParagraph"/>
              <w:ind w:left="96" w:right="-4" w:firstLine="52"/>
              <w:jc w:val="left"/>
              <w:rPr>
                <w:sz w:val="20"/>
              </w:rPr>
            </w:pPr>
            <w:r>
              <w:rPr>
                <w:sz w:val="20"/>
              </w:rPr>
              <w:t>Years Ended December 31,</w:t>
            </w:r>
          </w:p>
        </w:tc>
        <w:tc>
          <w:tcPr>
            <w:tcW w:w="1444" w:type="dxa"/>
          </w:tcPr>
          <w:p>
            <w:pPr/>
          </w:p>
        </w:tc>
        <w:tc>
          <w:tcPr>
            <w:tcW w:w="2929" w:type="dxa"/>
            <w:gridSpan w:val="2"/>
            <w:vMerge w:val="restart"/>
          </w:tcPr>
          <w:p>
            <w:pPr/>
          </w:p>
        </w:tc>
      </w:tr>
      <w:tr>
        <w:trPr>
          <w:trHeight w:val="691" w:hRule="exact"/>
        </w:trPr>
        <w:tc>
          <w:tcPr>
            <w:tcW w:w="2843" w:type="dxa"/>
          </w:tcPr>
          <w:p>
            <w:pPr/>
          </w:p>
        </w:tc>
        <w:tc>
          <w:tcPr>
            <w:tcW w:w="1369" w:type="dxa"/>
          </w:tcPr>
          <w:p>
            <w:pPr>
              <w:pStyle w:val="TableParagraph"/>
              <w:spacing w:line="227" w:lineRule="exact"/>
              <w:ind w:left="176" w:right="95"/>
              <w:jc w:val="center"/>
              <w:rPr>
                <w:sz w:val="20"/>
              </w:rPr>
            </w:pPr>
            <w:r>
              <w:rPr>
                <w:sz w:val="20"/>
              </w:rPr>
              <w:t>1995, 1994,</w:t>
            </w:r>
          </w:p>
          <w:p>
            <w:pPr>
              <w:pStyle w:val="TableParagraph"/>
              <w:ind w:left="176" w:right="95"/>
              <w:jc w:val="center"/>
              <w:rPr>
                <w:sz w:val="20"/>
              </w:rPr>
            </w:pPr>
            <w:r>
              <w:rPr>
                <w:sz w:val="20"/>
              </w:rPr>
              <w:t>And 1993</w:t>
            </w:r>
          </w:p>
        </w:tc>
        <w:tc>
          <w:tcPr>
            <w:tcW w:w="1444" w:type="dxa"/>
          </w:tcPr>
          <w:p>
            <w:pPr>
              <w:pStyle w:val="TableParagraph"/>
              <w:jc w:val="left"/>
              <w:rPr>
                <w:b/>
                <w:sz w:val="22"/>
              </w:rPr>
            </w:pPr>
          </w:p>
          <w:p>
            <w:pPr>
              <w:pStyle w:val="TableParagraph"/>
              <w:spacing w:before="9"/>
              <w:jc w:val="left"/>
              <w:rPr>
                <w:b/>
                <w:sz w:val="17"/>
              </w:rPr>
            </w:pPr>
          </w:p>
          <w:p>
            <w:pPr>
              <w:pStyle w:val="TableParagraph"/>
              <w:spacing w:before="1"/>
              <w:ind w:left="484"/>
              <w:jc w:val="left"/>
              <w:rPr>
                <w:sz w:val="20"/>
              </w:rPr>
            </w:pPr>
            <w:r>
              <w:rPr>
                <w:sz w:val="20"/>
              </w:rPr>
              <w:t>Capital</w:t>
            </w:r>
          </w:p>
        </w:tc>
        <w:tc>
          <w:tcPr>
            <w:tcW w:w="2929" w:type="dxa"/>
            <w:gridSpan w:val="2"/>
            <w:vMerge/>
          </w:tcPr>
          <w:p>
            <w:pPr/>
          </w:p>
        </w:tc>
      </w:tr>
      <w:tr>
        <w:trPr>
          <w:trHeight w:val="461" w:hRule="exact"/>
        </w:trPr>
        <w:tc>
          <w:tcPr>
            <w:tcW w:w="2843" w:type="dxa"/>
          </w:tcPr>
          <w:p>
            <w:pPr/>
          </w:p>
        </w:tc>
        <w:tc>
          <w:tcPr>
            <w:tcW w:w="1369" w:type="dxa"/>
          </w:tcPr>
          <w:p>
            <w:pPr>
              <w:pStyle w:val="TableParagraph"/>
              <w:ind w:left="494" w:right="221" w:hanging="178"/>
              <w:jc w:val="left"/>
              <w:rPr>
                <w:sz w:val="20"/>
              </w:rPr>
            </w:pPr>
            <w:r>
              <w:rPr>
                <w:sz w:val="20"/>
              </w:rPr>
              <w:t>Common stock</w:t>
            </w:r>
          </w:p>
        </w:tc>
        <w:tc>
          <w:tcPr>
            <w:tcW w:w="1444" w:type="dxa"/>
          </w:tcPr>
          <w:p>
            <w:pPr>
              <w:pStyle w:val="TableParagraph"/>
              <w:ind w:left="378" w:right="105" w:hanging="116"/>
              <w:jc w:val="left"/>
              <w:rPr>
                <w:sz w:val="20"/>
              </w:rPr>
            </w:pPr>
            <w:r>
              <w:rPr>
                <w:sz w:val="20"/>
              </w:rPr>
              <w:t>in excess of par value</w:t>
            </w:r>
          </w:p>
        </w:tc>
        <w:tc>
          <w:tcPr>
            <w:tcW w:w="1658" w:type="dxa"/>
          </w:tcPr>
          <w:p>
            <w:pPr>
              <w:pStyle w:val="TableParagraph"/>
              <w:ind w:left="413" w:right="444" w:hanging="20"/>
              <w:jc w:val="left"/>
              <w:rPr>
                <w:sz w:val="20"/>
              </w:rPr>
            </w:pPr>
            <w:r>
              <w:rPr>
                <w:sz w:val="20"/>
              </w:rPr>
              <w:t>Retained earnings</w:t>
            </w:r>
          </w:p>
        </w:tc>
        <w:tc>
          <w:tcPr>
            <w:tcW w:w="1271" w:type="dxa"/>
          </w:tcPr>
          <w:p>
            <w:pPr>
              <w:pStyle w:val="TableParagraph"/>
              <w:spacing w:before="9"/>
              <w:jc w:val="left"/>
              <w:rPr>
                <w:b/>
                <w:sz w:val="19"/>
              </w:rPr>
            </w:pPr>
          </w:p>
          <w:p>
            <w:pPr>
              <w:pStyle w:val="TableParagraph"/>
              <w:ind w:left="348"/>
              <w:jc w:val="left"/>
              <w:rPr>
                <w:sz w:val="20"/>
              </w:rPr>
            </w:pPr>
            <w:r>
              <w:rPr>
                <w:sz w:val="20"/>
              </w:rPr>
              <w:t>Total</w:t>
            </w:r>
          </w:p>
        </w:tc>
      </w:tr>
      <w:tr>
        <w:trPr>
          <w:trHeight w:val="230" w:hRule="exact"/>
        </w:trPr>
        <w:tc>
          <w:tcPr>
            <w:tcW w:w="2843" w:type="dxa"/>
          </w:tcPr>
          <w:p>
            <w:pPr>
              <w:pStyle w:val="TableParagraph"/>
              <w:spacing w:line="227" w:lineRule="exact"/>
              <w:ind w:left="50"/>
              <w:jc w:val="left"/>
              <w:rPr>
                <w:sz w:val="20"/>
              </w:rPr>
            </w:pPr>
            <w:r>
              <w:rPr>
                <w:sz w:val="20"/>
              </w:rPr>
              <w:t>Balance at December 31,</w:t>
            </w:r>
          </w:p>
        </w:tc>
        <w:tc>
          <w:tcPr>
            <w:tcW w:w="1369" w:type="dxa"/>
          </w:tcPr>
          <w:p>
            <w:pPr>
              <w:pStyle w:val="TableParagraph"/>
              <w:spacing w:line="227" w:lineRule="exact"/>
              <w:rPr>
                <w:sz w:val="20"/>
              </w:rPr>
            </w:pPr>
            <w:r>
              <w:rPr>
                <w:sz w:val="20"/>
              </w:rPr>
              <w:t>$96,047</w:t>
            </w:r>
          </w:p>
        </w:tc>
        <w:tc>
          <w:tcPr>
            <w:tcW w:w="1444" w:type="dxa"/>
          </w:tcPr>
          <w:p>
            <w:pPr>
              <w:pStyle w:val="TableParagraph"/>
              <w:spacing w:line="227" w:lineRule="exact"/>
              <w:ind w:right="1"/>
              <w:rPr>
                <w:sz w:val="20"/>
              </w:rPr>
            </w:pPr>
            <w:r>
              <w:rPr>
                <w:sz w:val="20"/>
              </w:rPr>
              <w:t>$177,561</w:t>
            </w:r>
          </w:p>
        </w:tc>
        <w:tc>
          <w:tcPr>
            <w:tcW w:w="1658" w:type="dxa"/>
          </w:tcPr>
          <w:p>
            <w:pPr>
              <w:pStyle w:val="TableParagraph"/>
              <w:spacing w:line="227" w:lineRule="exact"/>
              <w:ind w:right="220"/>
              <w:rPr>
                <w:sz w:val="20"/>
              </w:rPr>
            </w:pPr>
            <w:r>
              <w:rPr>
                <w:sz w:val="20"/>
              </w:rPr>
              <w:t>$605,928</w:t>
            </w:r>
          </w:p>
        </w:tc>
        <w:tc>
          <w:tcPr>
            <w:tcW w:w="1271" w:type="dxa"/>
          </w:tcPr>
          <w:p>
            <w:pPr>
              <w:pStyle w:val="TableParagraph"/>
              <w:spacing w:line="227" w:lineRule="exact"/>
              <w:ind w:right="51"/>
              <w:rPr>
                <w:sz w:val="20"/>
              </w:rPr>
            </w:pPr>
            <w:r>
              <w:rPr>
                <w:sz w:val="20"/>
              </w:rPr>
              <w:t>$879,536</w:t>
            </w:r>
          </w:p>
        </w:tc>
      </w:tr>
      <w:tr>
        <w:trPr>
          <w:trHeight w:val="461" w:hRule="exact"/>
        </w:trPr>
        <w:tc>
          <w:tcPr>
            <w:tcW w:w="2843" w:type="dxa"/>
          </w:tcPr>
          <w:p>
            <w:pPr>
              <w:pStyle w:val="TableParagraph"/>
              <w:spacing w:line="227" w:lineRule="exact"/>
              <w:ind w:left="50"/>
              <w:jc w:val="left"/>
              <w:rPr>
                <w:sz w:val="20"/>
              </w:rPr>
            </w:pPr>
            <w:r>
              <w:rPr>
                <w:sz w:val="20"/>
              </w:rPr>
              <w:t>1992</w:t>
            </w:r>
          </w:p>
          <w:p>
            <w:pPr>
              <w:pStyle w:val="TableParagraph"/>
              <w:ind w:left="50"/>
              <w:jc w:val="left"/>
              <w:rPr>
                <w:sz w:val="20"/>
              </w:rPr>
            </w:pPr>
            <w:r>
              <w:rPr>
                <w:sz w:val="20"/>
              </w:rPr>
              <w:t>Three-for-two stock split (Note</w:t>
            </w:r>
          </w:p>
        </w:tc>
        <w:tc>
          <w:tcPr>
            <w:tcW w:w="1369" w:type="dxa"/>
          </w:tcPr>
          <w:p>
            <w:pPr>
              <w:pStyle w:val="TableParagraph"/>
              <w:spacing w:before="9"/>
              <w:jc w:val="left"/>
              <w:rPr>
                <w:b/>
                <w:sz w:val="19"/>
              </w:rPr>
            </w:pPr>
          </w:p>
          <w:p>
            <w:pPr>
              <w:pStyle w:val="TableParagraph"/>
              <w:rPr>
                <w:sz w:val="20"/>
              </w:rPr>
            </w:pPr>
            <w:r>
              <w:rPr>
                <w:sz w:val="20"/>
              </w:rPr>
              <w:t>46,325</w:t>
            </w:r>
          </w:p>
        </w:tc>
        <w:tc>
          <w:tcPr>
            <w:tcW w:w="1444" w:type="dxa"/>
          </w:tcPr>
          <w:p>
            <w:pPr>
              <w:pStyle w:val="TableParagraph"/>
              <w:spacing w:before="9"/>
              <w:jc w:val="left"/>
              <w:rPr>
                <w:b/>
                <w:sz w:val="19"/>
              </w:rPr>
            </w:pPr>
          </w:p>
          <w:p>
            <w:pPr>
              <w:pStyle w:val="TableParagraph"/>
              <w:rPr>
                <w:sz w:val="20"/>
              </w:rPr>
            </w:pPr>
            <w:r>
              <w:rPr>
                <w:sz w:val="20"/>
              </w:rPr>
              <w:t>(46,325)</w:t>
            </w:r>
          </w:p>
        </w:tc>
        <w:tc>
          <w:tcPr>
            <w:tcW w:w="1658" w:type="dxa"/>
          </w:tcPr>
          <w:p>
            <w:pPr>
              <w:pStyle w:val="TableParagraph"/>
              <w:spacing w:before="9"/>
              <w:jc w:val="left"/>
              <w:rPr>
                <w:b/>
                <w:sz w:val="19"/>
              </w:rPr>
            </w:pPr>
          </w:p>
          <w:p>
            <w:pPr>
              <w:pStyle w:val="TableParagraph"/>
              <w:ind w:right="220"/>
              <w:rPr>
                <w:sz w:val="20"/>
              </w:rPr>
            </w:pPr>
            <w:r>
              <w:rPr>
                <w:w w:val="100"/>
                <w:sz w:val="20"/>
              </w:rPr>
              <w:t>-</w:t>
            </w:r>
          </w:p>
        </w:tc>
        <w:tc>
          <w:tcPr>
            <w:tcW w:w="1271" w:type="dxa"/>
          </w:tcPr>
          <w:p>
            <w:pPr>
              <w:pStyle w:val="TableParagraph"/>
              <w:spacing w:before="9"/>
              <w:jc w:val="left"/>
              <w:rPr>
                <w:b/>
                <w:sz w:val="19"/>
              </w:rPr>
            </w:pPr>
          </w:p>
          <w:p>
            <w:pPr>
              <w:pStyle w:val="TableParagraph"/>
              <w:ind w:right="51"/>
              <w:rPr>
                <w:sz w:val="20"/>
              </w:rPr>
            </w:pPr>
            <w:r>
              <w:rPr>
                <w:w w:val="100"/>
                <w:sz w:val="20"/>
              </w:rPr>
              <w:t>-</w:t>
            </w:r>
          </w:p>
        </w:tc>
      </w:tr>
      <w:tr>
        <w:trPr>
          <w:trHeight w:val="1613" w:hRule="exact"/>
        </w:trPr>
        <w:tc>
          <w:tcPr>
            <w:tcW w:w="2843" w:type="dxa"/>
          </w:tcPr>
          <w:p>
            <w:pPr>
              <w:pStyle w:val="TableParagraph"/>
              <w:spacing w:line="227" w:lineRule="exact"/>
              <w:ind w:left="50"/>
              <w:jc w:val="left"/>
              <w:rPr>
                <w:sz w:val="20"/>
              </w:rPr>
            </w:pPr>
            <w:r>
              <w:rPr>
                <w:sz w:val="20"/>
              </w:rPr>
              <w:t>8)</w:t>
            </w:r>
          </w:p>
          <w:p>
            <w:pPr>
              <w:pStyle w:val="TableParagraph"/>
              <w:ind w:left="50" w:right="160"/>
              <w:jc w:val="left"/>
              <w:rPr>
                <w:sz w:val="20"/>
              </w:rPr>
            </w:pPr>
            <w:r>
              <w:rPr>
                <w:sz w:val="20"/>
              </w:rPr>
              <w:t>Issuance of common stock upon exercise of executive stock options and pursuant to Employee stock option</w:t>
            </w:r>
          </w:p>
          <w:p>
            <w:pPr>
              <w:pStyle w:val="TableParagraph"/>
              <w:ind w:left="50" w:right="160"/>
              <w:jc w:val="left"/>
              <w:rPr>
                <w:sz w:val="20"/>
              </w:rPr>
            </w:pPr>
            <w:r>
              <w:rPr>
                <w:sz w:val="20"/>
              </w:rPr>
              <w:t>and purchase plans and related tax benefit (Note 9)</w:t>
            </w:r>
          </w:p>
        </w:tc>
        <w:tc>
          <w:tcPr>
            <w:tcW w:w="1369"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rPr>
                <w:sz w:val="20"/>
              </w:rPr>
            </w:pPr>
            <w:r>
              <w:rPr>
                <w:sz w:val="20"/>
              </w:rPr>
              <w:t>384</w:t>
            </w:r>
          </w:p>
        </w:tc>
        <w:tc>
          <w:tcPr>
            <w:tcW w:w="1444"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ind w:right="1"/>
              <w:rPr>
                <w:sz w:val="20"/>
              </w:rPr>
            </w:pPr>
            <w:r>
              <w:rPr>
                <w:sz w:val="20"/>
              </w:rPr>
              <w:t>9,932</w:t>
            </w:r>
          </w:p>
        </w:tc>
        <w:tc>
          <w:tcPr>
            <w:tcW w:w="1658"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ind w:right="220"/>
              <w:rPr>
                <w:sz w:val="20"/>
              </w:rPr>
            </w:pPr>
            <w:r>
              <w:rPr>
                <w:w w:val="100"/>
                <w:sz w:val="20"/>
              </w:rPr>
              <w:t>-</w:t>
            </w:r>
          </w:p>
        </w:tc>
        <w:tc>
          <w:tcPr>
            <w:tcW w:w="1271" w:type="dxa"/>
          </w:tcPr>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32"/>
              </w:rPr>
            </w:pPr>
          </w:p>
          <w:p>
            <w:pPr>
              <w:pStyle w:val="TableParagraph"/>
              <w:ind w:right="51"/>
              <w:rPr>
                <w:sz w:val="20"/>
              </w:rPr>
            </w:pPr>
            <w:r>
              <w:rPr>
                <w:sz w:val="20"/>
              </w:rPr>
              <w:t>10,316</w:t>
            </w:r>
          </w:p>
        </w:tc>
      </w:tr>
      <w:tr>
        <w:trPr>
          <w:trHeight w:val="461" w:hRule="exact"/>
        </w:trPr>
        <w:tc>
          <w:tcPr>
            <w:tcW w:w="2843" w:type="dxa"/>
          </w:tcPr>
          <w:p>
            <w:pPr>
              <w:pStyle w:val="TableParagraph"/>
              <w:ind w:left="50" w:right="227"/>
              <w:jc w:val="left"/>
              <w:rPr>
                <w:sz w:val="20"/>
              </w:rPr>
            </w:pPr>
            <w:r>
              <w:rPr>
                <w:sz w:val="20"/>
              </w:rPr>
              <w:t>Cash dividends, $.03867 per share</w:t>
            </w:r>
          </w:p>
        </w:tc>
        <w:tc>
          <w:tcPr>
            <w:tcW w:w="1369" w:type="dxa"/>
          </w:tcPr>
          <w:p>
            <w:pPr>
              <w:pStyle w:val="TableParagraph"/>
              <w:spacing w:before="9"/>
              <w:jc w:val="left"/>
              <w:rPr>
                <w:b/>
                <w:sz w:val="19"/>
              </w:rPr>
            </w:pPr>
          </w:p>
          <w:p>
            <w:pPr>
              <w:pStyle w:val="TableParagraph"/>
              <w:rPr>
                <w:sz w:val="20"/>
              </w:rPr>
            </w:pPr>
            <w:r>
              <w:rPr>
                <w:w w:val="100"/>
                <w:sz w:val="20"/>
              </w:rPr>
              <w:t>-</w:t>
            </w:r>
          </w:p>
        </w:tc>
        <w:tc>
          <w:tcPr>
            <w:tcW w:w="1444" w:type="dxa"/>
          </w:tcPr>
          <w:p>
            <w:pPr>
              <w:pStyle w:val="TableParagraph"/>
              <w:spacing w:before="9"/>
              <w:jc w:val="left"/>
              <w:rPr>
                <w:b/>
                <w:sz w:val="19"/>
              </w:rPr>
            </w:pPr>
          </w:p>
          <w:p>
            <w:pPr>
              <w:pStyle w:val="TableParagraph"/>
              <w:ind w:right="2"/>
              <w:rPr>
                <w:sz w:val="20"/>
              </w:rPr>
            </w:pPr>
            <w:r>
              <w:rPr>
                <w:w w:val="100"/>
                <w:sz w:val="20"/>
              </w:rPr>
              <w:t>-</w:t>
            </w:r>
          </w:p>
        </w:tc>
        <w:tc>
          <w:tcPr>
            <w:tcW w:w="1658" w:type="dxa"/>
          </w:tcPr>
          <w:p>
            <w:pPr>
              <w:pStyle w:val="TableParagraph"/>
              <w:spacing w:before="9"/>
              <w:jc w:val="left"/>
              <w:rPr>
                <w:b/>
                <w:sz w:val="19"/>
              </w:rPr>
            </w:pPr>
          </w:p>
          <w:p>
            <w:pPr>
              <w:pStyle w:val="TableParagraph"/>
              <w:ind w:right="217"/>
              <w:rPr>
                <w:sz w:val="20"/>
              </w:rPr>
            </w:pPr>
            <w:r>
              <w:rPr>
                <w:sz w:val="20"/>
              </w:rPr>
              <w:t>(5,376)</w:t>
            </w:r>
          </w:p>
        </w:tc>
        <w:tc>
          <w:tcPr>
            <w:tcW w:w="1271" w:type="dxa"/>
          </w:tcPr>
          <w:p>
            <w:pPr>
              <w:pStyle w:val="TableParagraph"/>
              <w:spacing w:before="9"/>
              <w:jc w:val="left"/>
              <w:rPr>
                <w:b/>
                <w:sz w:val="19"/>
              </w:rPr>
            </w:pPr>
          </w:p>
          <w:p>
            <w:pPr>
              <w:pStyle w:val="TableParagraph"/>
              <w:ind w:right="48"/>
              <w:rPr>
                <w:sz w:val="20"/>
              </w:rPr>
            </w:pPr>
            <w:r>
              <w:rPr>
                <w:sz w:val="20"/>
              </w:rPr>
              <w:t>(5,376)</w:t>
            </w:r>
          </w:p>
        </w:tc>
      </w:tr>
      <w:tr>
        <w:trPr>
          <w:trHeight w:val="228" w:hRule="exact"/>
        </w:trPr>
        <w:tc>
          <w:tcPr>
            <w:tcW w:w="2843" w:type="dxa"/>
          </w:tcPr>
          <w:p>
            <w:pPr>
              <w:pStyle w:val="TableParagraph"/>
              <w:spacing w:line="227" w:lineRule="exact"/>
              <w:ind w:left="50"/>
              <w:jc w:val="left"/>
              <w:rPr>
                <w:sz w:val="20"/>
              </w:rPr>
            </w:pPr>
            <w:r>
              <w:rPr>
                <w:sz w:val="20"/>
              </w:rPr>
              <w:t>Net income - 1993</w:t>
            </w:r>
          </w:p>
        </w:tc>
        <w:tc>
          <w:tcPr>
            <w:tcW w:w="1369" w:type="dxa"/>
          </w:tcPr>
          <w:p>
            <w:pPr>
              <w:pStyle w:val="TableParagraph"/>
              <w:spacing w:line="227" w:lineRule="exact"/>
              <w:rPr>
                <w:sz w:val="20"/>
              </w:rPr>
            </w:pPr>
            <w:r>
              <w:rPr>
                <w:w w:val="100"/>
                <w:sz w:val="20"/>
              </w:rPr>
              <w:t>-</w:t>
            </w:r>
          </w:p>
        </w:tc>
        <w:tc>
          <w:tcPr>
            <w:tcW w:w="1444" w:type="dxa"/>
          </w:tcPr>
          <w:p>
            <w:pPr>
              <w:pStyle w:val="TableParagraph"/>
              <w:spacing w:line="227" w:lineRule="exact"/>
              <w:ind w:right="2"/>
              <w:rPr>
                <w:sz w:val="20"/>
              </w:rPr>
            </w:pPr>
            <w:r>
              <w:rPr>
                <w:w w:val="100"/>
                <w:sz w:val="20"/>
              </w:rPr>
              <w:t>-</w:t>
            </w:r>
          </w:p>
        </w:tc>
        <w:tc>
          <w:tcPr>
            <w:tcW w:w="1658" w:type="dxa"/>
          </w:tcPr>
          <w:p>
            <w:pPr>
              <w:pStyle w:val="TableParagraph"/>
              <w:spacing w:line="227" w:lineRule="exact"/>
              <w:ind w:right="220"/>
              <w:rPr>
                <w:sz w:val="20"/>
              </w:rPr>
            </w:pPr>
            <w:r>
              <w:rPr>
                <w:sz w:val="20"/>
                <w:u w:val="single"/>
              </w:rPr>
              <w:t>169,543</w:t>
            </w:r>
          </w:p>
        </w:tc>
        <w:tc>
          <w:tcPr>
            <w:tcW w:w="1271" w:type="dxa"/>
          </w:tcPr>
          <w:p>
            <w:pPr>
              <w:pStyle w:val="TableParagraph"/>
              <w:spacing w:line="227" w:lineRule="exact"/>
              <w:ind w:right="51"/>
              <w:rPr>
                <w:sz w:val="20"/>
              </w:rPr>
            </w:pPr>
            <w:r>
              <w:rPr>
                <w:sz w:val="20"/>
                <w:u w:val="single"/>
              </w:rPr>
              <w:t>169,543</w:t>
            </w:r>
          </w:p>
        </w:tc>
      </w:tr>
      <w:tr>
        <w:trPr>
          <w:trHeight w:val="1846" w:hRule="exact"/>
        </w:trPr>
        <w:tc>
          <w:tcPr>
            <w:tcW w:w="2843" w:type="dxa"/>
          </w:tcPr>
          <w:p>
            <w:pPr>
              <w:pStyle w:val="TableParagraph"/>
              <w:ind w:left="50" w:right="516"/>
              <w:jc w:val="left"/>
              <w:rPr>
                <w:sz w:val="20"/>
              </w:rPr>
            </w:pPr>
            <w:r>
              <w:rPr>
                <w:sz w:val="20"/>
              </w:rPr>
              <w:t>Balance at December 31, 1993</w:t>
            </w:r>
          </w:p>
          <w:p>
            <w:pPr>
              <w:pStyle w:val="TableParagraph"/>
              <w:ind w:left="50" w:right="160"/>
              <w:jc w:val="left"/>
              <w:rPr>
                <w:sz w:val="20"/>
              </w:rPr>
            </w:pPr>
            <w:r>
              <w:rPr>
                <w:sz w:val="20"/>
              </w:rPr>
              <w:t>Issuance of common stock upon exercise of executive stock options and pursuant to Employee stock option</w:t>
            </w:r>
          </w:p>
          <w:p>
            <w:pPr>
              <w:pStyle w:val="TableParagraph"/>
              <w:ind w:left="50" w:right="160"/>
              <w:jc w:val="left"/>
              <w:rPr>
                <w:sz w:val="20"/>
              </w:rPr>
            </w:pPr>
            <w:r>
              <w:rPr>
                <w:sz w:val="20"/>
              </w:rPr>
              <w:t>and purchase plans and related tax benefit (Note 9)</w:t>
            </w:r>
          </w:p>
        </w:tc>
        <w:tc>
          <w:tcPr>
            <w:tcW w:w="1369" w:type="dxa"/>
          </w:tcPr>
          <w:p>
            <w:pPr>
              <w:pStyle w:val="TableParagraph"/>
              <w:spacing w:before="16"/>
              <w:rPr>
                <w:sz w:val="20"/>
              </w:rPr>
            </w:pPr>
            <w:r>
              <w:rPr>
                <w:sz w:val="20"/>
              </w:rPr>
              <w:t>142,756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rPr>
                <w:sz w:val="20"/>
              </w:rPr>
            </w:pPr>
            <w:r>
              <w:rPr>
                <w:sz w:val="20"/>
              </w:rPr>
              <w:t>500</w:t>
            </w:r>
          </w:p>
        </w:tc>
        <w:tc>
          <w:tcPr>
            <w:tcW w:w="1444" w:type="dxa"/>
          </w:tcPr>
          <w:p>
            <w:pPr>
              <w:pStyle w:val="TableParagraph"/>
              <w:spacing w:before="16"/>
              <w:ind w:left="715"/>
              <w:jc w:val="center"/>
              <w:rPr>
                <w:sz w:val="20"/>
              </w:rPr>
            </w:pPr>
            <w:r>
              <w:rPr>
                <w:sz w:val="20"/>
              </w:rPr>
              <w:t>141,168</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ind w:left="826"/>
              <w:jc w:val="center"/>
              <w:rPr>
                <w:sz w:val="20"/>
              </w:rPr>
            </w:pPr>
            <w:r>
              <w:rPr>
                <w:sz w:val="20"/>
              </w:rPr>
              <w:t>10,578</w:t>
            </w:r>
          </w:p>
        </w:tc>
        <w:tc>
          <w:tcPr>
            <w:tcW w:w="1658" w:type="dxa"/>
          </w:tcPr>
          <w:p>
            <w:pPr>
              <w:pStyle w:val="TableParagraph"/>
              <w:ind w:right="220"/>
              <w:rPr>
                <w:sz w:val="20"/>
              </w:rPr>
            </w:pPr>
            <w:r>
              <w:rPr>
                <w:sz w:val="20"/>
              </w:rPr>
              <w:t>770,095</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right="220"/>
              <w:rPr>
                <w:sz w:val="20"/>
              </w:rPr>
            </w:pPr>
            <w:r>
              <w:rPr>
                <w:w w:val="100"/>
                <w:sz w:val="20"/>
              </w:rPr>
              <w:t>-</w:t>
            </w:r>
          </w:p>
        </w:tc>
        <w:tc>
          <w:tcPr>
            <w:tcW w:w="1271" w:type="dxa"/>
          </w:tcPr>
          <w:p>
            <w:pPr>
              <w:pStyle w:val="TableParagraph"/>
              <w:ind w:left="329"/>
              <w:jc w:val="left"/>
              <w:rPr>
                <w:sz w:val="20"/>
              </w:rPr>
            </w:pPr>
            <w:r>
              <w:rPr>
                <w:sz w:val="20"/>
              </w:rPr>
              <w:t>1,054,019</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left="607"/>
              <w:jc w:val="left"/>
              <w:rPr>
                <w:sz w:val="20"/>
              </w:rPr>
            </w:pPr>
            <w:r>
              <w:rPr>
                <w:sz w:val="20"/>
              </w:rPr>
              <w:t>11,078</w:t>
            </w:r>
          </w:p>
        </w:tc>
      </w:tr>
      <w:tr>
        <w:trPr>
          <w:trHeight w:val="461" w:hRule="exact"/>
        </w:trPr>
        <w:tc>
          <w:tcPr>
            <w:tcW w:w="2843" w:type="dxa"/>
          </w:tcPr>
          <w:p>
            <w:pPr>
              <w:pStyle w:val="TableParagraph"/>
              <w:ind w:left="50" w:right="560"/>
              <w:jc w:val="left"/>
              <w:rPr>
                <w:sz w:val="20"/>
              </w:rPr>
            </w:pPr>
            <w:r>
              <w:rPr>
                <w:sz w:val="20"/>
              </w:rPr>
              <w:t>Cash dividends, $.04 per share</w:t>
            </w:r>
          </w:p>
        </w:tc>
        <w:tc>
          <w:tcPr>
            <w:tcW w:w="1369" w:type="dxa"/>
          </w:tcPr>
          <w:p>
            <w:pPr>
              <w:pStyle w:val="TableParagraph"/>
              <w:spacing w:before="9"/>
              <w:jc w:val="left"/>
              <w:rPr>
                <w:b/>
                <w:sz w:val="19"/>
              </w:rPr>
            </w:pPr>
          </w:p>
          <w:p>
            <w:pPr>
              <w:pStyle w:val="TableParagraph"/>
              <w:rPr>
                <w:sz w:val="20"/>
              </w:rPr>
            </w:pPr>
            <w:r>
              <w:rPr>
                <w:w w:val="100"/>
                <w:sz w:val="20"/>
              </w:rPr>
              <w:t>-</w:t>
            </w:r>
          </w:p>
        </w:tc>
        <w:tc>
          <w:tcPr>
            <w:tcW w:w="1444" w:type="dxa"/>
          </w:tcPr>
          <w:p>
            <w:pPr>
              <w:pStyle w:val="TableParagraph"/>
              <w:spacing w:before="9"/>
              <w:jc w:val="left"/>
              <w:rPr>
                <w:b/>
                <w:sz w:val="19"/>
              </w:rPr>
            </w:pPr>
          </w:p>
          <w:p>
            <w:pPr>
              <w:pStyle w:val="TableParagraph"/>
              <w:ind w:right="2"/>
              <w:rPr>
                <w:sz w:val="20"/>
              </w:rPr>
            </w:pPr>
            <w:r>
              <w:rPr>
                <w:w w:val="100"/>
                <w:sz w:val="20"/>
              </w:rPr>
              <w:t>-</w:t>
            </w:r>
          </w:p>
        </w:tc>
        <w:tc>
          <w:tcPr>
            <w:tcW w:w="1658" w:type="dxa"/>
          </w:tcPr>
          <w:p>
            <w:pPr>
              <w:pStyle w:val="TableParagraph"/>
              <w:spacing w:before="9"/>
              <w:jc w:val="left"/>
              <w:rPr>
                <w:b/>
                <w:sz w:val="19"/>
              </w:rPr>
            </w:pPr>
          </w:p>
          <w:p>
            <w:pPr>
              <w:pStyle w:val="TableParagraph"/>
              <w:ind w:right="217"/>
              <w:rPr>
                <w:sz w:val="20"/>
              </w:rPr>
            </w:pPr>
            <w:r>
              <w:rPr>
                <w:sz w:val="20"/>
              </w:rPr>
              <w:t>(5,722)</w:t>
            </w:r>
          </w:p>
        </w:tc>
        <w:tc>
          <w:tcPr>
            <w:tcW w:w="1271" w:type="dxa"/>
          </w:tcPr>
          <w:p>
            <w:pPr>
              <w:pStyle w:val="TableParagraph"/>
              <w:spacing w:before="9"/>
              <w:jc w:val="left"/>
              <w:rPr>
                <w:b/>
                <w:sz w:val="19"/>
              </w:rPr>
            </w:pPr>
          </w:p>
          <w:p>
            <w:pPr>
              <w:pStyle w:val="TableParagraph"/>
              <w:ind w:right="48"/>
              <w:rPr>
                <w:sz w:val="20"/>
              </w:rPr>
            </w:pPr>
            <w:r>
              <w:rPr>
                <w:sz w:val="20"/>
              </w:rPr>
              <w:t>(5,722)</w:t>
            </w:r>
          </w:p>
        </w:tc>
      </w:tr>
      <w:tr>
        <w:trPr>
          <w:trHeight w:val="228" w:hRule="exact"/>
        </w:trPr>
        <w:tc>
          <w:tcPr>
            <w:tcW w:w="2843" w:type="dxa"/>
          </w:tcPr>
          <w:p>
            <w:pPr>
              <w:pStyle w:val="TableParagraph"/>
              <w:spacing w:line="227" w:lineRule="exact"/>
              <w:ind w:left="50"/>
              <w:jc w:val="left"/>
              <w:rPr>
                <w:sz w:val="20"/>
              </w:rPr>
            </w:pPr>
            <w:r>
              <w:rPr>
                <w:sz w:val="20"/>
              </w:rPr>
              <w:t>Net income - 1994</w:t>
            </w:r>
          </w:p>
        </w:tc>
        <w:tc>
          <w:tcPr>
            <w:tcW w:w="1369" w:type="dxa"/>
          </w:tcPr>
          <w:p>
            <w:pPr>
              <w:pStyle w:val="TableParagraph"/>
              <w:spacing w:line="227" w:lineRule="exact"/>
              <w:rPr>
                <w:sz w:val="20"/>
              </w:rPr>
            </w:pPr>
            <w:r>
              <w:rPr>
                <w:w w:val="100"/>
                <w:sz w:val="20"/>
              </w:rPr>
              <w:t>-</w:t>
            </w:r>
          </w:p>
        </w:tc>
        <w:tc>
          <w:tcPr>
            <w:tcW w:w="1444" w:type="dxa"/>
          </w:tcPr>
          <w:p>
            <w:pPr>
              <w:pStyle w:val="TableParagraph"/>
              <w:spacing w:line="227" w:lineRule="exact"/>
              <w:ind w:right="2"/>
              <w:rPr>
                <w:sz w:val="20"/>
              </w:rPr>
            </w:pPr>
            <w:r>
              <w:rPr>
                <w:w w:val="100"/>
                <w:sz w:val="20"/>
              </w:rPr>
              <w:t>-</w:t>
            </w:r>
          </w:p>
        </w:tc>
        <w:tc>
          <w:tcPr>
            <w:tcW w:w="1658" w:type="dxa"/>
          </w:tcPr>
          <w:p>
            <w:pPr>
              <w:pStyle w:val="TableParagraph"/>
              <w:spacing w:line="227" w:lineRule="exact"/>
              <w:ind w:right="220"/>
              <w:rPr>
                <w:sz w:val="20"/>
              </w:rPr>
            </w:pPr>
            <w:r>
              <w:rPr>
                <w:sz w:val="20"/>
                <w:u w:val="single"/>
              </w:rPr>
              <w:t>179,331</w:t>
            </w:r>
          </w:p>
        </w:tc>
        <w:tc>
          <w:tcPr>
            <w:tcW w:w="1271" w:type="dxa"/>
          </w:tcPr>
          <w:p>
            <w:pPr>
              <w:pStyle w:val="TableParagraph"/>
              <w:spacing w:line="227" w:lineRule="exact"/>
              <w:ind w:right="51"/>
              <w:rPr>
                <w:sz w:val="20"/>
              </w:rPr>
            </w:pPr>
            <w:r>
              <w:rPr>
                <w:sz w:val="20"/>
                <w:u w:val="single"/>
              </w:rPr>
              <w:t>179,331</w:t>
            </w:r>
          </w:p>
        </w:tc>
      </w:tr>
      <w:tr>
        <w:trPr>
          <w:trHeight w:val="1846" w:hRule="exact"/>
        </w:trPr>
        <w:tc>
          <w:tcPr>
            <w:tcW w:w="2843" w:type="dxa"/>
          </w:tcPr>
          <w:p>
            <w:pPr>
              <w:pStyle w:val="TableParagraph"/>
              <w:ind w:left="50" w:right="516"/>
              <w:jc w:val="left"/>
              <w:rPr>
                <w:sz w:val="20"/>
              </w:rPr>
            </w:pPr>
            <w:r>
              <w:rPr>
                <w:sz w:val="20"/>
              </w:rPr>
              <w:t>Balance at December 31, 1994</w:t>
            </w:r>
          </w:p>
          <w:p>
            <w:pPr>
              <w:pStyle w:val="TableParagraph"/>
              <w:ind w:left="50" w:right="160"/>
              <w:jc w:val="left"/>
              <w:rPr>
                <w:sz w:val="20"/>
              </w:rPr>
            </w:pPr>
            <w:r>
              <w:rPr>
                <w:sz w:val="20"/>
              </w:rPr>
              <w:t>Issuance of common stock upon exercise of executive stock options and pursuant to Employee stock option</w:t>
            </w:r>
          </w:p>
          <w:p>
            <w:pPr>
              <w:pStyle w:val="TableParagraph"/>
              <w:ind w:left="50" w:right="160"/>
              <w:jc w:val="left"/>
              <w:rPr>
                <w:sz w:val="20"/>
              </w:rPr>
            </w:pPr>
            <w:r>
              <w:rPr>
                <w:sz w:val="20"/>
              </w:rPr>
              <w:t>and purchase plans and related tax benefit (Note 9)</w:t>
            </w:r>
          </w:p>
        </w:tc>
        <w:tc>
          <w:tcPr>
            <w:tcW w:w="1369" w:type="dxa"/>
          </w:tcPr>
          <w:p>
            <w:pPr>
              <w:pStyle w:val="TableParagraph"/>
              <w:spacing w:before="16"/>
              <w:rPr>
                <w:sz w:val="20"/>
              </w:rPr>
            </w:pPr>
            <w:r>
              <w:rPr>
                <w:sz w:val="20"/>
              </w:rPr>
              <w:t>143,256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rPr>
                <w:sz w:val="20"/>
              </w:rPr>
            </w:pPr>
            <w:r>
              <w:rPr>
                <w:sz w:val="20"/>
              </w:rPr>
              <w:t>777</w:t>
            </w:r>
          </w:p>
        </w:tc>
        <w:tc>
          <w:tcPr>
            <w:tcW w:w="1444" w:type="dxa"/>
          </w:tcPr>
          <w:p>
            <w:pPr>
              <w:pStyle w:val="TableParagraph"/>
              <w:spacing w:before="16"/>
              <w:ind w:left="715"/>
              <w:jc w:val="center"/>
              <w:rPr>
                <w:sz w:val="20"/>
              </w:rPr>
            </w:pPr>
            <w:r>
              <w:rPr>
                <w:sz w:val="20"/>
              </w:rPr>
              <w:t>151,746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ind w:left="826"/>
              <w:jc w:val="center"/>
              <w:rPr>
                <w:sz w:val="20"/>
              </w:rPr>
            </w:pPr>
            <w:r>
              <w:rPr>
                <w:sz w:val="20"/>
              </w:rPr>
              <w:t>10,958</w:t>
            </w:r>
          </w:p>
        </w:tc>
        <w:tc>
          <w:tcPr>
            <w:tcW w:w="1658" w:type="dxa"/>
          </w:tcPr>
          <w:p>
            <w:pPr>
              <w:pStyle w:val="TableParagraph"/>
              <w:ind w:right="220"/>
              <w:rPr>
                <w:sz w:val="20"/>
              </w:rPr>
            </w:pPr>
            <w:r>
              <w:rPr>
                <w:sz w:val="20"/>
              </w:rPr>
              <w:t>943,704</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right="220"/>
              <w:rPr>
                <w:sz w:val="20"/>
              </w:rPr>
            </w:pPr>
            <w:r>
              <w:rPr>
                <w:w w:val="100"/>
                <w:sz w:val="20"/>
              </w:rPr>
              <w:t>-</w:t>
            </w:r>
          </w:p>
        </w:tc>
        <w:tc>
          <w:tcPr>
            <w:tcW w:w="1271" w:type="dxa"/>
          </w:tcPr>
          <w:p>
            <w:pPr>
              <w:pStyle w:val="TableParagraph"/>
              <w:ind w:left="329"/>
              <w:jc w:val="left"/>
              <w:rPr>
                <w:sz w:val="20"/>
              </w:rPr>
            </w:pPr>
            <w:r>
              <w:rPr>
                <w:sz w:val="20"/>
              </w:rPr>
              <w:t>1,238,706</w:t>
            </w: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jc w:val="left"/>
              <w:rPr>
                <w:b/>
                <w:sz w:val="22"/>
              </w:rPr>
            </w:pPr>
          </w:p>
          <w:p>
            <w:pPr>
              <w:pStyle w:val="TableParagraph"/>
              <w:spacing w:before="2"/>
              <w:jc w:val="left"/>
              <w:rPr>
                <w:b/>
                <w:sz w:val="32"/>
              </w:rPr>
            </w:pPr>
          </w:p>
          <w:p>
            <w:pPr>
              <w:pStyle w:val="TableParagraph"/>
              <w:spacing w:before="1"/>
              <w:ind w:left="607"/>
              <w:jc w:val="left"/>
              <w:rPr>
                <w:sz w:val="20"/>
              </w:rPr>
            </w:pPr>
            <w:r>
              <w:rPr>
                <w:sz w:val="20"/>
              </w:rPr>
              <w:t>11,735</w:t>
            </w:r>
          </w:p>
        </w:tc>
      </w:tr>
      <w:tr>
        <w:trPr>
          <w:trHeight w:val="461" w:hRule="exact"/>
        </w:trPr>
        <w:tc>
          <w:tcPr>
            <w:tcW w:w="2843" w:type="dxa"/>
          </w:tcPr>
          <w:p>
            <w:pPr>
              <w:pStyle w:val="TableParagraph"/>
              <w:ind w:left="50" w:right="560"/>
              <w:jc w:val="left"/>
              <w:rPr>
                <w:sz w:val="20"/>
              </w:rPr>
            </w:pPr>
            <w:r>
              <w:rPr>
                <w:sz w:val="20"/>
              </w:rPr>
              <w:t>Cash dividends, $.04 per share</w:t>
            </w:r>
          </w:p>
        </w:tc>
        <w:tc>
          <w:tcPr>
            <w:tcW w:w="1369" w:type="dxa"/>
          </w:tcPr>
          <w:p>
            <w:pPr>
              <w:pStyle w:val="TableParagraph"/>
              <w:spacing w:before="9"/>
              <w:jc w:val="left"/>
              <w:rPr>
                <w:b/>
                <w:sz w:val="19"/>
              </w:rPr>
            </w:pPr>
          </w:p>
          <w:p>
            <w:pPr>
              <w:pStyle w:val="TableParagraph"/>
              <w:rPr>
                <w:sz w:val="20"/>
              </w:rPr>
            </w:pPr>
            <w:r>
              <w:rPr>
                <w:w w:val="100"/>
                <w:sz w:val="20"/>
              </w:rPr>
              <w:t>-</w:t>
            </w:r>
          </w:p>
        </w:tc>
        <w:tc>
          <w:tcPr>
            <w:tcW w:w="1444" w:type="dxa"/>
          </w:tcPr>
          <w:p>
            <w:pPr>
              <w:pStyle w:val="TableParagraph"/>
              <w:spacing w:before="9"/>
              <w:jc w:val="left"/>
              <w:rPr>
                <w:b/>
                <w:sz w:val="19"/>
              </w:rPr>
            </w:pPr>
          </w:p>
          <w:p>
            <w:pPr>
              <w:pStyle w:val="TableParagraph"/>
              <w:ind w:right="2"/>
              <w:rPr>
                <w:sz w:val="20"/>
              </w:rPr>
            </w:pPr>
            <w:r>
              <w:rPr>
                <w:w w:val="100"/>
                <w:sz w:val="20"/>
              </w:rPr>
              <w:t>-</w:t>
            </w:r>
          </w:p>
        </w:tc>
        <w:tc>
          <w:tcPr>
            <w:tcW w:w="1658" w:type="dxa"/>
          </w:tcPr>
          <w:p>
            <w:pPr>
              <w:pStyle w:val="TableParagraph"/>
              <w:spacing w:before="9"/>
              <w:jc w:val="left"/>
              <w:rPr>
                <w:b/>
                <w:sz w:val="19"/>
              </w:rPr>
            </w:pPr>
          </w:p>
          <w:p>
            <w:pPr>
              <w:pStyle w:val="TableParagraph"/>
              <w:ind w:right="217"/>
              <w:rPr>
                <w:sz w:val="20"/>
              </w:rPr>
            </w:pPr>
            <w:r>
              <w:rPr>
                <w:sz w:val="20"/>
              </w:rPr>
              <w:t>(5,749)</w:t>
            </w:r>
          </w:p>
        </w:tc>
        <w:tc>
          <w:tcPr>
            <w:tcW w:w="1271" w:type="dxa"/>
          </w:tcPr>
          <w:p>
            <w:pPr>
              <w:pStyle w:val="TableParagraph"/>
              <w:spacing w:before="9"/>
              <w:jc w:val="left"/>
              <w:rPr>
                <w:b/>
                <w:sz w:val="19"/>
              </w:rPr>
            </w:pPr>
          </w:p>
          <w:p>
            <w:pPr>
              <w:pStyle w:val="TableParagraph"/>
              <w:ind w:right="48"/>
              <w:rPr>
                <w:sz w:val="20"/>
              </w:rPr>
            </w:pPr>
            <w:r>
              <w:rPr>
                <w:sz w:val="20"/>
              </w:rPr>
              <w:t>(5,749)</w:t>
            </w:r>
          </w:p>
        </w:tc>
      </w:tr>
      <w:tr>
        <w:trPr>
          <w:trHeight w:val="228" w:hRule="exact"/>
        </w:trPr>
        <w:tc>
          <w:tcPr>
            <w:tcW w:w="2843" w:type="dxa"/>
          </w:tcPr>
          <w:p>
            <w:pPr>
              <w:pStyle w:val="TableParagraph"/>
              <w:spacing w:line="227" w:lineRule="exact"/>
              <w:ind w:left="50"/>
              <w:jc w:val="left"/>
              <w:rPr>
                <w:sz w:val="20"/>
              </w:rPr>
            </w:pPr>
            <w:r>
              <w:rPr>
                <w:sz w:val="20"/>
              </w:rPr>
              <w:t>Net income - 1995</w:t>
            </w:r>
          </w:p>
        </w:tc>
        <w:tc>
          <w:tcPr>
            <w:tcW w:w="1369" w:type="dxa"/>
          </w:tcPr>
          <w:p>
            <w:pPr>
              <w:pStyle w:val="TableParagraph"/>
              <w:spacing w:line="227" w:lineRule="exact"/>
              <w:rPr>
                <w:sz w:val="20"/>
              </w:rPr>
            </w:pPr>
            <w:r>
              <w:rPr>
                <w:w w:val="100"/>
                <w:sz w:val="20"/>
              </w:rPr>
              <w:t>-</w:t>
            </w:r>
          </w:p>
        </w:tc>
        <w:tc>
          <w:tcPr>
            <w:tcW w:w="1444" w:type="dxa"/>
          </w:tcPr>
          <w:p>
            <w:pPr>
              <w:pStyle w:val="TableParagraph"/>
              <w:spacing w:line="227" w:lineRule="exact"/>
              <w:ind w:right="2"/>
              <w:rPr>
                <w:sz w:val="20"/>
              </w:rPr>
            </w:pPr>
            <w:r>
              <w:rPr>
                <w:w w:val="100"/>
                <w:sz w:val="20"/>
              </w:rPr>
              <w:t>-</w:t>
            </w:r>
          </w:p>
        </w:tc>
        <w:tc>
          <w:tcPr>
            <w:tcW w:w="1658" w:type="dxa"/>
          </w:tcPr>
          <w:p>
            <w:pPr>
              <w:pStyle w:val="TableParagraph"/>
              <w:spacing w:line="227" w:lineRule="exact"/>
              <w:ind w:right="220"/>
              <w:rPr>
                <w:sz w:val="20"/>
              </w:rPr>
            </w:pPr>
            <w:r>
              <w:rPr>
                <w:sz w:val="20"/>
                <w:u w:val="single"/>
              </w:rPr>
              <w:t>182,626</w:t>
            </w:r>
          </w:p>
        </w:tc>
        <w:tc>
          <w:tcPr>
            <w:tcW w:w="1271" w:type="dxa"/>
          </w:tcPr>
          <w:p>
            <w:pPr>
              <w:pStyle w:val="TableParagraph"/>
              <w:spacing w:line="227" w:lineRule="exact"/>
              <w:ind w:right="51"/>
              <w:rPr>
                <w:sz w:val="20"/>
              </w:rPr>
            </w:pPr>
            <w:r>
              <w:rPr>
                <w:sz w:val="20"/>
                <w:u w:val="single"/>
              </w:rPr>
              <w:t>182,626</w:t>
            </w:r>
          </w:p>
        </w:tc>
      </w:tr>
      <w:tr>
        <w:trPr>
          <w:trHeight w:val="461" w:hRule="exact"/>
        </w:trPr>
        <w:tc>
          <w:tcPr>
            <w:tcW w:w="2843" w:type="dxa"/>
          </w:tcPr>
          <w:p>
            <w:pPr>
              <w:pStyle w:val="TableParagraph"/>
              <w:ind w:left="50" w:right="516"/>
              <w:jc w:val="left"/>
              <w:rPr>
                <w:sz w:val="20"/>
              </w:rPr>
            </w:pPr>
            <w:r>
              <w:rPr>
                <w:sz w:val="20"/>
              </w:rPr>
              <w:t>Balance at December 31, 1995</w:t>
            </w:r>
          </w:p>
        </w:tc>
        <w:tc>
          <w:tcPr>
            <w:tcW w:w="1369" w:type="dxa"/>
          </w:tcPr>
          <w:p>
            <w:pPr>
              <w:pStyle w:val="TableParagraph"/>
              <w:spacing w:before="16"/>
              <w:rPr>
                <w:sz w:val="20"/>
              </w:rPr>
            </w:pPr>
            <w:r>
              <w:rPr>
                <w:sz w:val="20"/>
                <w:u w:val="single"/>
              </w:rPr>
              <w:t>$144,033</w:t>
            </w:r>
          </w:p>
        </w:tc>
        <w:tc>
          <w:tcPr>
            <w:tcW w:w="1444" w:type="dxa"/>
          </w:tcPr>
          <w:p>
            <w:pPr>
              <w:pStyle w:val="TableParagraph"/>
              <w:spacing w:before="16"/>
              <w:ind w:right="1"/>
              <w:rPr>
                <w:sz w:val="20"/>
              </w:rPr>
            </w:pPr>
            <w:r>
              <w:rPr>
                <w:sz w:val="20"/>
                <w:u w:val="single"/>
              </w:rPr>
              <w:t>$162,704</w:t>
            </w:r>
          </w:p>
        </w:tc>
        <w:tc>
          <w:tcPr>
            <w:tcW w:w="1658" w:type="dxa"/>
          </w:tcPr>
          <w:p>
            <w:pPr>
              <w:pStyle w:val="TableParagraph"/>
              <w:ind w:right="219"/>
              <w:rPr>
                <w:sz w:val="20"/>
              </w:rPr>
            </w:pPr>
            <w:r>
              <w:rPr>
                <w:sz w:val="20"/>
                <w:u w:val="single"/>
              </w:rPr>
              <w:t>$1,120,581</w:t>
            </w:r>
          </w:p>
        </w:tc>
        <w:tc>
          <w:tcPr>
            <w:tcW w:w="1271" w:type="dxa"/>
          </w:tcPr>
          <w:p>
            <w:pPr>
              <w:pStyle w:val="TableParagraph"/>
              <w:ind w:right="50"/>
              <w:rPr>
                <w:sz w:val="20"/>
              </w:rPr>
            </w:pPr>
            <w:r>
              <w:rPr>
                <w:sz w:val="20"/>
                <w:u w:val="single"/>
              </w:rPr>
              <w:t>$1,427,318</w:t>
            </w:r>
          </w:p>
        </w:tc>
      </w:tr>
    </w:tbl>
    <w:p>
      <w:pPr>
        <w:spacing w:after="0"/>
        <w:rPr>
          <w:sz w:val="20"/>
        </w:rPr>
        <w:sectPr>
          <w:pgSz w:w="12240" w:h="15840"/>
          <w:pgMar w:header="0" w:footer="730" w:top="1360" w:bottom="980" w:left="1640" w:right="1680"/>
        </w:sectPr>
      </w:pPr>
    </w:p>
    <w:p>
      <w:pPr>
        <w:spacing w:before="84"/>
        <w:ind w:left="160" w:right="0" w:firstLine="0"/>
        <w:jc w:val="left"/>
        <w:rPr>
          <w:b/>
          <w:sz w:val="20"/>
        </w:rPr>
      </w:pPr>
      <w:r>
        <w:rPr>
          <w:b/>
          <w:sz w:val="20"/>
        </w:rPr>
        <w:t>CONSOLIDATED STATEMENT OF CASH FLOWS</w:t>
      </w:r>
    </w:p>
    <w:p>
      <w:pPr>
        <w:pStyle w:val="BodyText"/>
        <w:spacing w:before="10"/>
        <w:rPr>
          <w:b/>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8"/>
        <w:gridCol w:w="1368"/>
        <w:gridCol w:w="1440"/>
        <w:gridCol w:w="1490"/>
      </w:tblGrid>
      <w:tr>
        <w:trPr>
          <w:trHeight w:val="458" w:hRule="exact"/>
        </w:trPr>
        <w:tc>
          <w:tcPr>
            <w:tcW w:w="4288" w:type="dxa"/>
          </w:tcPr>
          <w:p>
            <w:pPr>
              <w:pStyle w:val="TableParagraph"/>
              <w:spacing w:line="225" w:lineRule="exact"/>
              <w:ind w:left="50"/>
              <w:jc w:val="left"/>
              <w:rPr>
                <w:sz w:val="20"/>
              </w:rPr>
            </w:pPr>
            <w:r>
              <w:rPr>
                <w:sz w:val="20"/>
              </w:rPr>
              <w:t>(in thousands)</w:t>
            </w:r>
          </w:p>
        </w:tc>
        <w:tc>
          <w:tcPr>
            <w:tcW w:w="1368" w:type="dxa"/>
          </w:tcPr>
          <w:p>
            <w:pPr>
              <w:pStyle w:val="TableParagraph"/>
              <w:ind w:left="91" w:firstLine="67"/>
              <w:jc w:val="left"/>
              <w:rPr>
                <w:sz w:val="20"/>
              </w:rPr>
            </w:pPr>
            <w:r>
              <w:rPr>
                <w:sz w:val="20"/>
              </w:rPr>
              <w:t>Years ended December 31,</w:t>
            </w:r>
          </w:p>
        </w:tc>
        <w:tc>
          <w:tcPr>
            <w:tcW w:w="2930" w:type="dxa"/>
            <w:gridSpan w:val="2"/>
          </w:tcPr>
          <w:p>
            <w:pPr/>
          </w:p>
        </w:tc>
      </w:tr>
      <w:tr>
        <w:trPr>
          <w:trHeight w:val="230" w:hRule="exact"/>
        </w:trPr>
        <w:tc>
          <w:tcPr>
            <w:tcW w:w="4288" w:type="dxa"/>
          </w:tcPr>
          <w:p>
            <w:pPr/>
          </w:p>
        </w:tc>
        <w:tc>
          <w:tcPr>
            <w:tcW w:w="1368" w:type="dxa"/>
          </w:tcPr>
          <w:p>
            <w:pPr>
              <w:pStyle w:val="TableParagraph"/>
              <w:spacing w:line="227" w:lineRule="exact"/>
              <w:ind w:left="499"/>
              <w:jc w:val="left"/>
              <w:rPr>
                <w:sz w:val="20"/>
              </w:rPr>
            </w:pPr>
            <w:r>
              <w:rPr>
                <w:sz w:val="20"/>
              </w:rPr>
              <w:t>1995</w:t>
            </w:r>
          </w:p>
        </w:tc>
        <w:tc>
          <w:tcPr>
            <w:tcW w:w="1440" w:type="dxa"/>
          </w:tcPr>
          <w:p>
            <w:pPr>
              <w:pStyle w:val="TableParagraph"/>
              <w:spacing w:line="227" w:lineRule="exact"/>
              <w:ind w:left="571"/>
              <w:jc w:val="left"/>
              <w:rPr>
                <w:sz w:val="20"/>
              </w:rPr>
            </w:pPr>
            <w:r>
              <w:rPr>
                <w:sz w:val="20"/>
              </w:rPr>
              <w:t>1994</w:t>
            </w:r>
          </w:p>
        </w:tc>
        <w:tc>
          <w:tcPr>
            <w:tcW w:w="1490" w:type="dxa"/>
          </w:tcPr>
          <w:p>
            <w:pPr>
              <w:pStyle w:val="TableParagraph"/>
              <w:spacing w:line="227" w:lineRule="exact"/>
              <w:ind w:left="571"/>
              <w:jc w:val="left"/>
              <w:rPr>
                <w:sz w:val="20"/>
              </w:rPr>
            </w:pPr>
            <w:r>
              <w:rPr>
                <w:sz w:val="20"/>
              </w:rPr>
              <w:t>1993</w:t>
            </w:r>
          </w:p>
        </w:tc>
      </w:tr>
      <w:tr>
        <w:trPr>
          <w:trHeight w:val="230" w:hRule="exact"/>
        </w:trPr>
        <w:tc>
          <w:tcPr>
            <w:tcW w:w="4288" w:type="dxa"/>
          </w:tcPr>
          <w:p>
            <w:pPr>
              <w:pStyle w:val="TableParagraph"/>
              <w:spacing w:line="227" w:lineRule="exact"/>
              <w:ind w:left="50"/>
              <w:jc w:val="left"/>
              <w:rPr>
                <w:sz w:val="20"/>
              </w:rPr>
            </w:pPr>
            <w:r>
              <w:rPr>
                <w:sz w:val="20"/>
              </w:rPr>
              <w:t>CASH FLOWS FROM OPERATING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Net income</w:t>
            </w:r>
          </w:p>
        </w:tc>
        <w:tc>
          <w:tcPr>
            <w:tcW w:w="1368" w:type="dxa"/>
          </w:tcPr>
          <w:p>
            <w:pPr>
              <w:pStyle w:val="TableParagraph"/>
              <w:spacing w:line="227" w:lineRule="exact"/>
              <w:ind w:right="2"/>
              <w:rPr>
                <w:sz w:val="20"/>
              </w:rPr>
            </w:pPr>
            <w:r>
              <w:rPr>
                <w:sz w:val="20"/>
              </w:rPr>
              <w:t>$182,626</w:t>
            </w:r>
          </w:p>
        </w:tc>
        <w:tc>
          <w:tcPr>
            <w:tcW w:w="1440" w:type="dxa"/>
          </w:tcPr>
          <w:p>
            <w:pPr>
              <w:pStyle w:val="TableParagraph"/>
              <w:spacing w:line="227" w:lineRule="exact"/>
              <w:ind w:right="2"/>
              <w:rPr>
                <w:sz w:val="20"/>
              </w:rPr>
            </w:pPr>
            <w:r>
              <w:rPr>
                <w:sz w:val="20"/>
              </w:rPr>
              <w:t>$179,331</w:t>
            </w:r>
          </w:p>
        </w:tc>
        <w:tc>
          <w:tcPr>
            <w:tcW w:w="1490" w:type="dxa"/>
          </w:tcPr>
          <w:p>
            <w:pPr>
              <w:pStyle w:val="TableParagraph"/>
              <w:spacing w:line="227" w:lineRule="exact"/>
              <w:ind w:right="52"/>
              <w:rPr>
                <w:sz w:val="20"/>
              </w:rPr>
            </w:pPr>
            <w:r>
              <w:rPr>
                <w:sz w:val="20"/>
              </w:rPr>
              <w:t>$169,543</w:t>
            </w:r>
          </w:p>
        </w:tc>
      </w:tr>
      <w:tr>
        <w:trPr>
          <w:trHeight w:val="230" w:hRule="exact"/>
        </w:trPr>
        <w:tc>
          <w:tcPr>
            <w:tcW w:w="4288" w:type="dxa"/>
          </w:tcPr>
          <w:p>
            <w:pPr>
              <w:pStyle w:val="TableParagraph"/>
              <w:spacing w:line="227" w:lineRule="exact"/>
              <w:ind w:left="50"/>
              <w:jc w:val="left"/>
              <w:rPr>
                <w:sz w:val="20"/>
              </w:rPr>
            </w:pPr>
            <w:r>
              <w:rPr>
                <w:sz w:val="20"/>
              </w:rPr>
              <w:t>Cumulative effect of accounting changes</w:t>
            </w:r>
          </w:p>
        </w:tc>
        <w:tc>
          <w:tcPr>
            <w:tcW w:w="1368" w:type="dxa"/>
          </w:tcPr>
          <w:p>
            <w:pPr/>
          </w:p>
        </w:tc>
        <w:tc>
          <w:tcPr>
            <w:tcW w:w="1440" w:type="dxa"/>
          </w:tcPr>
          <w:p>
            <w:pPr/>
          </w:p>
        </w:tc>
        <w:tc>
          <w:tcPr>
            <w:tcW w:w="1490" w:type="dxa"/>
          </w:tcPr>
          <w:p>
            <w:pPr/>
          </w:p>
        </w:tc>
      </w:tr>
      <w:tr>
        <w:trPr>
          <w:trHeight w:val="228" w:hRule="exact"/>
        </w:trPr>
        <w:tc>
          <w:tcPr>
            <w:tcW w:w="4288" w:type="dxa"/>
          </w:tcPr>
          <w:p>
            <w:pPr>
              <w:pStyle w:val="TableParagraph"/>
              <w:spacing w:line="227" w:lineRule="exact"/>
              <w:ind w:left="50"/>
              <w:jc w:val="left"/>
              <w:rPr>
                <w:sz w:val="20"/>
              </w:rPr>
            </w:pPr>
            <w:r>
              <w:rPr>
                <w:sz w:val="20"/>
              </w:rPr>
              <w:t>(Note 3)</w:t>
            </w:r>
          </w:p>
        </w:tc>
        <w:tc>
          <w:tcPr>
            <w:tcW w:w="1368"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48"/>
              <w:rPr>
                <w:sz w:val="20"/>
              </w:rPr>
            </w:pPr>
            <w:r>
              <w:rPr>
                <w:sz w:val="20"/>
                <w:u w:val="single"/>
              </w:rPr>
              <w:t>(15,259)</w:t>
            </w:r>
          </w:p>
        </w:tc>
      </w:tr>
      <w:tr>
        <w:trPr>
          <w:trHeight w:val="233" w:hRule="exact"/>
        </w:trPr>
        <w:tc>
          <w:tcPr>
            <w:tcW w:w="4288" w:type="dxa"/>
          </w:tcPr>
          <w:p>
            <w:pPr>
              <w:pStyle w:val="TableParagraph"/>
              <w:ind w:left="50"/>
              <w:jc w:val="left"/>
              <w:rPr>
                <w:sz w:val="20"/>
              </w:rPr>
            </w:pPr>
            <w:r>
              <w:rPr>
                <w:sz w:val="20"/>
              </w:rPr>
              <w:t>Income before cumulative effect of accounting</w:t>
            </w:r>
          </w:p>
        </w:tc>
        <w:tc>
          <w:tcPr>
            <w:tcW w:w="1368" w:type="dxa"/>
          </w:tcPr>
          <w:p>
            <w:pPr>
              <w:pStyle w:val="TableParagraph"/>
              <w:spacing w:before="16"/>
              <w:ind w:right="2"/>
              <w:rPr>
                <w:sz w:val="20"/>
              </w:rPr>
            </w:pPr>
            <w:r>
              <w:rPr>
                <w:sz w:val="20"/>
              </w:rPr>
              <w:t>182,626</w:t>
            </w:r>
          </w:p>
        </w:tc>
        <w:tc>
          <w:tcPr>
            <w:tcW w:w="1440" w:type="dxa"/>
          </w:tcPr>
          <w:p>
            <w:pPr>
              <w:pStyle w:val="TableParagraph"/>
              <w:spacing w:before="16"/>
              <w:ind w:right="2"/>
              <w:rPr>
                <w:sz w:val="20"/>
              </w:rPr>
            </w:pPr>
            <w:r>
              <w:rPr>
                <w:sz w:val="20"/>
              </w:rPr>
              <w:t>179,331</w:t>
            </w:r>
          </w:p>
        </w:tc>
        <w:tc>
          <w:tcPr>
            <w:tcW w:w="1490" w:type="dxa"/>
          </w:tcPr>
          <w:p>
            <w:pPr>
              <w:pStyle w:val="TableParagraph"/>
              <w:ind w:right="52"/>
              <w:rPr>
                <w:sz w:val="20"/>
              </w:rPr>
            </w:pPr>
            <w:r>
              <w:rPr>
                <w:sz w:val="20"/>
              </w:rPr>
              <w:t>154,284</w:t>
            </w:r>
          </w:p>
        </w:tc>
      </w:tr>
      <w:tr>
        <w:trPr>
          <w:trHeight w:val="230" w:hRule="exact"/>
        </w:trPr>
        <w:tc>
          <w:tcPr>
            <w:tcW w:w="4288" w:type="dxa"/>
          </w:tcPr>
          <w:p>
            <w:pPr>
              <w:pStyle w:val="TableParagraph"/>
              <w:spacing w:line="227" w:lineRule="exact"/>
              <w:ind w:left="50"/>
              <w:jc w:val="left"/>
              <w:rPr>
                <w:sz w:val="20"/>
              </w:rPr>
            </w:pPr>
            <w:r>
              <w:rPr>
                <w:sz w:val="20"/>
              </w:rPr>
              <w:t>changes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Adjustments to reconcile net income to cash</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provided by operating 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Depreciation</w:t>
            </w:r>
          </w:p>
        </w:tc>
        <w:tc>
          <w:tcPr>
            <w:tcW w:w="1368" w:type="dxa"/>
          </w:tcPr>
          <w:p>
            <w:pPr>
              <w:pStyle w:val="TableParagraph"/>
              <w:spacing w:line="227" w:lineRule="exact"/>
              <w:ind w:right="2"/>
              <w:rPr>
                <w:sz w:val="20"/>
              </w:rPr>
            </w:pPr>
            <w:r>
              <w:rPr>
                <w:sz w:val="20"/>
              </w:rPr>
              <w:t>156,771</w:t>
            </w:r>
          </w:p>
        </w:tc>
        <w:tc>
          <w:tcPr>
            <w:tcW w:w="1440" w:type="dxa"/>
          </w:tcPr>
          <w:p>
            <w:pPr>
              <w:pStyle w:val="TableParagraph"/>
              <w:spacing w:line="227" w:lineRule="exact"/>
              <w:ind w:right="2"/>
              <w:rPr>
                <w:sz w:val="20"/>
              </w:rPr>
            </w:pPr>
            <w:r>
              <w:rPr>
                <w:sz w:val="20"/>
              </w:rPr>
              <w:t>139,045</w:t>
            </w:r>
          </w:p>
        </w:tc>
        <w:tc>
          <w:tcPr>
            <w:tcW w:w="1490" w:type="dxa"/>
          </w:tcPr>
          <w:p>
            <w:pPr>
              <w:pStyle w:val="TableParagraph"/>
              <w:spacing w:line="227" w:lineRule="exact"/>
              <w:ind w:right="52"/>
              <w:rPr>
                <w:sz w:val="20"/>
              </w:rPr>
            </w:pPr>
            <w:r>
              <w:rPr>
                <w:sz w:val="20"/>
              </w:rPr>
              <w:t>119,338</w:t>
            </w:r>
          </w:p>
        </w:tc>
      </w:tr>
      <w:tr>
        <w:trPr>
          <w:trHeight w:val="230" w:hRule="exact"/>
        </w:trPr>
        <w:tc>
          <w:tcPr>
            <w:tcW w:w="4288" w:type="dxa"/>
          </w:tcPr>
          <w:p>
            <w:pPr>
              <w:pStyle w:val="TableParagraph"/>
              <w:spacing w:line="227" w:lineRule="exact"/>
              <w:ind w:left="50"/>
              <w:jc w:val="left"/>
              <w:rPr>
                <w:sz w:val="20"/>
              </w:rPr>
            </w:pPr>
            <w:r>
              <w:rPr>
                <w:sz w:val="20"/>
              </w:rPr>
              <w:t>Deferred income taxes</w:t>
            </w:r>
          </w:p>
        </w:tc>
        <w:tc>
          <w:tcPr>
            <w:tcW w:w="1368" w:type="dxa"/>
          </w:tcPr>
          <w:p>
            <w:pPr>
              <w:pStyle w:val="TableParagraph"/>
              <w:spacing w:line="227" w:lineRule="exact"/>
              <w:ind w:right="2"/>
              <w:rPr>
                <w:sz w:val="20"/>
              </w:rPr>
            </w:pPr>
            <w:r>
              <w:rPr>
                <w:sz w:val="20"/>
              </w:rPr>
              <w:t>48,147</w:t>
            </w:r>
          </w:p>
        </w:tc>
        <w:tc>
          <w:tcPr>
            <w:tcW w:w="1440" w:type="dxa"/>
          </w:tcPr>
          <w:p>
            <w:pPr>
              <w:pStyle w:val="TableParagraph"/>
              <w:spacing w:line="227" w:lineRule="exact"/>
              <w:ind w:right="2"/>
              <w:rPr>
                <w:sz w:val="20"/>
              </w:rPr>
            </w:pPr>
            <w:r>
              <w:rPr>
                <w:sz w:val="20"/>
              </w:rPr>
              <w:t>49,887</w:t>
            </w:r>
          </w:p>
        </w:tc>
        <w:tc>
          <w:tcPr>
            <w:tcW w:w="1490" w:type="dxa"/>
          </w:tcPr>
          <w:p>
            <w:pPr>
              <w:pStyle w:val="TableParagraph"/>
              <w:spacing w:line="227" w:lineRule="exact"/>
              <w:ind w:right="52"/>
              <w:rPr>
                <w:sz w:val="20"/>
              </w:rPr>
            </w:pPr>
            <w:r>
              <w:rPr>
                <w:sz w:val="20"/>
              </w:rPr>
              <w:t>53,200</w:t>
            </w:r>
          </w:p>
        </w:tc>
      </w:tr>
      <w:tr>
        <w:trPr>
          <w:trHeight w:val="230" w:hRule="exact"/>
        </w:trPr>
        <w:tc>
          <w:tcPr>
            <w:tcW w:w="4288" w:type="dxa"/>
          </w:tcPr>
          <w:p>
            <w:pPr>
              <w:pStyle w:val="TableParagraph"/>
              <w:spacing w:line="227" w:lineRule="exact"/>
              <w:ind w:left="50"/>
              <w:jc w:val="left"/>
              <w:rPr>
                <w:sz w:val="20"/>
              </w:rPr>
            </w:pPr>
            <w:r>
              <w:rPr>
                <w:sz w:val="20"/>
              </w:rPr>
              <w:t>Amortization of deferred gains on sale and</w:t>
            </w:r>
          </w:p>
        </w:tc>
        <w:tc>
          <w:tcPr>
            <w:tcW w:w="1368" w:type="dxa"/>
          </w:tcPr>
          <w:p>
            <w:pPr>
              <w:pStyle w:val="TableParagraph"/>
              <w:spacing w:line="227" w:lineRule="exact"/>
              <w:rPr>
                <w:sz w:val="20"/>
              </w:rPr>
            </w:pPr>
            <w:r>
              <w:rPr>
                <w:sz w:val="20"/>
              </w:rPr>
              <w:t>(24,286)</w:t>
            </w:r>
          </w:p>
        </w:tc>
        <w:tc>
          <w:tcPr>
            <w:tcW w:w="1440" w:type="dxa"/>
          </w:tcPr>
          <w:p>
            <w:pPr>
              <w:pStyle w:val="TableParagraph"/>
              <w:spacing w:line="227" w:lineRule="exact"/>
              <w:rPr>
                <w:sz w:val="20"/>
              </w:rPr>
            </w:pPr>
            <w:r>
              <w:rPr>
                <w:sz w:val="20"/>
              </w:rPr>
              <w:t>(30,341)</w:t>
            </w:r>
          </w:p>
        </w:tc>
        <w:tc>
          <w:tcPr>
            <w:tcW w:w="1490" w:type="dxa"/>
          </w:tcPr>
          <w:p>
            <w:pPr>
              <w:pStyle w:val="TableParagraph"/>
              <w:spacing w:line="227" w:lineRule="exact"/>
              <w:ind w:right="48"/>
              <w:rPr>
                <w:sz w:val="20"/>
              </w:rPr>
            </w:pPr>
            <w:r>
              <w:rPr>
                <w:sz w:val="20"/>
              </w:rPr>
              <w:t>(32,509)</w:t>
            </w:r>
          </w:p>
        </w:tc>
      </w:tr>
      <w:tr>
        <w:trPr>
          <w:trHeight w:val="230" w:hRule="exact"/>
        </w:trPr>
        <w:tc>
          <w:tcPr>
            <w:tcW w:w="4288" w:type="dxa"/>
          </w:tcPr>
          <w:p>
            <w:pPr>
              <w:pStyle w:val="TableParagraph"/>
              <w:spacing w:line="227" w:lineRule="exact"/>
              <w:ind w:left="50"/>
              <w:jc w:val="left"/>
              <w:rPr>
                <w:sz w:val="20"/>
              </w:rPr>
            </w:pPr>
            <w:r>
              <w:rPr>
                <w:sz w:val="20"/>
              </w:rPr>
              <w:t>leaseback of aircraft</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Amortization of scheduled airframe overhauls</w:t>
            </w:r>
          </w:p>
        </w:tc>
        <w:tc>
          <w:tcPr>
            <w:tcW w:w="1368" w:type="dxa"/>
          </w:tcPr>
          <w:p>
            <w:pPr>
              <w:pStyle w:val="TableParagraph"/>
              <w:spacing w:line="227" w:lineRule="exact"/>
              <w:ind w:right="2"/>
              <w:rPr>
                <w:sz w:val="20"/>
              </w:rPr>
            </w:pPr>
            <w:r>
              <w:rPr>
                <w:sz w:val="20"/>
              </w:rPr>
              <w:t>17,337</w:t>
            </w:r>
          </w:p>
        </w:tc>
        <w:tc>
          <w:tcPr>
            <w:tcW w:w="1440" w:type="dxa"/>
          </w:tcPr>
          <w:p>
            <w:pPr>
              <w:pStyle w:val="TableParagraph"/>
              <w:spacing w:line="227" w:lineRule="exact"/>
              <w:ind w:right="2"/>
              <w:rPr>
                <w:sz w:val="20"/>
              </w:rPr>
            </w:pPr>
            <w:r>
              <w:rPr>
                <w:sz w:val="20"/>
              </w:rPr>
              <w:t>14,216</w:t>
            </w:r>
          </w:p>
        </w:tc>
        <w:tc>
          <w:tcPr>
            <w:tcW w:w="1490" w:type="dxa"/>
          </w:tcPr>
          <w:p>
            <w:pPr>
              <w:pStyle w:val="TableParagraph"/>
              <w:spacing w:line="227" w:lineRule="exact"/>
              <w:ind w:right="52"/>
              <w:rPr>
                <w:sz w:val="20"/>
              </w:rPr>
            </w:pPr>
            <w:r>
              <w:rPr>
                <w:sz w:val="20"/>
              </w:rPr>
              <w:t>11,630</w:t>
            </w:r>
          </w:p>
        </w:tc>
      </w:tr>
      <w:tr>
        <w:trPr>
          <w:trHeight w:val="230" w:hRule="exact"/>
        </w:trPr>
        <w:tc>
          <w:tcPr>
            <w:tcW w:w="4288" w:type="dxa"/>
          </w:tcPr>
          <w:p>
            <w:pPr>
              <w:pStyle w:val="TableParagraph"/>
              <w:spacing w:line="227" w:lineRule="exact"/>
              <w:ind w:left="50"/>
              <w:jc w:val="left"/>
              <w:rPr>
                <w:sz w:val="20"/>
              </w:rPr>
            </w:pPr>
            <w:r>
              <w:rPr>
                <w:sz w:val="20"/>
              </w:rPr>
              <w:t>Changes in certain assets and liabilities: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Increase in accounts receivable</w:t>
            </w:r>
          </w:p>
        </w:tc>
        <w:tc>
          <w:tcPr>
            <w:tcW w:w="1368" w:type="dxa"/>
          </w:tcPr>
          <w:p>
            <w:pPr>
              <w:pStyle w:val="TableParagraph"/>
              <w:spacing w:line="227" w:lineRule="exact"/>
              <w:ind w:right="1"/>
              <w:rPr>
                <w:sz w:val="20"/>
              </w:rPr>
            </w:pPr>
            <w:r>
              <w:rPr>
                <w:sz w:val="20"/>
              </w:rPr>
              <w:t>(4,089)</w:t>
            </w:r>
          </w:p>
        </w:tc>
        <w:tc>
          <w:tcPr>
            <w:tcW w:w="1440" w:type="dxa"/>
          </w:tcPr>
          <w:p>
            <w:pPr>
              <w:pStyle w:val="TableParagraph"/>
              <w:spacing w:line="227" w:lineRule="exact"/>
              <w:ind w:right="1"/>
              <w:rPr>
                <w:sz w:val="20"/>
              </w:rPr>
            </w:pPr>
            <w:r>
              <w:rPr>
                <w:sz w:val="20"/>
              </w:rPr>
              <w:t>(5,208)</w:t>
            </w:r>
          </w:p>
        </w:tc>
        <w:tc>
          <w:tcPr>
            <w:tcW w:w="1490" w:type="dxa"/>
          </w:tcPr>
          <w:p>
            <w:pPr>
              <w:pStyle w:val="TableParagraph"/>
              <w:spacing w:line="227" w:lineRule="exact"/>
              <w:ind w:right="48"/>
              <w:rPr>
                <w:sz w:val="20"/>
              </w:rPr>
            </w:pPr>
            <w:r>
              <w:rPr>
                <w:sz w:val="20"/>
              </w:rPr>
              <w:t>(14,253)</w:t>
            </w:r>
          </w:p>
        </w:tc>
      </w:tr>
      <w:tr>
        <w:trPr>
          <w:trHeight w:val="230" w:hRule="exact"/>
        </w:trPr>
        <w:tc>
          <w:tcPr>
            <w:tcW w:w="4288" w:type="dxa"/>
          </w:tcPr>
          <w:p>
            <w:pPr>
              <w:pStyle w:val="TableParagraph"/>
              <w:spacing w:line="227" w:lineRule="exact"/>
              <w:ind w:left="50"/>
              <w:jc w:val="left"/>
              <w:rPr>
                <w:sz w:val="20"/>
              </w:rPr>
            </w:pPr>
            <w:r>
              <w:rPr>
                <w:sz w:val="20"/>
              </w:rPr>
              <w:t>(Increase) decrease in other current assets</w:t>
            </w:r>
          </w:p>
        </w:tc>
        <w:tc>
          <w:tcPr>
            <w:tcW w:w="1368" w:type="dxa"/>
          </w:tcPr>
          <w:p>
            <w:pPr>
              <w:pStyle w:val="TableParagraph"/>
              <w:spacing w:line="227" w:lineRule="exact"/>
              <w:rPr>
                <w:sz w:val="20"/>
              </w:rPr>
            </w:pPr>
            <w:r>
              <w:rPr>
                <w:sz w:val="20"/>
              </w:rPr>
              <w:t>(11,857)</w:t>
            </w:r>
          </w:p>
        </w:tc>
        <w:tc>
          <w:tcPr>
            <w:tcW w:w="1440" w:type="dxa"/>
          </w:tcPr>
          <w:p>
            <w:pPr>
              <w:pStyle w:val="TableParagraph"/>
              <w:spacing w:line="227" w:lineRule="exact"/>
              <w:ind w:right="2"/>
              <w:rPr>
                <w:sz w:val="20"/>
              </w:rPr>
            </w:pPr>
            <w:r>
              <w:rPr>
                <w:sz w:val="20"/>
              </w:rPr>
              <w:t>648</w:t>
            </w:r>
          </w:p>
        </w:tc>
        <w:tc>
          <w:tcPr>
            <w:tcW w:w="1490" w:type="dxa"/>
          </w:tcPr>
          <w:p>
            <w:pPr>
              <w:pStyle w:val="TableParagraph"/>
              <w:spacing w:line="227" w:lineRule="exact"/>
              <w:ind w:right="49"/>
              <w:rPr>
                <w:sz w:val="20"/>
              </w:rPr>
            </w:pPr>
            <w:r>
              <w:rPr>
                <w:sz w:val="20"/>
              </w:rPr>
              <w:t>(9,641)</w:t>
            </w:r>
          </w:p>
        </w:tc>
      </w:tr>
      <w:tr>
        <w:trPr>
          <w:trHeight w:val="230" w:hRule="exact"/>
        </w:trPr>
        <w:tc>
          <w:tcPr>
            <w:tcW w:w="4288" w:type="dxa"/>
          </w:tcPr>
          <w:p>
            <w:pPr>
              <w:pStyle w:val="TableParagraph"/>
              <w:spacing w:line="227" w:lineRule="exact"/>
              <w:ind w:left="50"/>
              <w:jc w:val="left"/>
              <w:rPr>
                <w:sz w:val="20"/>
              </w:rPr>
            </w:pPr>
            <w:r>
              <w:rPr>
                <w:sz w:val="20"/>
              </w:rPr>
              <w:t>Increase in accounts payable and accrued</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liabilities</w:t>
            </w:r>
          </w:p>
        </w:tc>
        <w:tc>
          <w:tcPr>
            <w:tcW w:w="1368" w:type="dxa"/>
          </w:tcPr>
          <w:p>
            <w:pPr>
              <w:pStyle w:val="TableParagraph"/>
              <w:spacing w:line="227" w:lineRule="exact"/>
              <w:ind w:right="2"/>
              <w:rPr>
                <w:sz w:val="20"/>
              </w:rPr>
            </w:pPr>
            <w:r>
              <w:rPr>
                <w:sz w:val="20"/>
              </w:rPr>
              <w:t>61,937</w:t>
            </w:r>
          </w:p>
        </w:tc>
        <w:tc>
          <w:tcPr>
            <w:tcW w:w="1440" w:type="dxa"/>
          </w:tcPr>
          <w:p>
            <w:pPr>
              <w:pStyle w:val="TableParagraph"/>
              <w:spacing w:line="227" w:lineRule="exact"/>
              <w:ind w:right="2"/>
              <w:rPr>
                <w:sz w:val="20"/>
              </w:rPr>
            </w:pPr>
            <w:r>
              <w:rPr>
                <w:sz w:val="20"/>
              </w:rPr>
              <w:t>52,679</w:t>
            </w:r>
          </w:p>
        </w:tc>
        <w:tc>
          <w:tcPr>
            <w:tcW w:w="1490" w:type="dxa"/>
          </w:tcPr>
          <w:p>
            <w:pPr>
              <w:pStyle w:val="TableParagraph"/>
              <w:spacing w:line="227" w:lineRule="exact"/>
              <w:ind w:right="52"/>
              <w:rPr>
                <w:sz w:val="20"/>
              </w:rPr>
            </w:pPr>
            <w:r>
              <w:rPr>
                <w:sz w:val="20"/>
              </w:rPr>
              <w:t>67,585</w:t>
            </w:r>
          </w:p>
        </w:tc>
      </w:tr>
      <w:tr>
        <w:trPr>
          <w:trHeight w:val="230" w:hRule="exact"/>
        </w:trPr>
        <w:tc>
          <w:tcPr>
            <w:tcW w:w="4288" w:type="dxa"/>
          </w:tcPr>
          <w:p>
            <w:pPr>
              <w:pStyle w:val="TableParagraph"/>
              <w:spacing w:line="227" w:lineRule="exact"/>
              <w:ind w:left="50"/>
              <w:jc w:val="left"/>
              <w:rPr>
                <w:sz w:val="20"/>
              </w:rPr>
            </w:pPr>
            <w:r>
              <w:rPr>
                <w:sz w:val="20"/>
              </w:rPr>
              <w:t>Increase in air traffic liability</w:t>
            </w:r>
          </w:p>
        </w:tc>
        <w:tc>
          <w:tcPr>
            <w:tcW w:w="1368" w:type="dxa"/>
          </w:tcPr>
          <w:p>
            <w:pPr>
              <w:pStyle w:val="TableParagraph"/>
              <w:spacing w:line="227" w:lineRule="exact"/>
              <w:ind w:right="2"/>
              <w:rPr>
                <w:sz w:val="20"/>
              </w:rPr>
            </w:pPr>
            <w:r>
              <w:rPr>
                <w:sz w:val="20"/>
              </w:rPr>
              <w:t>25,017</w:t>
            </w:r>
          </w:p>
        </w:tc>
        <w:tc>
          <w:tcPr>
            <w:tcW w:w="1440" w:type="dxa"/>
          </w:tcPr>
          <w:p>
            <w:pPr>
              <w:pStyle w:val="TableParagraph"/>
              <w:spacing w:line="227" w:lineRule="exact"/>
              <w:ind w:right="2"/>
              <w:rPr>
                <w:sz w:val="20"/>
              </w:rPr>
            </w:pPr>
            <w:r>
              <w:rPr>
                <w:sz w:val="20"/>
              </w:rPr>
              <w:t>9,993</w:t>
            </w:r>
          </w:p>
        </w:tc>
        <w:tc>
          <w:tcPr>
            <w:tcW w:w="1490" w:type="dxa"/>
          </w:tcPr>
          <w:p>
            <w:pPr>
              <w:pStyle w:val="TableParagraph"/>
              <w:spacing w:line="227" w:lineRule="exact"/>
              <w:ind w:right="52"/>
              <w:rPr>
                <w:sz w:val="20"/>
              </w:rPr>
            </w:pPr>
            <w:r>
              <w:rPr>
                <w:sz w:val="20"/>
              </w:rPr>
              <w:t>30,212</w:t>
            </w:r>
          </w:p>
        </w:tc>
      </w:tr>
      <w:tr>
        <w:trPr>
          <w:trHeight w:val="230" w:hRule="exact"/>
        </w:trPr>
        <w:tc>
          <w:tcPr>
            <w:tcW w:w="4288" w:type="dxa"/>
          </w:tcPr>
          <w:p>
            <w:pPr>
              <w:pStyle w:val="TableParagraph"/>
              <w:spacing w:line="227" w:lineRule="exact"/>
              <w:ind w:left="50"/>
              <w:jc w:val="left"/>
              <w:rPr>
                <w:sz w:val="20"/>
              </w:rPr>
            </w:pPr>
            <w:r>
              <w:rPr>
                <w:sz w:val="20"/>
              </w:rPr>
              <w:t>Increase (decrease) in other current liabilities</w:t>
            </w:r>
          </w:p>
        </w:tc>
        <w:tc>
          <w:tcPr>
            <w:tcW w:w="1368" w:type="dxa"/>
          </w:tcPr>
          <w:p>
            <w:pPr>
              <w:pStyle w:val="TableParagraph"/>
              <w:spacing w:line="227" w:lineRule="exact"/>
              <w:ind w:right="2"/>
              <w:rPr>
                <w:sz w:val="20"/>
              </w:rPr>
            </w:pPr>
            <w:r>
              <w:rPr>
                <w:sz w:val="20"/>
              </w:rPr>
              <w:t>1,050</w:t>
            </w:r>
          </w:p>
        </w:tc>
        <w:tc>
          <w:tcPr>
            <w:tcW w:w="1440" w:type="dxa"/>
          </w:tcPr>
          <w:p>
            <w:pPr>
              <w:pStyle w:val="TableParagraph"/>
              <w:spacing w:line="227" w:lineRule="exact"/>
              <w:ind w:right="1"/>
              <w:rPr>
                <w:sz w:val="20"/>
              </w:rPr>
            </w:pPr>
            <w:r>
              <w:rPr>
                <w:sz w:val="20"/>
              </w:rPr>
              <w:t>(4,690)</w:t>
            </w:r>
          </w:p>
        </w:tc>
        <w:tc>
          <w:tcPr>
            <w:tcW w:w="1490" w:type="dxa"/>
          </w:tcPr>
          <w:p>
            <w:pPr>
              <w:pStyle w:val="TableParagraph"/>
              <w:spacing w:line="227" w:lineRule="exact"/>
              <w:ind w:right="52"/>
              <w:rPr>
                <w:sz w:val="20"/>
              </w:rPr>
            </w:pPr>
            <w:r>
              <w:rPr>
                <w:sz w:val="20"/>
              </w:rPr>
              <w:t>2,393</w:t>
            </w:r>
          </w:p>
        </w:tc>
      </w:tr>
      <w:tr>
        <w:trPr>
          <w:trHeight w:val="230" w:hRule="exact"/>
        </w:trPr>
        <w:tc>
          <w:tcPr>
            <w:tcW w:w="4288" w:type="dxa"/>
          </w:tcPr>
          <w:p>
            <w:pPr>
              <w:pStyle w:val="TableParagraph"/>
              <w:spacing w:line="227" w:lineRule="exact"/>
              <w:ind w:left="50"/>
              <w:jc w:val="left"/>
              <w:rPr>
                <w:sz w:val="20"/>
              </w:rPr>
            </w:pPr>
            <w:r>
              <w:rPr>
                <w:sz w:val="20"/>
              </w:rPr>
              <w:t>Other</w:t>
            </w:r>
          </w:p>
        </w:tc>
        <w:tc>
          <w:tcPr>
            <w:tcW w:w="1368" w:type="dxa"/>
          </w:tcPr>
          <w:p>
            <w:pPr>
              <w:pStyle w:val="TableParagraph"/>
              <w:spacing w:line="227" w:lineRule="exact"/>
              <w:ind w:right="2"/>
              <w:rPr>
                <w:sz w:val="20"/>
              </w:rPr>
            </w:pPr>
            <w:r>
              <w:rPr>
                <w:sz w:val="20"/>
                <w:u w:val="single"/>
              </w:rPr>
              <w:t>3,789</w:t>
            </w:r>
          </w:p>
        </w:tc>
        <w:tc>
          <w:tcPr>
            <w:tcW w:w="1440" w:type="dxa"/>
          </w:tcPr>
          <w:p>
            <w:pPr>
              <w:pStyle w:val="TableParagraph"/>
              <w:spacing w:line="227" w:lineRule="exact"/>
              <w:ind w:right="2"/>
              <w:rPr>
                <w:sz w:val="20"/>
              </w:rPr>
            </w:pPr>
            <w:r>
              <w:rPr>
                <w:sz w:val="20"/>
                <w:u w:val="single"/>
              </w:rPr>
              <w:t>7,106</w:t>
            </w:r>
          </w:p>
        </w:tc>
        <w:tc>
          <w:tcPr>
            <w:tcW w:w="1490" w:type="dxa"/>
          </w:tcPr>
          <w:p>
            <w:pPr>
              <w:pStyle w:val="TableParagraph"/>
              <w:spacing w:line="227" w:lineRule="exact"/>
              <w:ind w:right="52"/>
              <w:rPr>
                <w:sz w:val="20"/>
              </w:rPr>
            </w:pPr>
            <w:r>
              <w:rPr>
                <w:sz w:val="20"/>
                <w:u w:val="single"/>
              </w:rPr>
              <w:t>10,440</w:t>
            </w:r>
          </w:p>
        </w:tc>
      </w:tr>
      <w:tr>
        <w:trPr>
          <w:trHeight w:val="230" w:hRule="exact"/>
        </w:trPr>
        <w:tc>
          <w:tcPr>
            <w:tcW w:w="4288" w:type="dxa"/>
          </w:tcPr>
          <w:p>
            <w:pPr>
              <w:pStyle w:val="TableParagraph"/>
              <w:spacing w:line="227" w:lineRule="exact"/>
              <w:ind w:left="50"/>
              <w:jc w:val="left"/>
              <w:rPr>
                <w:sz w:val="20"/>
              </w:rPr>
            </w:pPr>
            <w:r>
              <w:rPr>
                <w:sz w:val="20"/>
              </w:rPr>
              <w:t>Net cash provided by operating activities</w:t>
            </w:r>
          </w:p>
        </w:tc>
        <w:tc>
          <w:tcPr>
            <w:tcW w:w="1368" w:type="dxa"/>
          </w:tcPr>
          <w:p>
            <w:pPr>
              <w:pStyle w:val="TableParagraph"/>
              <w:spacing w:line="227" w:lineRule="exact"/>
              <w:ind w:right="2"/>
              <w:rPr>
                <w:sz w:val="20"/>
              </w:rPr>
            </w:pPr>
            <w:r>
              <w:rPr>
                <w:sz w:val="20"/>
              </w:rPr>
              <w:t>456,442</w:t>
            </w:r>
          </w:p>
        </w:tc>
        <w:tc>
          <w:tcPr>
            <w:tcW w:w="1440" w:type="dxa"/>
          </w:tcPr>
          <w:p>
            <w:pPr>
              <w:pStyle w:val="TableParagraph"/>
              <w:spacing w:line="227" w:lineRule="exact"/>
              <w:ind w:right="2"/>
              <w:rPr>
                <w:sz w:val="20"/>
              </w:rPr>
            </w:pPr>
            <w:r>
              <w:rPr>
                <w:sz w:val="20"/>
              </w:rPr>
              <w:t>412,666</w:t>
            </w:r>
          </w:p>
        </w:tc>
        <w:tc>
          <w:tcPr>
            <w:tcW w:w="1490" w:type="dxa"/>
          </w:tcPr>
          <w:p>
            <w:pPr>
              <w:pStyle w:val="TableParagraph"/>
              <w:spacing w:line="227" w:lineRule="exact"/>
              <w:ind w:right="52"/>
              <w:rPr>
                <w:sz w:val="20"/>
              </w:rPr>
            </w:pPr>
            <w:r>
              <w:rPr>
                <w:sz w:val="20"/>
              </w:rPr>
              <w:t>392,679</w:t>
            </w:r>
          </w:p>
        </w:tc>
      </w:tr>
      <w:tr>
        <w:trPr>
          <w:trHeight w:val="230" w:hRule="exact"/>
        </w:trPr>
        <w:tc>
          <w:tcPr>
            <w:tcW w:w="4288" w:type="dxa"/>
          </w:tcPr>
          <w:p>
            <w:pPr>
              <w:pStyle w:val="TableParagraph"/>
              <w:spacing w:line="227" w:lineRule="exact"/>
              <w:ind w:left="50"/>
              <w:jc w:val="left"/>
              <w:rPr>
                <w:sz w:val="20"/>
              </w:rPr>
            </w:pPr>
            <w:r>
              <w:rPr>
                <w:sz w:val="20"/>
              </w:rPr>
              <w:t>CASH FLOWS FROM INVESTING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Purchases  of property and equipment</w:t>
            </w:r>
          </w:p>
        </w:tc>
        <w:tc>
          <w:tcPr>
            <w:tcW w:w="1368" w:type="dxa"/>
          </w:tcPr>
          <w:p>
            <w:pPr>
              <w:pStyle w:val="TableParagraph"/>
              <w:spacing w:line="227" w:lineRule="exact"/>
              <w:rPr>
                <w:sz w:val="20"/>
              </w:rPr>
            </w:pPr>
            <w:r>
              <w:rPr>
                <w:sz w:val="20"/>
                <w:u w:val="single"/>
              </w:rPr>
              <w:t>(728,643)</w:t>
            </w:r>
          </w:p>
        </w:tc>
        <w:tc>
          <w:tcPr>
            <w:tcW w:w="1440" w:type="dxa"/>
          </w:tcPr>
          <w:p>
            <w:pPr>
              <w:pStyle w:val="TableParagraph"/>
              <w:spacing w:line="227" w:lineRule="exact"/>
              <w:rPr>
                <w:sz w:val="20"/>
              </w:rPr>
            </w:pPr>
            <w:r>
              <w:rPr>
                <w:sz w:val="20"/>
                <w:u w:val="single"/>
              </w:rPr>
              <w:t>(788,649)</w:t>
            </w:r>
          </w:p>
        </w:tc>
        <w:tc>
          <w:tcPr>
            <w:tcW w:w="1490" w:type="dxa"/>
          </w:tcPr>
          <w:p>
            <w:pPr>
              <w:pStyle w:val="TableParagraph"/>
              <w:spacing w:line="227" w:lineRule="exact"/>
              <w:ind w:right="48"/>
              <w:rPr>
                <w:sz w:val="20"/>
              </w:rPr>
            </w:pPr>
            <w:r>
              <w:rPr>
                <w:sz w:val="20"/>
                <w:u w:val="single"/>
              </w:rPr>
              <w:t>(524,169)</w:t>
            </w:r>
          </w:p>
        </w:tc>
      </w:tr>
      <w:tr>
        <w:trPr>
          <w:trHeight w:val="230" w:hRule="exact"/>
        </w:trPr>
        <w:tc>
          <w:tcPr>
            <w:tcW w:w="4288" w:type="dxa"/>
          </w:tcPr>
          <w:p>
            <w:pPr>
              <w:pStyle w:val="TableParagraph"/>
              <w:spacing w:line="227" w:lineRule="exact"/>
              <w:ind w:left="50"/>
              <w:jc w:val="left"/>
              <w:rPr>
                <w:sz w:val="20"/>
              </w:rPr>
            </w:pPr>
            <w:r>
              <w:rPr>
                <w:sz w:val="20"/>
              </w:rPr>
              <w:t>Net cash used in investing activities</w:t>
            </w:r>
          </w:p>
        </w:tc>
        <w:tc>
          <w:tcPr>
            <w:tcW w:w="1368" w:type="dxa"/>
          </w:tcPr>
          <w:p>
            <w:pPr>
              <w:pStyle w:val="TableParagraph"/>
              <w:spacing w:line="227" w:lineRule="exact"/>
              <w:rPr>
                <w:sz w:val="20"/>
              </w:rPr>
            </w:pPr>
            <w:r>
              <w:rPr>
                <w:sz w:val="20"/>
              </w:rPr>
              <w:t>(728,643)</w:t>
            </w:r>
          </w:p>
        </w:tc>
        <w:tc>
          <w:tcPr>
            <w:tcW w:w="1440" w:type="dxa"/>
          </w:tcPr>
          <w:p>
            <w:pPr>
              <w:pStyle w:val="TableParagraph"/>
              <w:spacing w:line="227" w:lineRule="exact"/>
              <w:rPr>
                <w:sz w:val="20"/>
              </w:rPr>
            </w:pPr>
            <w:r>
              <w:rPr>
                <w:sz w:val="20"/>
              </w:rPr>
              <w:t>(788,649)</w:t>
            </w:r>
          </w:p>
        </w:tc>
        <w:tc>
          <w:tcPr>
            <w:tcW w:w="1490" w:type="dxa"/>
          </w:tcPr>
          <w:p>
            <w:pPr>
              <w:pStyle w:val="TableParagraph"/>
              <w:spacing w:line="227" w:lineRule="exact"/>
              <w:ind w:right="48"/>
              <w:rPr>
                <w:sz w:val="20"/>
              </w:rPr>
            </w:pPr>
            <w:r>
              <w:rPr>
                <w:sz w:val="20"/>
              </w:rPr>
              <w:t>(524,169)</w:t>
            </w:r>
          </w:p>
        </w:tc>
      </w:tr>
      <w:tr>
        <w:trPr>
          <w:trHeight w:val="230" w:hRule="exact"/>
        </w:trPr>
        <w:tc>
          <w:tcPr>
            <w:tcW w:w="4288" w:type="dxa"/>
          </w:tcPr>
          <w:p>
            <w:pPr>
              <w:pStyle w:val="TableParagraph"/>
              <w:spacing w:line="227" w:lineRule="exact"/>
              <w:ind w:left="50"/>
              <w:jc w:val="left"/>
              <w:rPr>
                <w:sz w:val="20"/>
              </w:rPr>
            </w:pPr>
            <w:r>
              <w:rPr>
                <w:sz w:val="20"/>
              </w:rPr>
              <w:t>CASH FLOWS FROM FINANCING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Issuance of long-term debt</w:t>
            </w:r>
          </w:p>
        </w:tc>
        <w:tc>
          <w:tcPr>
            <w:tcW w:w="1368" w:type="dxa"/>
          </w:tcPr>
          <w:p>
            <w:pPr>
              <w:pStyle w:val="TableParagraph"/>
              <w:spacing w:line="227" w:lineRule="exact"/>
              <w:ind w:right="2"/>
              <w:rPr>
                <w:sz w:val="20"/>
              </w:rPr>
            </w:pPr>
            <w:r>
              <w:rPr>
                <w:sz w:val="20"/>
              </w:rPr>
              <w:t>98,811</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2"/>
              <w:rPr>
                <w:sz w:val="20"/>
              </w:rPr>
            </w:pPr>
            <w:r>
              <w:rPr>
                <w:sz w:val="20"/>
              </w:rPr>
              <w:t>17,810</w:t>
            </w:r>
          </w:p>
        </w:tc>
      </w:tr>
      <w:tr>
        <w:trPr>
          <w:trHeight w:val="230" w:hRule="exact"/>
        </w:trPr>
        <w:tc>
          <w:tcPr>
            <w:tcW w:w="4288" w:type="dxa"/>
          </w:tcPr>
          <w:p>
            <w:pPr>
              <w:pStyle w:val="TableParagraph"/>
              <w:spacing w:line="227" w:lineRule="exact"/>
              <w:ind w:left="50"/>
              <w:jc w:val="left"/>
              <w:rPr>
                <w:sz w:val="20"/>
              </w:rPr>
            </w:pPr>
            <w:r>
              <w:rPr>
                <w:sz w:val="20"/>
              </w:rPr>
              <w:t>Proceeds  from aircraft sale and leaseback</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transactions</w:t>
            </w:r>
          </w:p>
        </w:tc>
        <w:tc>
          <w:tcPr>
            <w:tcW w:w="1368" w:type="dxa"/>
          </w:tcPr>
          <w:p>
            <w:pPr>
              <w:pStyle w:val="TableParagraph"/>
              <w:spacing w:line="227" w:lineRule="exact"/>
              <w:ind w:right="2"/>
              <w:rPr>
                <w:sz w:val="20"/>
              </w:rPr>
            </w:pPr>
            <w:r>
              <w:rPr>
                <w:sz w:val="20"/>
              </w:rPr>
              <w:t>321,650</w:t>
            </w:r>
          </w:p>
        </w:tc>
        <w:tc>
          <w:tcPr>
            <w:tcW w:w="1440" w:type="dxa"/>
          </w:tcPr>
          <w:p>
            <w:pPr>
              <w:pStyle w:val="TableParagraph"/>
              <w:spacing w:line="227" w:lineRule="exact"/>
              <w:ind w:right="2"/>
              <w:rPr>
                <w:sz w:val="20"/>
              </w:rPr>
            </w:pPr>
            <w:r>
              <w:rPr>
                <w:sz w:val="20"/>
              </w:rPr>
              <w:t>315,000</w:t>
            </w:r>
          </w:p>
        </w:tc>
        <w:tc>
          <w:tcPr>
            <w:tcW w:w="1490" w:type="dxa"/>
          </w:tcPr>
          <w:p>
            <w:pPr>
              <w:pStyle w:val="TableParagraph"/>
              <w:spacing w:line="227" w:lineRule="exact"/>
              <w:ind w:right="52"/>
              <w:rPr>
                <w:sz w:val="20"/>
              </w:rPr>
            </w:pPr>
            <w:r>
              <w:rPr>
                <w:sz w:val="20"/>
              </w:rPr>
              <w:t>90,000</w:t>
            </w:r>
          </w:p>
        </w:tc>
      </w:tr>
      <w:tr>
        <w:trPr>
          <w:trHeight w:val="230" w:hRule="exact"/>
        </w:trPr>
        <w:tc>
          <w:tcPr>
            <w:tcW w:w="4288" w:type="dxa"/>
          </w:tcPr>
          <w:p>
            <w:pPr>
              <w:pStyle w:val="TableParagraph"/>
              <w:spacing w:line="227" w:lineRule="exact"/>
              <w:ind w:left="50"/>
              <w:jc w:val="left"/>
              <w:rPr>
                <w:sz w:val="20"/>
              </w:rPr>
            </w:pPr>
            <w:r>
              <w:rPr>
                <w:sz w:val="20"/>
              </w:rPr>
              <w:t>Payment of long-term debt and capital lease</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obligations</w:t>
            </w:r>
          </w:p>
        </w:tc>
        <w:tc>
          <w:tcPr>
            <w:tcW w:w="1368" w:type="dxa"/>
          </w:tcPr>
          <w:p>
            <w:pPr>
              <w:pStyle w:val="TableParagraph"/>
              <w:spacing w:line="227" w:lineRule="exact"/>
              <w:rPr>
                <w:sz w:val="20"/>
              </w:rPr>
            </w:pPr>
            <w:r>
              <w:rPr>
                <w:sz w:val="20"/>
              </w:rPr>
              <w:t>(10,379)</w:t>
            </w:r>
          </w:p>
        </w:tc>
        <w:tc>
          <w:tcPr>
            <w:tcW w:w="1440" w:type="dxa"/>
          </w:tcPr>
          <w:p>
            <w:pPr>
              <w:pStyle w:val="TableParagraph"/>
              <w:spacing w:line="227" w:lineRule="exact"/>
              <w:rPr>
                <w:sz w:val="20"/>
              </w:rPr>
            </w:pPr>
            <w:r>
              <w:rPr>
                <w:sz w:val="20"/>
              </w:rPr>
              <w:t>(63,071)</w:t>
            </w:r>
          </w:p>
        </w:tc>
        <w:tc>
          <w:tcPr>
            <w:tcW w:w="1490" w:type="dxa"/>
          </w:tcPr>
          <w:p>
            <w:pPr>
              <w:pStyle w:val="TableParagraph"/>
              <w:spacing w:line="227" w:lineRule="exact"/>
              <w:ind w:right="48"/>
              <w:rPr>
                <w:sz w:val="20"/>
              </w:rPr>
            </w:pPr>
            <w:r>
              <w:rPr>
                <w:sz w:val="20"/>
              </w:rPr>
              <w:t>(120,098)</w:t>
            </w:r>
          </w:p>
        </w:tc>
      </w:tr>
      <w:tr>
        <w:trPr>
          <w:trHeight w:val="230" w:hRule="exact"/>
        </w:trPr>
        <w:tc>
          <w:tcPr>
            <w:tcW w:w="4288" w:type="dxa"/>
          </w:tcPr>
          <w:p>
            <w:pPr>
              <w:pStyle w:val="TableParagraph"/>
              <w:spacing w:line="227" w:lineRule="exact"/>
              <w:ind w:left="50"/>
              <w:jc w:val="left"/>
              <w:rPr>
                <w:sz w:val="20"/>
              </w:rPr>
            </w:pPr>
            <w:r>
              <w:rPr>
                <w:sz w:val="20"/>
              </w:rPr>
              <w:t>Payment of cash dividends</w:t>
            </w:r>
          </w:p>
        </w:tc>
        <w:tc>
          <w:tcPr>
            <w:tcW w:w="1368" w:type="dxa"/>
          </w:tcPr>
          <w:p>
            <w:pPr>
              <w:pStyle w:val="TableParagraph"/>
              <w:spacing w:line="227" w:lineRule="exact"/>
              <w:ind w:right="1"/>
              <w:rPr>
                <w:sz w:val="20"/>
              </w:rPr>
            </w:pPr>
            <w:r>
              <w:rPr>
                <w:sz w:val="20"/>
              </w:rPr>
              <w:t>(5,749)</w:t>
            </w:r>
          </w:p>
        </w:tc>
        <w:tc>
          <w:tcPr>
            <w:tcW w:w="1440" w:type="dxa"/>
          </w:tcPr>
          <w:p>
            <w:pPr>
              <w:pStyle w:val="TableParagraph"/>
              <w:spacing w:line="227" w:lineRule="exact"/>
              <w:ind w:right="1"/>
              <w:rPr>
                <w:sz w:val="20"/>
              </w:rPr>
            </w:pPr>
            <w:r>
              <w:rPr>
                <w:sz w:val="20"/>
              </w:rPr>
              <w:t>(5,722)</w:t>
            </w:r>
          </w:p>
        </w:tc>
        <w:tc>
          <w:tcPr>
            <w:tcW w:w="1490" w:type="dxa"/>
          </w:tcPr>
          <w:p>
            <w:pPr>
              <w:pStyle w:val="TableParagraph"/>
              <w:spacing w:line="227" w:lineRule="exact"/>
              <w:ind w:right="49"/>
              <w:rPr>
                <w:sz w:val="20"/>
              </w:rPr>
            </w:pPr>
            <w:r>
              <w:rPr>
                <w:sz w:val="20"/>
              </w:rPr>
              <w:t>(5,376)</w:t>
            </w:r>
          </w:p>
        </w:tc>
      </w:tr>
      <w:tr>
        <w:trPr>
          <w:trHeight w:val="230" w:hRule="exact"/>
        </w:trPr>
        <w:tc>
          <w:tcPr>
            <w:tcW w:w="4288" w:type="dxa"/>
          </w:tcPr>
          <w:p>
            <w:pPr>
              <w:pStyle w:val="TableParagraph"/>
              <w:spacing w:line="227" w:lineRule="exact"/>
              <w:ind w:left="50"/>
              <w:jc w:val="left"/>
              <w:rPr>
                <w:sz w:val="20"/>
              </w:rPr>
            </w:pPr>
            <w:r>
              <w:rPr>
                <w:sz w:val="20"/>
              </w:rPr>
              <w:t>Proceeds  from Employee stock plans</w:t>
            </w:r>
          </w:p>
        </w:tc>
        <w:tc>
          <w:tcPr>
            <w:tcW w:w="1368" w:type="dxa"/>
          </w:tcPr>
          <w:p>
            <w:pPr>
              <w:pStyle w:val="TableParagraph"/>
              <w:spacing w:line="227" w:lineRule="exact"/>
              <w:ind w:right="2"/>
              <w:rPr>
                <w:sz w:val="20"/>
              </w:rPr>
            </w:pPr>
            <w:r>
              <w:rPr>
                <w:sz w:val="20"/>
              </w:rPr>
              <w:t>10,693</w:t>
            </w:r>
          </w:p>
        </w:tc>
        <w:tc>
          <w:tcPr>
            <w:tcW w:w="1440" w:type="dxa"/>
          </w:tcPr>
          <w:p>
            <w:pPr>
              <w:pStyle w:val="TableParagraph"/>
              <w:spacing w:line="227" w:lineRule="exact"/>
              <w:ind w:right="2"/>
              <w:rPr>
                <w:sz w:val="20"/>
              </w:rPr>
            </w:pPr>
            <w:r>
              <w:rPr>
                <w:sz w:val="20"/>
              </w:rPr>
              <w:t>8,743</w:t>
            </w:r>
          </w:p>
        </w:tc>
        <w:tc>
          <w:tcPr>
            <w:tcW w:w="1490" w:type="dxa"/>
          </w:tcPr>
          <w:p>
            <w:pPr>
              <w:pStyle w:val="TableParagraph"/>
              <w:spacing w:line="227" w:lineRule="exact"/>
              <w:ind w:right="52"/>
              <w:rPr>
                <w:sz w:val="20"/>
              </w:rPr>
            </w:pPr>
            <w:r>
              <w:rPr>
                <w:sz w:val="20"/>
              </w:rPr>
              <w:t>6,743</w:t>
            </w:r>
          </w:p>
        </w:tc>
      </w:tr>
      <w:tr>
        <w:trPr>
          <w:trHeight w:val="228" w:hRule="exact"/>
        </w:trPr>
        <w:tc>
          <w:tcPr>
            <w:tcW w:w="4288" w:type="dxa"/>
          </w:tcPr>
          <w:p>
            <w:pPr>
              <w:pStyle w:val="TableParagraph"/>
              <w:spacing w:line="227" w:lineRule="exact"/>
              <w:ind w:left="50"/>
              <w:jc w:val="left"/>
              <w:rPr>
                <w:sz w:val="20"/>
              </w:rPr>
            </w:pPr>
            <w:r>
              <w:rPr>
                <w:sz w:val="20"/>
              </w:rPr>
              <w:t>Other</w:t>
            </w:r>
          </w:p>
        </w:tc>
        <w:tc>
          <w:tcPr>
            <w:tcW w:w="1368" w:type="dxa"/>
          </w:tcPr>
          <w:p>
            <w:pPr>
              <w:pStyle w:val="TableParagraph"/>
              <w:spacing w:line="227" w:lineRule="exact"/>
              <w:ind w:right="2"/>
              <w:rPr>
                <w:sz w:val="20"/>
              </w:rPr>
            </w:pPr>
            <w:r>
              <w:rPr>
                <w:w w:val="100"/>
                <w:sz w:val="20"/>
              </w:rPr>
              <w:t>-</w:t>
            </w:r>
          </w:p>
        </w:tc>
        <w:tc>
          <w:tcPr>
            <w:tcW w:w="1440" w:type="dxa"/>
          </w:tcPr>
          <w:p>
            <w:pPr>
              <w:pStyle w:val="TableParagraph"/>
              <w:spacing w:line="227" w:lineRule="exact"/>
              <w:ind w:right="2"/>
              <w:rPr>
                <w:sz w:val="20"/>
              </w:rPr>
            </w:pPr>
            <w:r>
              <w:rPr>
                <w:w w:val="100"/>
                <w:sz w:val="20"/>
              </w:rPr>
              <w:t>-</w:t>
            </w:r>
          </w:p>
        </w:tc>
        <w:tc>
          <w:tcPr>
            <w:tcW w:w="1490" w:type="dxa"/>
          </w:tcPr>
          <w:p>
            <w:pPr>
              <w:pStyle w:val="TableParagraph"/>
              <w:spacing w:line="227" w:lineRule="exact"/>
              <w:ind w:right="52"/>
              <w:rPr>
                <w:sz w:val="20"/>
              </w:rPr>
            </w:pPr>
            <w:r>
              <w:rPr>
                <w:sz w:val="20"/>
                <w:u w:val="single"/>
              </w:rPr>
              <w:t>(7)</w:t>
            </w:r>
          </w:p>
        </w:tc>
      </w:tr>
      <w:tr>
        <w:trPr>
          <w:trHeight w:val="233" w:hRule="exact"/>
        </w:trPr>
        <w:tc>
          <w:tcPr>
            <w:tcW w:w="4288" w:type="dxa"/>
          </w:tcPr>
          <w:p>
            <w:pPr>
              <w:pStyle w:val="TableParagraph"/>
              <w:ind w:left="50"/>
              <w:jc w:val="left"/>
              <w:rPr>
                <w:sz w:val="20"/>
              </w:rPr>
            </w:pPr>
            <w:r>
              <w:rPr>
                <w:sz w:val="20"/>
              </w:rPr>
              <w:t>Net cash provided by (used in) financing</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activities</w:t>
            </w:r>
          </w:p>
        </w:tc>
        <w:tc>
          <w:tcPr>
            <w:tcW w:w="1368" w:type="dxa"/>
          </w:tcPr>
          <w:p>
            <w:pPr>
              <w:pStyle w:val="TableParagraph"/>
              <w:spacing w:line="227" w:lineRule="exact"/>
              <w:ind w:right="2"/>
              <w:rPr>
                <w:sz w:val="20"/>
              </w:rPr>
            </w:pPr>
            <w:r>
              <w:rPr>
                <w:sz w:val="20"/>
                <w:u w:val="single"/>
              </w:rPr>
              <w:t>415,026</w:t>
            </w:r>
          </w:p>
        </w:tc>
        <w:tc>
          <w:tcPr>
            <w:tcW w:w="1440" w:type="dxa"/>
          </w:tcPr>
          <w:p>
            <w:pPr>
              <w:pStyle w:val="TableParagraph"/>
              <w:spacing w:line="227" w:lineRule="exact"/>
              <w:ind w:right="2"/>
              <w:rPr>
                <w:sz w:val="20"/>
              </w:rPr>
            </w:pPr>
            <w:r>
              <w:rPr>
                <w:sz w:val="20"/>
                <w:u w:val="single"/>
              </w:rPr>
              <w:t>254,950</w:t>
            </w:r>
          </w:p>
        </w:tc>
        <w:tc>
          <w:tcPr>
            <w:tcW w:w="1490" w:type="dxa"/>
          </w:tcPr>
          <w:p>
            <w:pPr>
              <w:pStyle w:val="TableParagraph"/>
              <w:spacing w:line="227" w:lineRule="exact"/>
              <w:ind w:right="48"/>
              <w:rPr>
                <w:sz w:val="20"/>
              </w:rPr>
            </w:pPr>
            <w:r>
              <w:rPr>
                <w:sz w:val="20"/>
                <w:u w:val="single"/>
              </w:rPr>
              <w:t>(10,928)</w:t>
            </w:r>
          </w:p>
        </w:tc>
      </w:tr>
      <w:tr>
        <w:trPr>
          <w:trHeight w:val="230" w:hRule="exact"/>
        </w:trPr>
        <w:tc>
          <w:tcPr>
            <w:tcW w:w="4288" w:type="dxa"/>
          </w:tcPr>
          <w:p>
            <w:pPr>
              <w:pStyle w:val="TableParagraph"/>
              <w:spacing w:line="227" w:lineRule="exact"/>
              <w:ind w:left="50"/>
              <w:jc w:val="left"/>
              <w:rPr>
                <w:sz w:val="20"/>
              </w:rPr>
            </w:pPr>
            <w:r>
              <w:rPr>
                <w:sz w:val="20"/>
              </w:rPr>
              <w:t>NET INCREASE (DECREASE) IN CASH AND</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CASH EQUIVALENTS</w:t>
            </w:r>
          </w:p>
        </w:tc>
        <w:tc>
          <w:tcPr>
            <w:tcW w:w="1368" w:type="dxa"/>
          </w:tcPr>
          <w:p>
            <w:pPr>
              <w:pStyle w:val="TableParagraph"/>
              <w:spacing w:line="227" w:lineRule="exact"/>
              <w:ind w:right="2"/>
              <w:rPr>
                <w:sz w:val="20"/>
              </w:rPr>
            </w:pPr>
            <w:r>
              <w:rPr>
                <w:sz w:val="20"/>
              </w:rPr>
              <w:t>142,825</w:t>
            </w:r>
          </w:p>
        </w:tc>
        <w:tc>
          <w:tcPr>
            <w:tcW w:w="1440" w:type="dxa"/>
          </w:tcPr>
          <w:p>
            <w:pPr>
              <w:pStyle w:val="TableParagraph"/>
              <w:spacing w:line="227" w:lineRule="exact"/>
              <w:rPr>
                <w:sz w:val="20"/>
              </w:rPr>
            </w:pPr>
            <w:r>
              <w:rPr>
                <w:sz w:val="20"/>
              </w:rPr>
              <w:t>(121,033)</w:t>
            </w:r>
          </w:p>
        </w:tc>
        <w:tc>
          <w:tcPr>
            <w:tcW w:w="1490" w:type="dxa"/>
          </w:tcPr>
          <w:p>
            <w:pPr>
              <w:pStyle w:val="TableParagraph"/>
              <w:spacing w:line="227" w:lineRule="exact"/>
              <w:ind w:right="48"/>
              <w:rPr>
                <w:sz w:val="20"/>
              </w:rPr>
            </w:pPr>
            <w:r>
              <w:rPr>
                <w:sz w:val="20"/>
              </w:rPr>
              <w:t>(142,418)</w:t>
            </w:r>
          </w:p>
        </w:tc>
      </w:tr>
      <w:tr>
        <w:trPr>
          <w:trHeight w:val="230" w:hRule="exact"/>
        </w:trPr>
        <w:tc>
          <w:tcPr>
            <w:tcW w:w="4288" w:type="dxa"/>
          </w:tcPr>
          <w:p>
            <w:pPr>
              <w:pStyle w:val="TableParagraph"/>
              <w:spacing w:line="227" w:lineRule="exact"/>
              <w:ind w:left="50"/>
              <w:jc w:val="left"/>
              <w:rPr>
                <w:sz w:val="20"/>
              </w:rPr>
            </w:pPr>
            <w:r>
              <w:rPr>
                <w:sz w:val="20"/>
              </w:rPr>
              <w:t>CASH AND CASH EQUIVALENTS AT</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BEGINNING  OF PERIOD</w:t>
            </w:r>
          </w:p>
        </w:tc>
        <w:tc>
          <w:tcPr>
            <w:tcW w:w="1368" w:type="dxa"/>
          </w:tcPr>
          <w:p>
            <w:pPr>
              <w:pStyle w:val="TableParagraph"/>
              <w:spacing w:line="227" w:lineRule="exact"/>
              <w:ind w:right="2"/>
              <w:rPr>
                <w:sz w:val="20"/>
              </w:rPr>
            </w:pPr>
            <w:r>
              <w:rPr>
                <w:sz w:val="20"/>
                <w:u w:val="single"/>
              </w:rPr>
              <w:t>174,538</w:t>
            </w:r>
          </w:p>
        </w:tc>
        <w:tc>
          <w:tcPr>
            <w:tcW w:w="1440" w:type="dxa"/>
          </w:tcPr>
          <w:p>
            <w:pPr>
              <w:pStyle w:val="TableParagraph"/>
              <w:spacing w:line="227" w:lineRule="exact"/>
              <w:ind w:right="2"/>
              <w:rPr>
                <w:sz w:val="20"/>
              </w:rPr>
            </w:pPr>
            <w:r>
              <w:rPr>
                <w:sz w:val="20"/>
                <w:u w:val="single"/>
              </w:rPr>
              <w:t>295,571</w:t>
            </w:r>
          </w:p>
        </w:tc>
        <w:tc>
          <w:tcPr>
            <w:tcW w:w="1490" w:type="dxa"/>
          </w:tcPr>
          <w:p>
            <w:pPr>
              <w:pStyle w:val="TableParagraph"/>
              <w:spacing w:line="227" w:lineRule="exact"/>
              <w:ind w:right="52"/>
              <w:rPr>
                <w:sz w:val="20"/>
              </w:rPr>
            </w:pPr>
            <w:r>
              <w:rPr>
                <w:sz w:val="20"/>
                <w:u w:val="single"/>
              </w:rPr>
              <w:t>437,989</w:t>
            </w:r>
          </w:p>
        </w:tc>
      </w:tr>
      <w:tr>
        <w:trPr>
          <w:trHeight w:val="230" w:hRule="exact"/>
        </w:trPr>
        <w:tc>
          <w:tcPr>
            <w:tcW w:w="4288" w:type="dxa"/>
          </w:tcPr>
          <w:p>
            <w:pPr>
              <w:pStyle w:val="TableParagraph"/>
              <w:spacing w:line="227" w:lineRule="exact"/>
              <w:ind w:left="50"/>
              <w:jc w:val="left"/>
              <w:rPr>
                <w:sz w:val="20"/>
              </w:rPr>
            </w:pPr>
            <w:r>
              <w:rPr>
                <w:sz w:val="20"/>
              </w:rPr>
              <w:t>CASH AND CASH EQUIVALENTS  AT END</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OF PERIOD</w:t>
            </w:r>
          </w:p>
        </w:tc>
        <w:tc>
          <w:tcPr>
            <w:tcW w:w="1368" w:type="dxa"/>
          </w:tcPr>
          <w:p>
            <w:pPr>
              <w:pStyle w:val="TableParagraph"/>
              <w:spacing w:line="227" w:lineRule="exact"/>
              <w:ind w:right="2"/>
              <w:rPr>
                <w:sz w:val="20"/>
              </w:rPr>
            </w:pPr>
            <w:r>
              <w:rPr>
                <w:sz w:val="20"/>
                <w:u w:val="single"/>
              </w:rPr>
              <w:t>$317,363</w:t>
            </w:r>
          </w:p>
        </w:tc>
        <w:tc>
          <w:tcPr>
            <w:tcW w:w="1440" w:type="dxa"/>
          </w:tcPr>
          <w:p>
            <w:pPr>
              <w:pStyle w:val="TableParagraph"/>
              <w:spacing w:line="227" w:lineRule="exact"/>
              <w:ind w:right="2"/>
              <w:rPr>
                <w:sz w:val="20"/>
              </w:rPr>
            </w:pPr>
            <w:r>
              <w:rPr>
                <w:sz w:val="20"/>
                <w:u w:val="single"/>
              </w:rPr>
              <w:t>$174,538</w:t>
            </w:r>
          </w:p>
        </w:tc>
        <w:tc>
          <w:tcPr>
            <w:tcW w:w="1490" w:type="dxa"/>
          </w:tcPr>
          <w:p>
            <w:pPr>
              <w:pStyle w:val="TableParagraph"/>
              <w:spacing w:line="227" w:lineRule="exact"/>
              <w:ind w:right="52"/>
              <w:rPr>
                <w:sz w:val="20"/>
              </w:rPr>
            </w:pPr>
            <w:r>
              <w:rPr>
                <w:sz w:val="20"/>
                <w:u w:val="single"/>
              </w:rPr>
              <w:t>$295,571</w:t>
            </w:r>
          </w:p>
        </w:tc>
      </w:tr>
      <w:tr>
        <w:trPr>
          <w:trHeight w:val="230" w:hRule="exact"/>
        </w:trPr>
        <w:tc>
          <w:tcPr>
            <w:tcW w:w="4288" w:type="dxa"/>
          </w:tcPr>
          <w:p>
            <w:pPr>
              <w:pStyle w:val="TableParagraph"/>
              <w:spacing w:line="227" w:lineRule="exact"/>
              <w:ind w:left="50"/>
              <w:jc w:val="left"/>
              <w:rPr>
                <w:sz w:val="20"/>
              </w:rPr>
            </w:pPr>
            <w:r>
              <w:rPr>
                <w:sz w:val="20"/>
              </w:rPr>
              <w:t>CASH PAYMENTS FOR:</w:t>
            </w:r>
          </w:p>
        </w:tc>
        <w:tc>
          <w:tcPr>
            <w:tcW w:w="1368" w:type="dxa"/>
          </w:tcPr>
          <w:p>
            <w:pPr/>
          </w:p>
        </w:tc>
        <w:tc>
          <w:tcPr>
            <w:tcW w:w="1440" w:type="dxa"/>
          </w:tcPr>
          <w:p>
            <w:pPr/>
          </w:p>
        </w:tc>
        <w:tc>
          <w:tcPr>
            <w:tcW w:w="1490" w:type="dxa"/>
          </w:tcPr>
          <w:p>
            <w:pPr/>
          </w:p>
        </w:tc>
      </w:tr>
      <w:tr>
        <w:trPr>
          <w:trHeight w:val="230" w:hRule="exact"/>
        </w:trPr>
        <w:tc>
          <w:tcPr>
            <w:tcW w:w="4288" w:type="dxa"/>
          </w:tcPr>
          <w:p>
            <w:pPr>
              <w:pStyle w:val="TableParagraph"/>
              <w:spacing w:line="227" w:lineRule="exact"/>
              <w:ind w:left="50"/>
              <w:jc w:val="left"/>
              <w:rPr>
                <w:sz w:val="20"/>
              </w:rPr>
            </w:pPr>
            <w:r>
              <w:rPr>
                <w:sz w:val="20"/>
              </w:rPr>
              <w:t>Interest, net of amount capitalized</w:t>
            </w:r>
          </w:p>
        </w:tc>
        <w:tc>
          <w:tcPr>
            <w:tcW w:w="1368" w:type="dxa"/>
          </w:tcPr>
          <w:p>
            <w:pPr>
              <w:pStyle w:val="TableParagraph"/>
              <w:spacing w:line="227" w:lineRule="exact"/>
              <w:ind w:right="2"/>
              <w:rPr>
                <w:sz w:val="20"/>
              </w:rPr>
            </w:pPr>
            <w:r>
              <w:rPr>
                <w:sz w:val="20"/>
              </w:rPr>
              <w:t>$25,277</w:t>
            </w:r>
          </w:p>
        </w:tc>
        <w:tc>
          <w:tcPr>
            <w:tcW w:w="1440" w:type="dxa"/>
          </w:tcPr>
          <w:p>
            <w:pPr>
              <w:pStyle w:val="TableParagraph"/>
              <w:spacing w:line="227" w:lineRule="exact"/>
              <w:ind w:right="2"/>
              <w:rPr>
                <w:sz w:val="20"/>
              </w:rPr>
            </w:pPr>
            <w:r>
              <w:rPr>
                <w:sz w:val="20"/>
              </w:rPr>
              <w:t>$26,598</w:t>
            </w:r>
          </w:p>
        </w:tc>
        <w:tc>
          <w:tcPr>
            <w:tcW w:w="1490" w:type="dxa"/>
          </w:tcPr>
          <w:p>
            <w:pPr>
              <w:pStyle w:val="TableParagraph"/>
              <w:spacing w:line="227" w:lineRule="exact"/>
              <w:ind w:right="52"/>
              <w:rPr>
                <w:sz w:val="20"/>
              </w:rPr>
            </w:pPr>
            <w:r>
              <w:rPr>
                <w:sz w:val="20"/>
              </w:rPr>
              <w:t>$ 43,161</w:t>
            </w:r>
          </w:p>
        </w:tc>
      </w:tr>
      <w:tr>
        <w:trPr>
          <w:trHeight w:val="228" w:hRule="exact"/>
        </w:trPr>
        <w:tc>
          <w:tcPr>
            <w:tcW w:w="4288" w:type="dxa"/>
          </w:tcPr>
          <w:p>
            <w:pPr>
              <w:pStyle w:val="TableParagraph"/>
              <w:spacing w:line="227" w:lineRule="exact"/>
              <w:ind w:left="50"/>
              <w:jc w:val="left"/>
              <w:rPr>
                <w:sz w:val="20"/>
              </w:rPr>
            </w:pPr>
            <w:r>
              <w:rPr>
                <w:sz w:val="20"/>
              </w:rPr>
              <w:t>Income taxes</w:t>
            </w:r>
          </w:p>
        </w:tc>
        <w:tc>
          <w:tcPr>
            <w:tcW w:w="1368" w:type="dxa"/>
          </w:tcPr>
          <w:p>
            <w:pPr>
              <w:pStyle w:val="TableParagraph"/>
              <w:spacing w:line="227" w:lineRule="exact"/>
              <w:ind w:right="2"/>
              <w:rPr>
                <w:sz w:val="20"/>
              </w:rPr>
            </w:pPr>
            <w:r>
              <w:rPr>
                <w:sz w:val="20"/>
              </w:rPr>
              <w:t>73,928</w:t>
            </w:r>
          </w:p>
        </w:tc>
        <w:tc>
          <w:tcPr>
            <w:tcW w:w="1440" w:type="dxa"/>
          </w:tcPr>
          <w:p>
            <w:pPr>
              <w:pStyle w:val="TableParagraph"/>
              <w:spacing w:line="227" w:lineRule="exact"/>
              <w:ind w:right="2"/>
              <w:rPr>
                <w:sz w:val="20"/>
              </w:rPr>
            </w:pPr>
            <w:r>
              <w:rPr>
                <w:sz w:val="20"/>
              </w:rPr>
              <w:t>80,461</w:t>
            </w:r>
          </w:p>
        </w:tc>
        <w:tc>
          <w:tcPr>
            <w:tcW w:w="1490" w:type="dxa"/>
          </w:tcPr>
          <w:p>
            <w:pPr>
              <w:pStyle w:val="TableParagraph"/>
              <w:spacing w:line="227" w:lineRule="exact"/>
              <w:ind w:right="52"/>
              <w:rPr>
                <w:sz w:val="20"/>
              </w:rPr>
            </w:pPr>
            <w:r>
              <w:rPr>
                <w:sz w:val="20"/>
              </w:rPr>
              <w:t>45,292</w:t>
            </w:r>
          </w:p>
        </w:tc>
      </w:tr>
    </w:tbl>
    <w:p>
      <w:pPr>
        <w:pStyle w:val="BodyText"/>
        <w:spacing w:before="5"/>
        <w:rPr>
          <w:b/>
        </w:rPr>
      </w:pPr>
    </w:p>
    <w:p>
      <w:pPr>
        <w:spacing w:before="0"/>
        <w:ind w:left="160" w:right="0" w:firstLine="0"/>
        <w:jc w:val="left"/>
        <w:rPr>
          <w:b/>
          <w:sz w:val="20"/>
        </w:rPr>
      </w:pPr>
      <w:r>
        <w:rPr>
          <w:b/>
          <w:sz w:val="20"/>
        </w:rPr>
        <w:t>NOTES TO CONSOLIDATED FINANCIAL STATEMENTS</w:t>
      </w:r>
    </w:p>
    <w:p>
      <w:pPr>
        <w:pStyle w:val="BodyText"/>
        <w:spacing w:before="5"/>
        <w:ind w:left="160"/>
      </w:pPr>
      <w:r>
        <w:rPr/>
        <w:t>December 31, 1995</w:t>
      </w:r>
    </w:p>
    <w:p>
      <w:pPr>
        <w:spacing w:after="0"/>
        <w:sectPr>
          <w:footerReference w:type="default" r:id="rId10"/>
          <w:pgSz w:w="12240" w:h="15840"/>
          <w:pgMar w:footer="790" w:header="0" w:top="1360" w:bottom="980" w:left="1640" w:right="1680"/>
        </w:sectPr>
      </w:pPr>
    </w:p>
    <w:p>
      <w:pPr>
        <w:pStyle w:val="Heading2"/>
        <w:numPr>
          <w:ilvl w:val="0"/>
          <w:numId w:val="2"/>
        </w:numPr>
        <w:tabs>
          <w:tab w:pos="326" w:val="left" w:leader="none"/>
        </w:tabs>
        <w:spacing w:line="240" w:lineRule="auto" w:before="175" w:after="0"/>
        <w:ind w:left="325" w:right="0" w:hanging="225"/>
        <w:jc w:val="left"/>
      </w:pPr>
      <w:r>
        <w:rPr/>
        <w:t>SUMMARY OF SIGNIFICANT ACCOUNTING</w:t>
      </w:r>
      <w:r>
        <w:rPr>
          <w:spacing w:val="13"/>
        </w:rPr>
        <w:t> </w:t>
      </w:r>
      <w:r>
        <w:rPr/>
        <w:t>POLICIES</w:t>
      </w:r>
    </w:p>
    <w:p>
      <w:pPr>
        <w:pStyle w:val="BodyText"/>
        <w:spacing w:before="5"/>
        <w:rPr>
          <w:b/>
        </w:rPr>
      </w:pPr>
    </w:p>
    <w:p>
      <w:pPr>
        <w:pStyle w:val="BodyText"/>
        <w:spacing w:before="1"/>
        <w:ind w:left="100" w:right="189"/>
      </w:pPr>
      <w:r>
        <w:rPr>
          <w:i/>
        </w:rPr>
        <w:t>BASIS OF PRESENTATION </w:t>
      </w:r>
      <w:r>
        <w:rPr/>
        <w:t>Southwest Airlines Co. (Southwest) is a major domestic airline that provides shorthaul, high frequency, point-to-point, low-fare service. The consolidated financial statements include the accounts of Southwest and its wholly owned subsidiaries (the Company). All significant intercompany balances and transactions have been eliminated. The preparation of financial statements in conformity with generally accepted accounting priniciples requires management to make estimates and assumptions that affect the amounts reported in the financial statements and accompanying notes. Actual results could differ from these estimates. Certain prior year amounts have been reclassified for comparison purposes.</w:t>
      </w:r>
    </w:p>
    <w:p>
      <w:pPr>
        <w:pStyle w:val="BodyText"/>
        <w:spacing w:before="1"/>
      </w:pPr>
    </w:p>
    <w:p>
      <w:pPr>
        <w:pStyle w:val="BodyText"/>
        <w:spacing w:line="242" w:lineRule="auto"/>
        <w:ind w:left="100" w:right="256"/>
      </w:pPr>
      <w:r>
        <w:rPr>
          <w:i/>
        </w:rPr>
        <w:t>CASH AND CASH EQUIVALENTS </w:t>
      </w:r>
      <w:r>
        <w:rPr/>
        <w:t>Cash equivalents consist of certificates of deposit and investment grade commercial paper issued by major corporations and financial institutions that are highly liquid and have original maturity dates of three months or less. Cash and cash equivalents are carried at cost, which approximates market value.</w:t>
      </w:r>
    </w:p>
    <w:p>
      <w:pPr>
        <w:pStyle w:val="BodyText"/>
        <w:spacing w:before="10"/>
        <w:rPr>
          <w:sz w:val="19"/>
        </w:rPr>
      </w:pPr>
    </w:p>
    <w:p>
      <w:pPr>
        <w:pStyle w:val="BodyText"/>
        <w:spacing w:line="244" w:lineRule="auto"/>
        <w:ind w:left="100"/>
      </w:pPr>
      <w:r>
        <w:rPr>
          <w:i/>
        </w:rPr>
        <w:t>INVENTORIES </w:t>
      </w:r>
      <w:r>
        <w:rPr/>
        <w:t>Inventories of flight equipment expendable parts, materials, and supplies are carried at average cost. These items are charged to expense when issued for use.</w:t>
      </w:r>
    </w:p>
    <w:p>
      <w:pPr>
        <w:pStyle w:val="BodyText"/>
        <w:spacing w:before="7"/>
        <w:rPr>
          <w:sz w:val="19"/>
        </w:rPr>
      </w:pPr>
    </w:p>
    <w:p>
      <w:pPr>
        <w:pStyle w:val="BodyText"/>
        <w:spacing w:line="242" w:lineRule="auto"/>
        <w:ind w:left="100" w:right="132"/>
      </w:pPr>
      <w:r>
        <w:rPr>
          <w:i/>
        </w:rPr>
        <w:t>PROPERTY AND EQUIPMENT </w:t>
      </w:r>
      <w:r>
        <w:rPr/>
        <w:t>Depreciation is provided by the straight-line method to residual values over periods ranging from 15 to 20 years for flight equipment and 3 to 30 years for ground property and equipment. Property under capital leases and related obligations are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expense.</w:t>
      </w:r>
    </w:p>
    <w:p>
      <w:pPr>
        <w:pStyle w:val="BodyText"/>
        <w:spacing w:before="9"/>
        <w:rPr>
          <w:sz w:val="19"/>
        </w:rPr>
      </w:pPr>
    </w:p>
    <w:p>
      <w:pPr>
        <w:pStyle w:val="BodyText"/>
        <w:spacing w:line="242" w:lineRule="auto"/>
        <w:ind w:left="100" w:right="225"/>
      </w:pPr>
      <w:r>
        <w:rPr>
          <w:i/>
        </w:rPr>
        <w:t>AIRCRAFT AND ENGINE MAINTENANCE </w:t>
      </w:r>
      <w:r>
        <w:rPr/>
        <w:t>The cost of engine overhauls and routine maintenance costs for aircraft and engine maintenance are charged to maintenance expense as incurred. Scheduled airframe overhaul costs are capitalized at amounts not to exceed the fair market value of the related aircraft and amortized over the estimated periods benefited,  presently 8 years. Modifications that significantly enhance the operating performance or extend the useful lives of aircraft or engines are capitalized and amortized over the remaining life of the </w:t>
      </w:r>
      <w:r>
        <w:rPr>
          <w:spacing w:val="-2"/>
        </w:rPr>
        <w:t>asset.</w:t>
      </w:r>
    </w:p>
    <w:p>
      <w:pPr>
        <w:pStyle w:val="BodyText"/>
        <w:spacing w:before="9"/>
        <w:rPr>
          <w:sz w:val="19"/>
        </w:rPr>
      </w:pPr>
    </w:p>
    <w:p>
      <w:pPr>
        <w:pStyle w:val="BodyText"/>
        <w:spacing w:line="242" w:lineRule="auto"/>
        <w:ind w:left="100" w:right="256"/>
      </w:pPr>
      <w:r>
        <w:rPr>
          <w:i/>
        </w:rPr>
        <w:t>REVENUE RECOGNITION </w:t>
      </w:r>
      <w:r>
        <w:rPr/>
        <w:t>Passenger revenue is recognized when the transportation is provided. Tickets sold but not yet used are included in “Air traffic liability”, which includes estimates that are evaluated and adjusted periodically. Any adjustments resulting therefrom are included in results of operations for the periods in which the evaluations are completed.</w:t>
      </w:r>
    </w:p>
    <w:p>
      <w:pPr>
        <w:pStyle w:val="BodyText"/>
        <w:spacing w:before="9"/>
        <w:rPr>
          <w:sz w:val="19"/>
        </w:rPr>
      </w:pPr>
    </w:p>
    <w:p>
      <w:pPr>
        <w:pStyle w:val="BodyText"/>
        <w:spacing w:line="244" w:lineRule="auto"/>
        <w:ind w:left="100" w:right="256"/>
      </w:pPr>
      <w:r>
        <w:rPr>
          <w:i/>
        </w:rPr>
        <w:t>FREQUENT FLYER AWARDS </w:t>
      </w:r>
      <w:r>
        <w:rPr/>
        <w:t>The Company accrues the estimated incremental cost of providing free travel awards earned under its Company Club frequent flyer program.</w:t>
      </w:r>
    </w:p>
    <w:p>
      <w:pPr>
        <w:pStyle w:val="BodyText"/>
        <w:spacing w:before="7"/>
        <w:rPr>
          <w:sz w:val="19"/>
        </w:rPr>
      </w:pPr>
    </w:p>
    <w:p>
      <w:pPr>
        <w:pStyle w:val="BodyText"/>
        <w:spacing w:line="244" w:lineRule="auto"/>
        <w:ind w:left="100" w:right="132"/>
      </w:pPr>
      <w:r>
        <w:rPr>
          <w:i/>
        </w:rPr>
        <w:t>ADVERTISING </w:t>
      </w:r>
      <w:r>
        <w:rPr/>
        <w:t>The Company expenses the production costs of advertising as incurred. Advertising expense for the years ended December 31, 1995, 1994, and 1993 was $92,087,000,</w:t>
      </w:r>
    </w:p>
    <w:p>
      <w:pPr>
        <w:pStyle w:val="BodyText"/>
        <w:spacing w:line="226" w:lineRule="exact"/>
        <w:ind w:left="100"/>
      </w:pPr>
      <w:r>
        <w:rPr/>
        <w:t>$79,475,000, and $55,344,000, respectively.</w:t>
      </w:r>
    </w:p>
    <w:p>
      <w:pPr>
        <w:pStyle w:val="BodyText"/>
        <w:spacing w:before="1"/>
      </w:pPr>
    </w:p>
    <w:p>
      <w:pPr>
        <w:pStyle w:val="BodyText"/>
        <w:spacing w:line="242" w:lineRule="auto"/>
        <w:ind w:left="100" w:right="261"/>
      </w:pPr>
      <w:r>
        <w:rPr>
          <w:i/>
        </w:rPr>
        <w:t>STOCK-BASED EMPLOYEE COMPENSATION </w:t>
      </w:r>
      <w:r>
        <w:rPr/>
        <w:t>The Company accounts for stock-based compensation plans utilizing the provisions of Accounting Principles </w:t>
      </w:r>
      <w:r>
        <w:rPr>
          <w:spacing w:val="-4"/>
        </w:rPr>
        <w:t>Board </w:t>
      </w:r>
      <w:r>
        <w:rPr/>
        <w:t>Opinion No. 25 (APB 25), “Accounting for </w:t>
      </w:r>
      <w:r>
        <w:rPr>
          <w:spacing w:val="-4"/>
        </w:rPr>
        <w:t>Stock </w:t>
      </w:r>
      <w:r>
        <w:rPr/>
        <w:t>Issued to Employees.” In October of 1995, the Financial Accounting </w:t>
      </w:r>
      <w:r>
        <w:rPr>
          <w:spacing w:val="-4"/>
        </w:rPr>
        <w:t>Standards Board </w:t>
      </w:r>
      <w:r>
        <w:rPr/>
        <w:t>issued Statement of Financial Accounting </w:t>
      </w:r>
      <w:r>
        <w:rPr>
          <w:spacing w:val="-4"/>
        </w:rPr>
        <w:t>Standards </w:t>
      </w:r>
      <w:r>
        <w:rPr/>
        <w:t>No. 123 (SFAS 123), “Accounting for </w:t>
      </w:r>
      <w:r>
        <w:rPr>
          <w:spacing w:val="-4"/>
        </w:rPr>
        <w:t>Stock-Based </w:t>
      </w:r>
      <w:r>
        <w:rPr/>
        <w:t>Compensation.” The Company is not required to adopt the provisions of </w:t>
      </w:r>
      <w:r>
        <w:rPr>
          <w:spacing w:val="-3"/>
        </w:rPr>
        <w:t>SFAS </w:t>
      </w:r>
      <w:r>
        <w:rPr/>
        <w:t>123 until 1996. Under </w:t>
      </w:r>
      <w:r>
        <w:rPr>
          <w:spacing w:val="-3"/>
        </w:rPr>
        <w:t>SFAS </w:t>
      </w:r>
      <w:r>
        <w:rPr/>
        <w:t>123, companies are allowed to continue to  apply the provisions of </w:t>
      </w:r>
      <w:r>
        <w:rPr>
          <w:spacing w:val="-3"/>
        </w:rPr>
        <w:t>APB </w:t>
      </w:r>
      <w:r>
        <w:rPr/>
        <w:t>25 to their stock-based employee compensation arrangements.</w:t>
      </w:r>
      <w:r>
        <w:rPr>
          <w:spacing w:val="22"/>
        </w:rPr>
        <w:t> </w:t>
      </w:r>
      <w:r>
        <w:rPr>
          <w:spacing w:val="-3"/>
        </w:rPr>
        <w:t>As</w:t>
      </w:r>
    </w:p>
    <w:p>
      <w:pPr>
        <w:spacing w:after="0" w:line="242" w:lineRule="auto"/>
        <w:sectPr>
          <w:footerReference w:type="default" r:id="rId11"/>
          <w:pgSz w:w="12240" w:h="15840"/>
          <w:pgMar w:footer="790" w:header="0" w:top="1500" w:bottom="980" w:left="1700" w:right="1680"/>
          <w:pgNumType w:start="31"/>
        </w:sectPr>
      </w:pPr>
    </w:p>
    <w:p>
      <w:pPr>
        <w:pStyle w:val="BodyText"/>
        <w:spacing w:before="79"/>
        <w:ind w:left="120"/>
      </w:pPr>
      <w:r>
        <w:rPr/>
        <w:t>such, the Company will only be required to supplement its financial statements with additional disclosures beginning in 1996.</w:t>
      </w:r>
    </w:p>
    <w:p>
      <w:pPr>
        <w:pStyle w:val="BodyText"/>
        <w:spacing w:before="5"/>
      </w:pPr>
    </w:p>
    <w:p>
      <w:pPr>
        <w:pStyle w:val="Heading2"/>
        <w:numPr>
          <w:ilvl w:val="0"/>
          <w:numId w:val="2"/>
        </w:numPr>
        <w:tabs>
          <w:tab w:pos="346" w:val="left" w:leader="none"/>
        </w:tabs>
        <w:spacing w:line="240" w:lineRule="auto" w:before="0" w:after="0"/>
        <w:ind w:left="345" w:right="0" w:hanging="225"/>
        <w:jc w:val="left"/>
      </w:pPr>
      <w:r>
        <w:rPr/>
        <w:t>ACQUISITION</w:t>
      </w:r>
    </w:p>
    <w:p>
      <w:pPr>
        <w:pStyle w:val="BodyText"/>
        <w:spacing w:before="5"/>
        <w:rPr>
          <w:b/>
        </w:rPr>
      </w:pPr>
    </w:p>
    <w:p>
      <w:pPr>
        <w:pStyle w:val="BodyText"/>
        <w:ind w:left="119" w:right="131"/>
      </w:pPr>
      <w:r>
        <w:rPr/>
        <w:t>On December 31, 1993, Southwest exchanged 3,574,656 newly issued shares of its common stock for all of the outstanding stock of Morris Air Corporation (Morris), a low-fare commercial/charter air carrier based in Salt Lake City. The acquisition was accounted for as a pooling of interests and, accordingly, the Company’s consolidated financial statements were restated to include the accounts and operations of Morris for all periods prior to the acquisition.</w:t>
      </w:r>
    </w:p>
    <w:p>
      <w:pPr>
        <w:pStyle w:val="BodyText"/>
      </w:pPr>
    </w:p>
    <w:p>
      <w:pPr>
        <w:pStyle w:val="BodyText"/>
        <w:ind w:left="119"/>
      </w:pPr>
      <w:r>
        <w:rPr/>
        <w:t>Merger expenses of $10,803,000 relating to the merger of Southwest and Morris have been included in 1993 operating expenses as required for financial reporting purposes; however, these expenses have been separately reported as “merger expenses” to reflect the impact of these nonrecurring expenses on operating results.</w:t>
      </w:r>
    </w:p>
    <w:p>
      <w:pPr>
        <w:pStyle w:val="BodyText"/>
        <w:spacing w:before="5"/>
      </w:pPr>
    </w:p>
    <w:p>
      <w:pPr>
        <w:pStyle w:val="Heading2"/>
        <w:numPr>
          <w:ilvl w:val="0"/>
          <w:numId w:val="2"/>
        </w:numPr>
        <w:tabs>
          <w:tab w:pos="346" w:val="left" w:leader="none"/>
        </w:tabs>
        <w:spacing w:line="240" w:lineRule="auto" w:before="0" w:after="0"/>
        <w:ind w:left="345" w:right="0" w:hanging="225"/>
        <w:jc w:val="left"/>
      </w:pPr>
      <w:r>
        <w:rPr/>
        <w:t>ACCOUNTING</w:t>
      </w:r>
      <w:r>
        <w:rPr>
          <w:spacing w:val="-7"/>
        </w:rPr>
        <w:t> </w:t>
      </w:r>
      <w:r>
        <w:rPr/>
        <w:t>CHANGES</w:t>
      </w:r>
    </w:p>
    <w:p>
      <w:pPr>
        <w:pStyle w:val="BodyText"/>
        <w:spacing w:before="5"/>
        <w:rPr>
          <w:b/>
        </w:rPr>
      </w:pPr>
    </w:p>
    <w:p>
      <w:pPr>
        <w:pStyle w:val="BodyText"/>
        <w:spacing w:line="242" w:lineRule="auto"/>
        <w:ind w:left="119" w:right="131"/>
      </w:pPr>
      <w:r>
        <w:rPr>
          <w:i/>
        </w:rPr>
        <w:t>INCOME TAXES </w:t>
      </w:r>
      <w:r>
        <w:rPr/>
        <w:t>Effective January 1, 1993, the Company adopted Statement of Financial Accounting Standards No. 109 (SFAS 109), “Accounting for Income Taxes”. As a result of adopt- ing SFAS 109, the Company recorded deferred tax assets of $6,977,000 and reduced deferred tax liabilities by $9,048,000 at January 1, 1993, which resulted in an increase to the Company’s 1993 net income of $16,025,000 ($.11 per share) for the cumulative effect of the accounting change.</w:t>
      </w:r>
    </w:p>
    <w:p>
      <w:pPr>
        <w:pStyle w:val="BodyText"/>
        <w:spacing w:before="9"/>
        <w:rPr>
          <w:sz w:val="19"/>
        </w:rPr>
      </w:pPr>
    </w:p>
    <w:p>
      <w:pPr>
        <w:pStyle w:val="BodyText"/>
        <w:spacing w:line="242" w:lineRule="auto" w:before="1"/>
        <w:ind w:left="119"/>
      </w:pPr>
      <w:r>
        <w:rPr>
          <w:i/>
        </w:rPr>
        <w:t>POSTRETIREMENT BENEFITS </w:t>
      </w:r>
      <w:r>
        <w:rPr/>
        <w:t>Effective January 1, 1993, the Company adopted Statement of Financial Accounting Standards No. 106 (SFAS 106), “Employers’ Accounting for Postretirement Benefits Other Than Pensions”. The cumulative effect of this change in accounting method at January 1, 1993 reduced 1993 net income by $766,000 (net of benefit from income taxes of</w:t>
      </w:r>
    </w:p>
    <w:p>
      <w:pPr>
        <w:pStyle w:val="BodyText"/>
        <w:ind w:left="119" w:right="815"/>
      </w:pPr>
      <w:r>
        <w:rPr/>
        <w:t>$469,000) or $.01 per share. The effect of adopting SFAS 106 on 1993 income before cumulative effect of accounting changes was not material.</w:t>
      </w:r>
    </w:p>
    <w:p>
      <w:pPr>
        <w:pStyle w:val="BodyText"/>
        <w:spacing w:before="7"/>
      </w:pPr>
    </w:p>
    <w:p>
      <w:pPr>
        <w:pStyle w:val="Heading2"/>
        <w:numPr>
          <w:ilvl w:val="0"/>
          <w:numId w:val="2"/>
        </w:numPr>
        <w:tabs>
          <w:tab w:pos="346" w:val="left" w:leader="none"/>
        </w:tabs>
        <w:spacing w:line="240" w:lineRule="auto" w:before="0" w:after="0"/>
        <w:ind w:left="345" w:right="0" w:hanging="225"/>
        <w:jc w:val="left"/>
      </w:pPr>
      <w:r>
        <w:rPr>
          <w:spacing w:val="2"/>
        </w:rPr>
        <w:t>COMMITMENTS</w:t>
      </w:r>
    </w:p>
    <w:p>
      <w:pPr>
        <w:pStyle w:val="BodyText"/>
        <w:spacing w:before="5"/>
        <w:rPr>
          <w:b/>
        </w:rPr>
      </w:pPr>
    </w:p>
    <w:p>
      <w:pPr>
        <w:pStyle w:val="BodyText"/>
        <w:ind w:left="119" w:right="131"/>
      </w:pPr>
      <w:r>
        <w:rPr/>
        <w:t>The Company’s contractual purchase commitments consist primarily of scheduled aircraft acquisitions. Timing of payments pursuant to contractual commitments was affected by third quarter 1995 amendments to certain aircraft purchase contracts, which modified future progress payment schedules. Twenty 737-300 aircraft are scheduled for delivery in 1996, and 17 in 1997. Four 737-700s are scheduled for delivery in 1997, 16 in 1998, 16 in 1999, 15 in 2000, and 12 in 2001. In addition, the Company has options to purchase up to sixty-seven 737-700s during 1998- 2004. The Company has the option, which must be exercised </w:t>
      </w:r>
      <w:r>
        <w:rPr>
          <w:spacing w:val="-3"/>
        </w:rPr>
        <w:t>two </w:t>
      </w:r>
      <w:r>
        <w:rPr/>
        <w:t>years prior to the contractual delivery date, to substitute 737-600s or 737-800s for the 737-700s delivered subsequent to 1999. </w:t>
      </w:r>
      <w:r>
        <w:rPr>
          <w:spacing w:val="-4"/>
        </w:rPr>
        <w:t>Aggregate </w:t>
      </w:r>
      <w:r>
        <w:rPr/>
        <w:t>funding needed for these commitments is approximately $2,614.0 million, subject to adjustments for inflation, due as follows: $461.5 million in 1996, $576.9 million in 1997, $446.9 million in 1998, $551.2 million in 1999, $351.0 million in 2000, and $226.5 million in</w:t>
      </w:r>
      <w:r>
        <w:rPr>
          <w:spacing w:val="50"/>
        </w:rPr>
        <w:t> </w:t>
      </w:r>
      <w:r>
        <w:rPr/>
        <w:t>2001.</w:t>
      </w:r>
    </w:p>
    <w:p>
      <w:pPr>
        <w:pStyle w:val="BodyText"/>
      </w:pPr>
    </w:p>
    <w:p>
      <w:pPr>
        <w:pStyle w:val="BodyText"/>
        <w:ind w:left="119" w:right="148"/>
      </w:pPr>
      <w:r>
        <w:rPr/>
        <w:t>The Company uses jet fuel and heating oil fixed price swap arrangements to hedge its exposure to price fluctuations on approximately </w:t>
      </w:r>
      <w:r>
        <w:rPr>
          <w:spacing w:val="-3"/>
        </w:rPr>
        <w:t>two </w:t>
      </w:r>
      <w:r>
        <w:rPr/>
        <w:t>percent of its annual fuel requirements. As of December 31, 1995, the Company had a heating oil swap agreement with a broker-dealer to </w:t>
      </w:r>
      <w:r>
        <w:rPr>
          <w:spacing w:val="-3"/>
        </w:rPr>
        <w:t>exchange </w:t>
      </w:r>
      <w:r>
        <w:rPr/>
        <w:t>monthly payments on a notional quantity of 1,050,000 gallons during May 1996. Under the swap agreement, the Company pays or receives the difference between the daily average heating oil price and a fixed price of $.46 per gallon. Gains and losses on such transactions are recorded as adjustments to fuel expense and have been insignificant. Although such agreements expose the Company to credit loss in the event of nonperformance by the other parties to the agreements, the Company does not anticipate such</w:t>
      </w:r>
      <w:r>
        <w:rPr>
          <w:spacing w:val="-10"/>
        </w:rPr>
        <w:t> </w:t>
      </w:r>
      <w:r>
        <w:rPr/>
        <w:t>nonperformance.</w:t>
      </w:r>
    </w:p>
    <w:p>
      <w:pPr>
        <w:spacing w:after="0"/>
        <w:sectPr>
          <w:pgSz w:w="12240" w:h="15840"/>
          <w:pgMar w:header="0" w:footer="790" w:top="1360" w:bottom="980" w:left="1680" w:right="168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53"/>
        <w:gridCol w:w="3015"/>
        <w:gridCol w:w="1214"/>
      </w:tblGrid>
      <w:tr>
        <w:trPr>
          <w:trHeight w:val="230" w:hRule="exact"/>
        </w:trPr>
        <w:tc>
          <w:tcPr>
            <w:tcW w:w="4353" w:type="dxa"/>
          </w:tcPr>
          <w:p>
            <w:pPr>
              <w:pStyle w:val="TableParagraph"/>
              <w:spacing w:line="225" w:lineRule="exact"/>
              <w:ind w:left="50"/>
              <w:jc w:val="left"/>
              <w:rPr>
                <w:b/>
                <w:sz w:val="20"/>
              </w:rPr>
            </w:pPr>
            <w:r>
              <w:rPr>
                <w:b/>
                <w:sz w:val="20"/>
              </w:rPr>
              <w:t>5. ACCRUED LIABILITIES</w:t>
            </w:r>
          </w:p>
        </w:tc>
        <w:tc>
          <w:tcPr>
            <w:tcW w:w="4229" w:type="dxa"/>
            <w:gridSpan w:val="2"/>
          </w:tcPr>
          <w:p>
            <w:pPr/>
          </w:p>
        </w:tc>
      </w:tr>
      <w:tr>
        <w:trPr>
          <w:trHeight w:val="233" w:hRule="exact"/>
        </w:trPr>
        <w:tc>
          <w:tcPr>
            <w:tcW w:w="4353" w:type="dxa"/>
          </w:tcPr>
          <w:p>
            <w:pPr>
              <w:pStyle w:val="TableParagraph"/>
              <w:ind w:left="50"/>
              <w:jc w:val="left"/>
              <w:rPr>
                <w:sz w:val="20"/>
              </w:rPr>
            </w:pPr>
            <w:r>
              <w:rPr>
                <w:sz w:val="20"/>
              </w:rPr>
              <w:t>(in thousands)</w:t>
            </w:r>
          </w:p>
        </w:tc>
        <w:tc>
          <w:tcPr>
            <w:tcW w:w="3015" w:type="dxa"/>
          </w:tcPr>
          <w:p>
            <w:pPr>
              <w:pStyle w:val="TableParagraph"/>
              <w:ind w:left="1874"/>
              <w:jc w:val="left"/>
              <w:rPr>
                <w:sz w:val="20"/>
              </w:rPr>
            </w:pPr>
            <w:r>
              <w:rPr>
                <w:sz w:val="20"/>
              </w:rPr>
              <w:t>1995</w:t>
            </w:r>
          </w:p>
        </w:tc>
        <w:tc>
          <w:tcPr>
            <w:tcW w:w="1214" w:type="dxa"/>
          </w:tcPr>
          <w:p>
            <w:pPr>
              <w:pStyle w:val="TableParagraph"/>
              <w:ind w:left="299"/>
              <w:jc w:val="left"/>
              <w:rPr>
                <w:sz w:val="20"/>
              </w:rPr>
            </w:pPr>
            <w:r>
              <w:rPr>
                <w:sz w:val="20"/>
              </w:rPr>
              <w:t>1994</w:t>
            </w:r>
          </w:p>
        </w:tc>
      </w:tr>
      <w:tr>
        <w:trPr>
          <w:trHeight w:val="230" w:hRule="exact"/>
        </w:trPr>
        <w:tc>
          <w:tcPr>
            <w:tcW w:w="4353" w:type="dxa"/>
          </w:tcPr>
          <w:p>
            <w:pPr>
              <w:pStyle w:val="TableParagraph"/>
              <w:spacing w:line="227" w:lineRule="exact"/>
              <w:ind w:left="50"/>
              <w:jc w:val="left"/>
              <w:rPr>
                <w:sz w:val="20"/>
              </w:rPr>
            </w:pPr>
            <w:r>
              <w:rPr>
                <w:sz w:val="20"/>
              </w:rPr>
              <w:t>Aircraft rentals</w:t>
            </w:r>
          </w:p>
        </w:tc>
        <w:tc>
          <w:tcPr>
            <w:tcW w:w="3015" w:type="dxa"/>
          </w:tcPr>
          <w:p>
            <w:pPr>
              <w:pStyle w:val="TableParagraph"/>
              <w:spacing w:line="227" w:lineRule="exact"/>
              <w:ind w:right="273"/>
              <w:rPr>
                <w:sz w:val="20"/>
              </w:rPr>
            </w:pPr>
            <w:r>
              <w:rPr>
                <w:sz w:val="20"/>
              </w:rPr>
              <w:t>$105,534</w:t>
            </w:r>
          </w:p>
        </w:tc>
        <w:tc>
          <w:tcPr>
            <w:tcW w:w="1214" w:type="dxa"/>
          </w:tcPr>
          <w:p>
            <w:pPr>
              <w:pStyle w:val="TableParagraph"/>
              <w:spacing w:line="227" w:lineRule="exact"/>
              <w:ind w:right="48"/>
              <w:rPr>
                <w:sz w:val="20"/>
              </w:rPr>
            </w:pPr>
            <w:r>
              <w:rPr>
                <w:sz w:val="20"/>
              </w:rPr>
              <w:t>$67,407</w:t>
            </w:r>
          </w:p>
        </w:tc>
      </w:tr>
      <w:tr>
        <w:trPr>
          <w:trHeight w:val="230" w:hRule="exact"/>
        </w:trPr>
        <w:tc>
          <w:tcPr>
            <w:tcW w:w="4353" w:type="dxa"/>
          </w:tcPr>
          <w:p>
            <w:pPr>
              <w:pStyle w:val="TableParagraph"/>
              <w:spacing w:line="227" w:lineRule="exact"/>
              <w:ind w:left="50"/>
              <w:jc w:val="left"/>
              <w:rPr>
                <w:sz w:val="20"/>
              </w:rPr>
            </w:pPr>
            <w:r>
              <w:rPr>
                <w:sz w:val="20"/>
              </w:rPr>
              <w:t>Employee profitsharing and</w:t>
            </w:r>
          </w:p>
        </w:tc>
        <w:tc>
          <w:tcPr>
            <w:tcW w:w="3015" w:type="dxa"/>
          </w:tcPr>
          <w:p>
            <w:pPr/>
          </w:p>
        </w:tc>
        <w:tc>
          <w:tcPr>
            <w:tcW w:w="1214" w:type="dxa"/>
          </w:tcPr>
          <w:p>
            <w:pPr/>
          </w:p>
        </w:tc>
      </w:tr>
      <w:tr>
        <w:trPr>
          <w:trHeight w:val="230" w:hRule="exact"/>
        </w:trPr>
        <w:tc>
          <w:tcPr>
            <w:tcW w:w="4353" w:type="dxa"/>
          </w:tcPr>
          <w:p>
            <w:pPr>
              <w:pStyle w:val="TableParagraph"/>
              <w:spacing w:line="227" w:lineRule="exact"/>
              <w:ind w:left="50"/>
              <w:jc w:val="left"/>
              <w:rPr>
                <w:sz w:val="20"/>
              </w:rPr>
            </w:pPr>
            <w:r>
              <w:rPr>
                <w:sz w:val="20"/>
              </w:rPr>
              <w:t>savings plans (Note 10)</w:t>
            </w:r>
          </w:p>
        </w:tc>
        <w:tc>
          <w:tcPr>
            <w:tcW w:w="3015" w:type="dxa"/>
          </w:tcPr>
          <w:p>
            <w:pPr>
              <w:pStyle w:val="TableParagraph"/>
              <w:spacing w:line="227" w:lineRule="exact"/>
              <w:ind w:right="273"/>
              <w:rPr>
                <w:sz w:val="20"/>
              </w:rPr>
            </w:pPr>
            <w:r>
              <w:rPr>
                <w:sz w:val="20"/>
              </w:rPr>
              <w:t>55,253</w:t>
            </w:r>
          </w:p>
        </w:tc>
        <w:tc>
          <w:tcPr>
            <w:tcW w:w="1214" w:type="dxa"/>
          </w:tcPr>
          <w:p>
            <w:pPr>
              <w:pStyle w:val="TableParagraph"/>
              <w:spacing w:line="227" w:lineRule="exact"/>
              <w:ind w:right="48"/>
              <w:rPr>
                <w:sz w:val="20"/>
              </w:rPr>
            </w:pPr>
            <w:r>
              <w:rPr>
                <w:sz w:val="20"/>
              </w:rPr>
              <w:t>53,512</w:t>
            </w:r>
          </w:p>
        </w:tc>
      </w:tr>
      <w:tr>
        <w:trPr>
          <w:trHeight w:val="230" w:hRule="exact"/>
        </w:trPr>
        <w:tc>
          <w:tcPr>
            <w:tcW w:w="4353" w:type="dxa"/>
          </w:tcPr>
          <w:p>
            <w:pPr>
              <w:pStyle w:val="TableParagraph"/>
              <w:spacing w:line="227" w:lineRule="exact"/>
              <w:ind w:left="50"/>
              <w:jc w:val="left"/>
              <w:rPr>
                <w:sz w:val="20"/>
              </w:rPr>
            </w:pPr>
            <w:r>
              <w:rPr>
                <w:sz w:val="20"/>
              </w:rPr>
              <w:t>Vacation pay</w:t>
            </w:r>
          </w:p>
        </w:tc>
        <w:tc>
          <w:tcPr>
            <w:tcW w:w="3015" w:type="dxa"/>
          </w:tcPr>
          <w:p>
            <w:pPr>
              <w:pStyle w:val="TableParagraph"/>
              <w:spacing w:line="227" w:lineRule="exact"/>
              <w:ind w:right="273"/>
              <w:rPr>
                <w:sz w:val="20"/>
              </w:rPr>
            </w:pPr>
            <w:r>
              <w:rPr>
                <w:sz w:val="20"/>
              </w:rPr>
              <w:t>38,777</w:t>
            </w:r>
          </w:p>
        </w:tc>
        <w:tc>
          <w:tcPr>
            <w:tcW w:w="1214" w:type="dxa"/>
          </w:tcPr>
          <w:p>
            <w:pPr>
              <w:pStyle w:val="TableParagraph"/>
              <w:spacing w:line="227" w:lineRule="exact"/>
              <w:ind w:right="48"/>
              <w:rPr>
                <w:sz w:val="20"/>
              </w:rPr>
            </w:pPr>
            <w:r>
              <w:rPr>
                <w:sz w:val="20"/>
              </w:rPr>
              <w:t>31,801</w:t>
            </w:r>
          </w:p>
        </w:tc>
      </w:tr>
      <w:tr>
        <w:trPr>
          <w:trHeight w:val="230" w:hRule="exact"/>
        </w:trPr>
        <w:tc>
          <w:tcPr>
            <w:tcW w:w="4353" w:type="dxa"/>
          </w:tcPr>
          <w:p>
            <w:pPr>
              <w:pStyle w:val="TableParagraph"/>
              <w:spacing w:line="227" w:lineRule="exact"/>
              <w:ind w:left="50"/>
              <w:jc w:val="left"/>
              <w:rPr>
                <w:sz w:val="20"/>
              </w:rPr>
            </w:pPr>
            <w:r>
              <w:rPr>
                <w:sz w:val="20"/>
              </w:rPr>
              <w:t>Aircraft maintenance costs</w:t>
            </w:r>
          </w:p>
        </w:tc>
        <w:tc>
          <w:tcPr>
            <w:tcW w:w="3015" w:type="dxa"/>
          </w:tcPr>
          <w:p>
            <w:pPr>
              <w:pStyle w:val="TableParagraph"/>
              <w:spacing w:line="227" w:lineRule="exact"/>
              <w:ind w:right="273"/>
              <w:rPr>
                <w:sz w:val="20"/>
              </w:rPr>
            </w:pPr>
            <w:r>
              <w:rPr>
                <w:sz w:val="20"/>
              </w:rPr>
              <w:t>31,463</w:t>
            </w:r>
          </w:p>
        </w:tc>
        <w:tc>
          <w:tcPr>
            <w:tcW w:w="1214" w:type="dxa"/>
          </w:tcPr>
          <w:p>
            <w:pPr>
              <w:pStyle w:val="TableParagraph"/>
              <w:spacing w:line="227" w:lineRule="exact"/>
              <w:ind w:right="48"/>
              <w:rPr>
                <w:sz w:val="20"/>
              </w:rPr>
            </w:pPr>
            <w:r>
              <w:rPr>
                <w:sz w:val="20"/>
              </w:rPr>
              <w:t>37,330</w:t>
            </w:r>
          </w:p>
        </w:tc>
      </w:tr>
      <w:tr>
        <w:trPr>
          <w:trHeight w:val="230" w:hRule="exact"/>
        </w:trPr>
        <w:tc>
          <w:tcPr>
            <w:tcW w:w="4353" w:type="dxa"/>
          </w:tcPr>
          <w:p>
            <w:pPr>
              <w:pStyle w:val="TableParagraph"/>
              <w:spacing w:line="227" w:lineRule="exact"/>
              <w:ind w:left="50"/>
              <w:jc w:val="left"/>
              <w:rPr>
                <w:sz w:val="20"/>
              </w:rPr>
            </w:pPr>
            <w:r>
              <w:rPr>
                <w:sz w:val="20"/>
              </w:rPr>
              <w:t>Taxes, other than income</w:t>
            </w:r>
          </w:p>
        </w:tc>
        <w:tc>
          <w:tcPr>
            <w:tcW w:w="3015" w:type="dxa"/>
          </w:tcPr>
          <w:p>
            <w:pPr>
              <w:pStyle w:val="TableParagraph"/>
              <w:spacing w:line="227" w:lineRule="exact"/>
              <w:ind w:right="273"/>
              <w:rPr>
                <w:sz w:val="20"/>
              </w:rPr>
            </w:pPr>
            <w:r>
              <w:rPr>
                <w:sz w:val="20"/>
              </w:rPr>
              <w:t>22,478</w:t>
            </w:r>
          </w:p>
        </w:tc>
        <w:tc>
          <w:tcPr>
            <w:tcW w:w="1214" w:type="dxa"/>
          </w:tcPr>
          <w:p>
            <w:pPr>
              <w:pStyle w:val="TableParagraph"/>
              <w:spacing w:line="227" w:lineRule="exact"/>
              <w:ind w:right="48"/>
              <w:rPr>
                <w:sz w:val="20"/>
              </w:rPr>
            </w:pPr>
            <w:r>
              <w:rPr>
                <w:sz w:val="20"/>
              </w:rPr>
              <w:t>25,001</w:t>
            </w:r>
          </w:p>
        </w:tc>
      </w:tr>
      <w:tr>
        <w:trPr>
          <w:trHeight w:val="230" w:hRule="exact"/>
        </w:trPr>
        <w:tc>
          <w:tcPr>
            <w:tcW w:w="4353" w:type="dxa"/>
          </w:tcPr>
          <w:p>
            <w:pPr>
              <w:pStyle w:val="TableParagraph"/>
              <w:spacing w:line="227" w:lineRule="exact"/>
              <w:ind w:left="50"/>
              <w:jc w:val="left"/>
              <w:rPr>
                <w:sz w:val="20"/>
              </w:rPr>
            </w:pPr>
            <w:r>
              <w:rPr>
                <w:sz w:val="20"/>
              </w:rPr>
              <w:t>Interest</w:t>
            </w:r>
          </w:p>
        </w:tc>
        <w:tc>
          <w:tcPr>
            <w:tcW w:w="3015" w:type="dxa"/>
          </w:tcPr>
          <w:p>
            <w:pPr>
              <w:pStyle w:val="TableParagraph"/>
              <w:spacing w:line="227" w:lineRule="exact"/>
              <w:ind w:right="273"/>
              <w:rPr>
                <w:sz w:val="20"/>
              </w:rPr>
            </w:pPr>
            <w:r>
              <w:rPr>
                <w:sz w:val="20"/>
              </w:rPr>
              <w:t>22,326</w:t>
            </w:r>
          </w:p>
        </w:tc>
        <w:tc>
          <w:tcPr>
            <w:tcW w:w="1214" w:type="dxa"/>
          </w:tcPr>
          <w:p>
            <w:pPr>
              <w:pStyle w:val="TableParagraph"/>
              <w:spacing w:line="227" w:lineRule="exact"/>
              <w:ind w:right="48"/>
              <w:rPr>
                <w:sz w:val="20"/>
              </w:rPr>
            </w:pPr>
            <w:r>
              <w:rPr>
                <w:sz w:val="20"/>
              </w:rPr>
              <w:t>20,270</w:t>
            </w:r>
          </w:p>
        </w:tc>
      </w:tr>
      <w:tr>
        <w:trPr>
          <w:trHeight w:val="230" w:hRule="exact"/>
        </w:trPr>
        <w:tc>
          <w:tcPr>
            <w:tcW w:w="4353" w:type="dxa"/>
          </w:tcPr>
          <w:p>
            <w:pPr>
              <w:pStyle w:val="TableParagraph"/>
              <w:spacing w:line="227" w:lineRule="exact"/>
              <w:ind w:left="50"/>
              <w:jc w:val="left"/>
              <w:rPr>
                <w:sz w:val="20"/>
              </w:rPr>
            </w:pPr>
            <w:r>
              <w:rPr>
                <w:sz w:val="20"/>
              </w:rPr>
              <w:t>Other</w:t>
            </w:r>
          </w:p>
        </w:tc>
        <w:tc>
          <w:tcPr>
            <w:tcW w:w="3015" w:type="dxa"/>
          </w:tcPr>
          <w:p>
            <w:pPr>
              <w:pStyle w:val="TableParagraph"/>
              <w:spacing w:line="227" w:lineRule="exact"/>
              <w:ind w:right="273"/>
              <w:rPr>
                <w:sz w:val="20"/>
              </w:rPr>
            </w:pPr>
            <w:r>
              <w:rPr>
                <w:sz w:val="20"/>
                <w:u w:val="single"/>
              </w:rPr>
              <w:t>72,645</w:t>
            </w:r>
          </w:p>
        </w:tc>
        <w:tc>
          <w:tcPr>
            <w:tcW w:w="1214" w:type="dxa"/>
          </w:tcPr>
          <w:p>
            <w:pPr>
              <w:pStyle w:val="TableParagraph"/>
              <w:spacing w:line="227" w:lineRule="exact"/>
              <w:ind w:right="48"/>
              <w:rPr>
                <w:sz w:val="20"/>
              </w:rPr>
            </w:pPr>
            <w:r>
              <w:rPr>
                <w:sz w:val="20"/>
                <w:u w:val="single"/>
              </w:rPr>
              <w:t>53,658</w:t>
            </w:r>
          </w:p>
        </w:tc>
      </w:tr>
      <w:tr>
        <w:trPr>
          <w:trHeight w:val="233" w:hRule="exact"/>
        </w:trPr>
        <w:tc>
          <w:tcPr>
            <w:tcW w:w="4353" w:type="dxa"/>
          </w:tcPr>
          <w:p>
            <w:pPr/>
          </w:p>
        </w:tc>
        <w:tc>
          <w:tcPr>
            <w:tcW w:w="3015" w:type="dxa"/>
          </w:tcPr>
          <w:p>
            <w:pPr>
              <w:pStyle w:val="TableParagraph"/>
              <w:spacing w:line="227" w:lineRule="exact"/>
              <w:ind w:right="273"/>
              <w:rPr>
                <w:sz w:val="20"/>
              </w:rPr>
            </w:pPr>
            <w:r>
              <w:rPr>
                <w:sz w:val="20"/>
                <w:u w:val="single"/>
              </w:rPr>
              <w:t>$348,476</w:t>
            </w:r>
          </w:p>
        </w:tc>
        <w:tc>
          <w:tcPr>
            <w:tcW w:w="1214" w:type="dxa"/>
          </w:tcPr>
          <w:p>
            <w:pPr>
              <w:pStyle w:val="TableParagraph"/>
              <w:spacing w:line="227" w:lineRule="exact"/>
              <w:ind w:right="48"/>
              <w:rPr>
                <w:sz w:val="20"/>
              </w:rPr>
            </w:pPr>
            <w:r>
              <w:rPr>
                <w:sz w:val="20"/>
                <w:u w:val="single"/>
              </w:rPr>
              <w:t>$288,979</w:t>
            </w:r>
          </w:p>
        </w:tc>
      </w:tr>
      <w:tr>
        <w:trPr>
          <w:trHeight w:val="235" w:hRule="exact"/>
        </w:trPr>
        <w:tc>
          <w:tcPr>
            <w:tcW w:w="4353" w:type="dxa"/>
          </w:tcPr>
          <w:p>
            <w:pPr>
              <w:pStyle w:val="TableParagraph"/>
              <w:ind w:left="50"/>
              <w:jc w:val="left"/>
              <w:rPr>
                <w:b/>
                <w:sz w:val="20"/>
              </w:rPr>
            </w:pPr>
            <w:r>
              <w:rPr>
                <w:b/>
                <w:sz w:val="20"/>
              </w:rPr>
              <w:t>6. LONG-TERM DEBT</w:t>
            </w:r>
          </w:p>
        </w:tc>
        <w:tc>
          <w:tcPr>
            <w:tcW w:w="3015" w:type="dxa"/>
          </w:tcPr>
          <w:p>
            <w:pPr/>
          </w:p>
        </w:tc>
        <w:tc>
          <w:tcPr>
            <w:tcW w:w="1214" w:type="dxa"/>
          </w:tcPr>
          <w:p>
            <w:pPr/>
          </w:p>
        </w:tc>
      </w:tr>
      <w:tr>
        <w:trPr>
          <w:trHeight w:val="233" w:hRule="exact"/>
        </w:trPr>
        <w:tc>
          <w:tcPr>
            <w:tcW w:w="4353" w:type="dxa"/>
          </w:tcPr>
          <w:p>
            <w:pPr>
              <w:pStyle w:val="TableParagraph"/>
              <w:ind w:left="50"/>
              <w:jc w:val="left"/>
              <w:rPr>
                <w:sz w:val="20"/>
              </w:rPr>
            </w:pPr>
            <w:r>
              <w:rPr>
                <w:sz w:val="20"/>
              </w:rPr>
              <w:t>(in thousands)</w:t>
            </w:r>
          </w:p>
        </w:tc>
        <w:tc>
          <w:tcPr>
            <w:tcW w:w="3015" w:type="dxa"/>
          </w:tcPr>
          <w:p>
            <w:pPr>
              <w:pStyle w:val="TableParagraph"/>
              <w:ind w:left="1874"/>
              <w:jc w:val="left"/>
              <w:rPr>
                <w:sz w:val="20"/>
              </w:rPr>
            </w:pPr>
            <w:r>
              <w:rPr>
                <w:sz w:val="20"/>
              </w:rPr>
              <w:t>1995</w:t>
            </w:r>
          </w:p>
        </w:tc>
        <w:tc>
          <w:tcPr>
            <w:tcW w:w="1214" w:type="dxa"/>
          </w:tcPr>
          <w:p>
            <w:pPr>
              <w:pStyle w:val="TableParagraph"/>
              <w:ind w:left="299"/>
              <w:jc w:val="left"/>
              <w:rPr>
                <w:sz w:val="20"/>
              </w:rPr>
            </w:pPr>
            <w:r>
              <w:rPr>
                <w:sz w:val="20"/>
              </w:rPr>
              <w:t>1994</w:t>
            </w:r>
          </w:p>
        </w:tc>
      </w:tr>
      <w:tr>
        <w:trPr>
          <w:trHeight w:val="230" w:hRule="exact"/>
        </w:trPr>
        <w:tc>
          <w:tcPr>
            <w:tcW w:w="4353" w:type="dxa"/>
          </w:tcPr>
          <w:p>
            <w:pPr>
              <w:pStyle w:val="TableParagraph"/>
              <w:spacing w:line="227" w:lineRule="exact"/>
              <w:ind w:left="50"/>
              <w:jc w:val="left"/>
              <w:rPr>
                <w:sz w:val="20"/>
              </w:rPr>
            </w:pPr>
            <w:r>
              <w:rPr>
                <w:sz w:val="20"/>
              </w:rPr>
              <w:t>9 1/4% Notes due 1998</w:t>
            </w:r>
          </w:p>
        </w:tc>
        <w:tc>
          <w:tcPr>
            <w:tcW w:w="3015" w:type="dxa"/>
          </w:tcPr>
          <w:p>
            <w:pPr>
              <w:pStyle w:val="TableParagraph"/>
              <w:spacing w:line="227" w:lineRule="exact"/>
              <w:ind w:right="273"/>
              <w:rPr>
                <w:sz w:val="20"/>
              </w:rPr>
            </w:pPr>
            <w:r>
              <w:rPr>
                <w:sz w:val="20"/>
              </w:rPr>
              <w:t>$ 100,000</w:t>
            </w:r>
          </w:p>
        </w:tc>
        <w:tc>
          <w:tcPr>
            <w:tcW w:w="1214" w:type="dxa"/>
          </w:tcPr>
          <w:p>
            <w:pPr>
              <w:pStyle w:val="TableParagraph"/>
              <w:spacing w:line="227" w:lineRule="exact"/>
              <w:ind w:right="48"/>
              <w:rPr>
                <w:sz w:val="20"/>
              </w:rPr>
            </w:pPr>
            <w:r>
              <w:rPr>
                <w:sz w:val="20"/>
              </w:rPr>
              <w:t>$ 100,000</w:t>
            </w:r>
          </w:p>
        </w:tc>
      </w:tr>
      <w:tr>
        <w:trPr>
          <w:trHeight w:val="230" w:hRule="exact"/>
        </w:trPr>
        <w:tc>
          <w:tcPr>
            <w:tcW w:w="4353" w:type="dxa"/>
          </w:tcPr>
          <w:p>
            <w:pPr>
              <w:pStyle w:val="TableParagraph"/>
              <w:spacing w:line="227" w:lineRule="exact"/>
              <w:ind w:left="50"/>
              <w:jc w:val="left"/>
              <w:rPr>
                <w:sz w:val="20"/>
              </w:rPr>
            </w:pPr>
            <w:r>
              <w:rPr>
                <w:sz w:val="20"/>
              </w:rPr>
              <w:t>9.4% Notes due 2001</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sz w:val="20"/>
              </w:rPr>
              <w:t>100,000</w:t>
            </w:r>
          </w:p>
        </w:tc>
      </w:tr>
      <w:tr>
        <w:trPr>
          <w:trHeight w:val="230" w:hRule="exact"/>
        </w:trPr>
        <w:tc>
          <w:tcPr>
            <w:tcW w:w="4353" w:type="dxa"/>
          </w:tcPr>
          <w:p>
            <w:pPr>
              <w:pStyle w:val="TableParagraph"/>
              <w:spacing w:line="227" w:lineRule="exact"/>
              <w:ind w:left="50"/>
              <w:jc w:val="left"/>
              <w:rPr>
                <w:sz w:val="20"/>
              </w:rPr>
            </w:pPr>
            <w:r>
              <w:rPr>
                <w:sz w:val="20"/>
              </w:rPr>
              <w:t>8 3/4% Notes due 2003</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sz w:val="20"/>
              </w:rPr>
              <w:t>100,000</w:t>
            </w:r>
          </w:p>
        </w:tc>
      </w:tr>
      <w:tr>
        <w:trPr>
          <w:trHeight w:val="230" w:hRule="exact"/>
        </w:trPr>
        <w:tc>
          <w:tcPr>
            <w:tcW w:w="4353" w:type="dxa"/>
          </w:tcPr>
          <w:p>
            <w:pPr>
              <w:pStyle w:val="TableParagraph"/>
              <w:spacing w:line="227" w:lineRule="exact"/>
              <w:ind w:left="50"/>
              <w:jc w:val="left"/>
              <w:rPr>
                <w:sz w:val="20"/>
              </w:rPr>
            </w:pPr>
            <w:r>
              <w:rPr>
                <w:sz w:val="20"/>
              </w:rPr>
              <w:t>7 7/8% Notes due 2007</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sz w:val="20"/>
              </w:rPr>
              <w:t>100,000</w:t>
            </w:r>
          </w:p>
        </w:tc>
      </w:tr>
      <w:tr>
        <w:trPr>
          <w:trHeight w:val="230" w:hRule="exact"/>
        </w:trPr>
        <w:tc>
          <w:tcPr>
            <w:tcW w:w="4353" w:type="dxa"/>
          </w:tcPr>
          <w:p>
            <w:pPr>
              <w:pStyle w:val="TableParagraph"/>
              <w:spacing w:line="227" w:lineRule="exact"/>
              <w:ind w:left="50"/>
              <w:jc w:val="left"/>
              <w:rPr>
                <w:sz w:val="20"/>
              </w:rPr>
            </w:pPr>
            <w:r>
              <w:rPr>
                <w:sz w:val="20"/>
              </w:rPr>
              <w:t>8% Notes due 2005</w:t>
            </w:r>
          </w:p>
        </w:tc>
        <w:tc>
          <w:tcPr>
            <w:tcW w:w="3015" w:type="dxa"/>
          </w:tcPr>
          <w:p>
            <w:pPr>
              <w:pStyle w:val="TableParagraph"/>
              <w:spacing w:line="227" w:lineRule="exact"/>
              <w:ind w:right="273"/>
              <w:rPr>
                <w:sz w:val="20"/>
              </w:rPr>
            </w:pPr>
            <w:r>
              <w:rPr>
                <w:sz w:val="20"/>
              </w:rPr>
              <w:t>100,000</w:t>
            </w:r>
          </w:p>
        </w:tc>
        <w:tc>
          <w:tcPr>
            <w:tcW w:w="1214" w:type="dxa"/>
          </w:tcPr>
          <w:p>
            <w:pPr>
              <w:pStyle w:val="TableParagraph"/>
              <w:spacing w:line="227" w:lineRule="exact"/>
              <w:ind w:right="48"/>
              <w:rPr>
                <w:sz w:val="20"/>
              </w:rPr>
            </w:pPr>
            <w:r>
              <w:rPr>
                <w:w w:val="100"/>
                <w:sz w:val="20"/>
              </w:rPr>
              <w:t>-</w:t>
            </w:r>
          </w:p>
        </w:tc>
      </w:tr>
      <w:tr>
        <w:trPr>
          <w:trHeight w:val="230" w:hRule="exact"/>
        </w:trPr>
        <w:tc>
          <w:tcPr>
            <w:tcW w:w="4353" w:type="dxa"/>
          </w:tcPr>
          <w:p>
            <w:pPr>
              <w:pStyle w:val="TableParagraph"/>
              <w:spacing w:line="227" w:lineRule="exact"/>
              <w:ind w:left="50"/>
              <w:jc w:val="left"/>
              <w:rPr>
                <w:sz w:val="20"/>
              </w:rPr>
            </w:pPr>
            <w:r>
              <w:rPr>
                <w:sz w:val="20"/>
              </w:rPr>
              <w:t>Capital leases (Note 7)</w:t>
            </w:r>
          </w:p>
        </w:tc>
        <w:tc>
          <w:tcPr>
            <w:tcW w:w="3015" w:type="dxa"/>
          </w:tcPr>
          <w:p>
            <w:pPr>
              <w:pStyle w:val="TableParagraph"/>
              <w:spacing w:line="227" w:lineRule="exact"/>
              <w:ind w:right="273"/>
              <w:rPr>
                <w:sz w:val="20"/>
              </w:rPr>
            </w:pPr>
            <w:r>
              <w:rPr>
                <w:sz w:val="20"/>
              </w:rPr>
              <w:t>177,696</w:t>
            </w:r>
          </w:p>
        </w:tc>
        <w:tc>
          <w:tcPr>
            <w:tcW w:w="1214" w:type="dxa"/>
          </w:tcPr>
          <w:p>
            <w:pPr>
              <w:pStyle w:val="TableParagraph"/>
              <w:spacing w:line="227" w:lineRule="exact"/>
              <w:ind w:right="48"/>
              <w:rPr>
                <w:sz w:val="20"/>
              </w:rPr>
            </w:pPr>
            <w:r>
              <w:rPr>
                <w:sz w:val="20"/>
              </w:rPr>
              <w:t>195,756</w:t>
            </w:r>
          </w:p>
        </w:tc>
      </w:tr>
      <w:tr>
        <w:trPr>
          <w:trHeight w:val="230" w:hRule="exact"/>
        </w:trPr>
        <w:tc>
          <w:tcPr>
            <w:tcW w:w="4353" w:type="dxa"/>
          </w:tcPr>
          <w:p>
            <w:pPr>
              <w:pStyle w:val="TableParagraph"/>
              <w:spacing w:line="227" w:lineRule="exact"/>
              <w:ind w:left="50"/>
              <w:jc w:val="left"/>
              <w:rPr>
                <w:sz w:val="20"/>
              </w:rPr>
            </w:pPr>
            <w:r>
              <w:rPr>
                <w:sz w:val="20"/>
              </w:rPr>
              <w:t>Other</w:t>
            </w:r>
          </w:p>
        </w:tc>
        <w:tc>
          <w:tcPr>
            <w:tcW w:w="3015" w:type="dxa"/>
          </w:tcPr>
          <w:p>
            <w:pPr>
              <w:pStyle w:val="TableParagraph"/>
              <w:spacing w:line="227" w:lineRule="exact"/>
              <w:ind w:right="274"/>
              <w:rPr>
                <w:sz w:val="20"/>
              </w:rPr>
            </w:pPr>
            <w:r>
              <w:rPr>
                <w:sz w:val="20"/>
                <w:u w:val="single"/>
              </w:rPr>
              <w:t>430</w:t>
            </w:r>
          </w:p>
        </w:tc>
        <w:tc>
          <w:tcPr>
            <w:tcW w:w="1214" w:type="dxa"/>
          </w:tcPr>
          <w:p>
            <w:pPr>
              <w:pStyle w:val="TableParagraph"/>
              <w:spacing w:line="227" w:lineRule="exact"/>
              <w:ind w:right="48"/>
              <w:rPr>
                <w:sz w:val="20"/>
              </w:rPr>
            </w:pPr>
            <w:r>
              <w:rPr>
                <w:sz w:val="20"/>
                <w:u w:val="single"/>
              </w:rPr>
              <w:t>435</w:t>
            </w:r>
          </w:p>
        </w:tc>
      </w:tr>
      <w:tr>
        <w:trPr>
          <w:trHeight w:val="230" w:hRule="exact"/>
        </w:trPr>
        <w:tc>
          <w:tcPr>
            <w:tcW w:w="4353" w:type="dxa"/>
          </w:tcPr>
          <w:p>
            <w:pPr/>
          </w:p>
        </w:tc>
        <w:tc>
          <w:tcPr>
            <w:tcW w:w="3015" w:type="dxa"/>
          </w:tcPr>
          <w:p>
            <w:pPr>
              <w:pStyle w:val="TableParagraph"/>
              <w:spacing w:line="227" w:lineRule="exact"/>
              <w:ind w:right="273"/>
              <w:rPr>
                <w:sz w:val="20"/>
              </w:rPr>
            </w:pPr>
            <w:r>
              <w:rPr>
                <w:sz w:val="20"/>
              </w:rPr>
              <w:t>678,126</w:t>
            </w:r>
          </w:p>
        </w:tc>
        <w:tc>
          <w:tcPr>
            <w:tcW w:w="1214" w:type="dxa"/>
          </w:tcPr>
          <w:p>
            <w:pPr>
              <w:pStyle w:val="TableParagraph"/>
              <w:spacing w:line="227" w:lineRule="exact"/>
              <w:ind w:right="48"/>
              <w:rPr>
                <w:sz w:val="20"/>
              </w:rPr>
            </w:pPr>
            <w:r>
              <w:rPr>
                <w:sz w:val="20"/>
              </w:rPr>
              <w:t>596,191</w:t>
            </w:r>
          </w:p>
        </w:tc>
      </w:tr>
      <w:tr>
        <w:trPr>
          <w:trHeight w:val="230" w:hRule="exact"/>
        </w:trPr>
        <w:tc>
          <w:tcPr>
            <w:tcW w:w="4353" w:type="dxa"/>
          </w:tcPr>
          <w:p>
            <w:pPr>
              <w:pStyle w:val="TableParagraph"/>
              <w:spacing w:line="227" w:lineRule="exact"/>
              <w:ind w:left="50"/>
              <w:jc w:val="left"/>
              <w:rPr>
                <w:sz w:val="20"/>
              </w:rPr>
            </w:pPr>
            <w:r>
              <w:rPr>
                <w:sz w:val="20"/>
              </w:rPr>
              <w:t>Less current maturities</w:t>
            </w:r>
          </w:p>
        </w:tc>
        <w:tc>
          <w:tcPr>
            <w:tcW w:w="3015" w:type="dxa"/>
          </w:tcPr>
          <w:p>
            <w:pPr>
              <w:pStyle w:val="TableParagraph"/>
              <w:spacing w:line="227" w:lineRule="exact"/>
              <w:ind w:right="273"/>
              <w:rPr>
                <w:sz w:val="20"/>
              </w:rPr>
            </w:pPr>
            <w:r>
              <w:rPr>
                <w:sz w:val="20"/>
              </w:rPr>
              <w:t>13,516</w:t>
            </w:r>
          </w:p>
        </w:tc>
        <w:tc>
          <w:tcPr>
            <w:tcW w:w="1214" w:type="dxa"/>
          </w:tcPr>
          <w:p>
            <w:pPr>
              <w:pStyle w:val="TableParagraph"/>
              <w:spacing w:line="227" w:lineRule="exact"/>
              <w:ind w:right="48"/>
              <w:rPr>
                <w:sz w:val="20"/>
              </w:rPr>
            </w:pPr>
            <w:r>
              <w:rPr>
                <w:sz w:val="20"/>
              </w:rPr>
              <w:t>9,553</w:t>
            </w:r>
          </w:p>
        </w:tc>
      </w:tr>
      <w:tr>
        <w:trPr>
          <w:trHeight w:val="230" w:hRule="exact"/>
        </w:trPr>
        <w:tc>
          <w:tcPr>
            <w:tcW w:w="4353" w:type="dxa"/>
          </w:tcPr>
          <w:p>
            <w:pPr>
              <w:pStyle w:val="TableParagraph"/>
              <w:spacing w:line="227" w:lineRule="exact"/>
              <w:ind w:left="50"/>
              <w:jc w:val="left"/>
              <w:rPr>
                <w:sz w:val="20"/>
              </w:rPr>
            </w:pPr>
            <w:r>
              <w:rPr>
                <w:sz w:val="20"/>
              </w:rPr>
              <w:t>Less debt discount</w:t>
            </w:r>
          </w:p>
        </w:tc>
        <w:tc>
          <w:tcPr>
            <w:tcW w:w="3015" w:type="dxa"/>
          </w:tcPr>
          <w:p>
            <w:pPr>
              <w:pStyle w:val="TableParagraph"/>
              <w:spacing w:line="227" w:lineRule="exact"/>
              <w:ind w:right="273"/>
              <w:rPr>
                <w:sz w:val="20"/>
              </w:rPr>
            </w:pPr>
            <w:r>
              <w:rPr>
                <w:sz w:val="20"/>
                <w:u w:val="single"/>
              </w:rPr>
              <w:t>3,600</w:t>
            </w:r>
          </w:p>
        </w:tc>
        <w:tc>
          <w:tcPr>
            <w:tcW w:w="1214" w:type="dxa"/>
          </w:tcPr>
          <w:p>
            <w:pPr>
              <w:pStyle w:val="TableParagraph"/>
              <w:spacing w:line="227" w:lineRule="exact"/>
              <w:ind w:right="48"/>
              <w:rPr>
                <w:sz w:val="20"/>
              </w:rPr>
            </w:pPr>
            <w:r>
              <w:rPr>
                <w:sz w:val="20"/>
                <w:u w:val="single"/>
              </w:rPr>
              <w:t>3,567</w:t>
            </w:r>
          </w:p>
        </w:tc>
      </w:tr>
      <w:tr>
        <w:trPr>
          <w:trHeight w:val="228" w:hRule="exact"/>
        </w:trPr>
        <w:tc>
          <w:tcPr>
            <w:tcW w:w="4353" w:type="dxa"/>
          </w:tcPr>
          <w:p>
            <w:pPr/>
          </w:p>
        </w:tc>
        <w:tc>
          <w:tcPr>
            <w:tcW w:w="3015" w:type="dxa"/>
          </w:tcPr>
          <w:p>
            <w:pPr>
              <w:pStyle w:val="TableParagraph"/>
              <w:spacing w:line="227" w:lineRule="exact"/>
              <w:ind w:right="273"/>
              <w:rPr>
                <w:sz w:val="20"/>
              </w:rPr>
            </w:pPr>
            <w:r>
              <w:rPr>
                <w:sz w:val="20"/>
                <w:u w:val="single"/>
              </w:rPr>
              <w:t>$ 661,010</w:t>
            </w:r>
          </w:p>
        </w:tc>
        <w:tc>
          <w:tcPr>
            <w:tcW w:w="1214" w:type="dxa"/>
          </w:tcPr>
          <w:p>
            <w:pPr>
              <w:pStyle w:val="TableParagraph"/>
              <w:spacing w:line="227" w:lineRule="exact"/>
              <w:ind w:right="48"/>
              <w:rPr>
                <w:sz w:val="20"/>
              </w:rPr>
            </w:pPr>
            <w:r>
              <w:rPr>
                <w:sz w:val="20"/>
                <w:u w:val="single"/>
              </w:rPr>
              <w:t>$ 583,071</w:t>
            </w:r>
          </w:p>
        </w:tc>
      </w:tr>
    </w:tbl>
    <w:p>
      <w:pPr>
        <w:pStyle w:val="BodyText"/>
        <w:spacing w:before="7"/>
        <w:rPr>
          <w:sz w:val="12"/>
        </w:rPr>
      </w:pPr>
    </w:p>
    <w:p>
      <w:pPr>
        <w:pStyle w:val="BodyText"/>
        <w:spacing w:before="95"/>
        <w:ind w:left="160" w:right="254"/>
      </w:pPr>
      <w:r>
        <w:rPr/>
        <w:t>On March 7, 1995, the Company issued $100 million of senior unsecured 8% Notes due March 1, 2005. Interest is payable semi-annually on March 1 and September 1. The Notes are not redeemable prior to maturity.</w:t>
      </w:r>
    </w:p>
    <w:p>
      <w:pPr>
        <w:pStyle w:val="BodyText"/>
      </w:pPr>
    </w:p>
    <w:p>
      <w:pPr>
        <w:pStyle w:val="BodyText"/>
        <w:spacing w:before="1"/>
        <w:ind w:left="160" w:right="201"/>
      </w:pPr>
      <w:r>
        <w:rPr/>
        <w:t>On September 9, 1992, the Company issued $100 million of senior unsecured 7 7/8% Notes due September 1, 2007. Interest is payable semi-annually on March 1 and September 1. The Notes are not redeemable prior to maturity.</w:t>
      </w:r>
    </w:p>
    <w:p>
      <w:pPr>
        <w:pStyle w:val="BodyText"/>
        <w:spacing w:before="1"/>
      </w:pPr>
    </w:p>
    <w:p>
      <w:pPr>
        <w:pStyle w:val="BodyText"/>
        <w:ind w:left="160" w:right="254"/>
      </w:pPr>
      <w:r>
        <w:rPr/>
        <w:t>During 1991, the Company issued $100 million of senior unsecured 9 1/4% Notes, $100 million of senior unsecured 9.4% Notes, and $100 million of senior unsecured 8 3/4% Notes due February 15, 1998, July 1, 2001, and October 15, 2003, respectively. Interest on the Notes is payable semi-annually. The Notes are not redeemable by the Company prior to maturity.</w:t>
      </w:r>
    </w:p>
    <w:p>
      <w:pPr>
        <w:pStyle w:val="BodyText"/>
      </w:pPr>
    </w:p>
    <w:p>
      <w:pPr>
        <w:pStyle w:val="BodyText"/>
        <w:spacing w:before="1"/>
        <w:ind w:left="160" w:right="210"/>
      </w:pPr>
      <w:r>
        <w:rPr/>
        <w:t>The fair values, based on quoted market prices, of these Notes at December 31, 1995, were as follows (in thousands):</w:t>
      </w:r>
    </w:p>
    <w:p>
      <w:pPr>
        <w:pStyle w:val="BodyText"/>
        <w:spacing w:before="6"/>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68"/>
        <w:gridCol w:w="2234"/>
      </w:tblGrid>
      <w:tr>
        <w:trPr>
          <w:trHeight w:val="228" w:hRule="exact"/>
        </w:trPr>
        <w:tc>
          <w:tcPr>
            <w:tcW w:w="3468" w:type="dxa"/>
          </w:tcPr>
          <w:p>
            <w:pPr>
              <w:pStyle w:val="TableParagraph"/>
              <w:spacing w:line="225" w:lineRule="exact"/>
              <w:ind w:left="50"/>
              <w:jc w:val="left"/>
              <w:rPr>
                <w:sz w:val="20"/>
              </w:rPr>
            </w:pPr>
            <w:r>
              <w:rPr>
                <w:sz w:val="20"/>
              </w:rPr>
              <w:t>9 1/4% Notes due 1998</w:t>
            </w:r>
          </w:p>
        </w:tc>
        <w:tc>
          <w:tcPr>
            <w:tcW w:w="2234" w:type="dxa"/>
          </w:tcPr>
          <w:p>
            <w:pPr>
              <w:pStyle w:val="TableParagraph"/>
              <w:spacing w:line="225" w:lineRule="exact"/>
              <w:ind w:right="48"/>
              <w:rPr>
                <w:sz w:val="20"/>
              </w:rPr>
            </w:pPr>
            <w:r>
              <w:rPr>
                <w:sz w:val="20"/>
              </w:rPr>
              <w:t>$106,720</w:t>
            </w:r>
          </w:p>
        </w:tc>
      </w:tr>
      <w:tr>
        <w:trPr>
          <w:trHeight w:val="230" w:hRule="exact"/>
        </w:trPr>
        <w:tc>
          <w:tcPr>
            <w:tcW w:w="3468" w:type="dxa"/>
          </w:tcPr>
          <w:p>
            <w:pPr>
              <w:pStyle w:val="TableParagraph"/>
              <w:spacing w:line="227" w:lineRule="exact"/>
              <w:ind w:left="50"/>
              <w:jc w:val="left"/>
              <w:rPr>
                <w:sz w:val="20"/>
              </w:rPr>
            </w:pPr>
            <w:r>
              <w:rPr>
                <w:sz w:val="20"/>
              </w:rPr>
              <w:t>9.4% Notes due 2001</w:t>
            </w:r>
          </w:p>
        </w:tc>
        <w:tc>
          <w:tcPr>
            <w:tcW w:w="2234" w:type="dxa"/>
          </w:tcPr>
          <w:p>
            <w:pPr>
              <w:pStyle w:val="TableParagraph"/>
              <w:spacing w:line="227" w:lineRule="exact"/>
              <w:ind w:right="48"/>
              <w:rPr>
                <w:sz w:val="20"/>
              </w:rPr>
            </w:pPr>
            <w:r>
              <w:rPr>
                <w:sz w:val="20"/>
              </w:rPr>
              <w:t>114,610</w:t>
            </w:r>
          </w:p>
        </w:tc>
      </w:tr>
      <w:tr>
        <w:trPr>
          <w:trHeight w:val="230" w:hRule="exact"/>
        </w:trPr>
        <w:tc>
          <w:tcPr>
            <w:tcW w:w="3468" w:type="dxa"/>
          </w:tcPr>
          <w:p>
            <w:pPr>
              <w:pStyle w:val="TableParagraph"/>
              <w:spacing w:line="227" w:lineRule="exact"/>
              <w:ind w:left="50"/>
              <w:jc w:val="left"/>
              <w:rPr>
                <w:sz w:val="20"/>
              </w:rPr>
            </w:pPr>
            <w:r>
              <w:rPr>
                <w:sz w:val="20"/>
              </w:rPr>
              <w:t>8 3/4% Notes due 2003</w:t>
            </w:r>
          </w:p>
        </w:tc>
        <w:tc>
          <w:tcPr>
            <w:tcW w:w="2234" w:type="dxa"/>
          </w:tcPr>
          <w:p>
            <w:pPr>
              <w:pStyle w:val="TableParagraph"/>
              <w:spacing w:line="227" w:lineRule="exact"/>
              <w:ind w:right="48"/>
              <w:rPr>
                <w:sz w:val="20"/>
              </w:rPr>
            </w:pPr>
            <w:r>
              <w:rPr>
                <w:sz w:val="20"/>
              </w:rPr>
              <w:t>114,350</w:t>
            </w:r>
          </w:p>
        </w:tc>
      </w:tr>
      <w:tr>
        <w:trPr>
          <w:trHeight w:val="230" w:hRule="exact"/>
        </w:trPr>
        <w:tc>
          <w:tcPr>
            <w:tcW w:w="3468" w:type="dxa"/>
          </w:tcPr>
          <w:p>
            <w:pPr>
              <w:pStyle w:val="TableParagraph"/>
              <w:spacing w:line="227" w:lineRule="exact"/>
              <w:ind w:left="50"/>
              <w:jc w:val="left"/>
              <w:rPr>
                <w:sz w:val="20"/>
              </w:rPr>
            </w:pPr>
            <w:r>
              <w:rPr>
                <w:sz w:val="20"/>
              </w:rPr>
              <w:t>7 7/8% Notes due 2007</w:t>
            </w:r>
          </w:p>
        </w:tc>
        <w:tc>
          <w:tcPr>
            <w:tcW w:w="2234" w:type="dxa"/>
          </w:tcPr>
          <w:p>
            <w:pPr>
              <w:pStyle w:val="TableParagraph"/>
              <w:spacing w:line="227" w:lineRule="exact"/>
              <w:ind w:right="48"/>
              <w:rPr>
                <w:sz w:val="20"/>
              </w:rPr>
            </w:pPr>
            <w:r>
              <w:rPr>
                <w:sz w:val="20"/>
              </w:rPr>
              <w:t>110,530</w:t>
            </w:r>
          </w:p>
        </w:tc>
      </w:tr>
      <w:tr>
        <w:trPr>
          <w:trHeight w:val="228" w:hRule="exact"/>
        </w:trPr>
        <w:tc>
          <w:tcPr>
            <w:tcW w:w="3468" w:type="dxa"/>
          </w:tcPr>
          <w:p>
            <w:pPr>
              <w:pStyle w:val="TableParagraph"/>
              <w:spacing w:line="227" w:lineRule="exact"/>
              <w:ind w:left="50"/>
              <w:jc w:val="left"/>
              <w:rPr>
                <w:sz w:val="20"/>
              </w:rPr>
            </w:pPr>
            <w:r>
              <w:rPr>
                <w:sz w:val="20"/>
              </w:rPr>
              <w:t>8% Notes due 2005</w:t>
            </w:r>
          </w:p>
        </w:tc>
        <w:tc>
          <w:tcPr>
            <w:tcW w:w="2234" w:type="dxa"/>
          </w:tcPr>
          <w:p>
            <w:pPr>
              <w:pStyle w:val="TableParagraph"/>
              <w:spacing w:line="227" w:lineRule="exact"/>
              <w:ind w:right="48"/>
              <w:rPr>
                <w:sz w:val="20"/>
              </w:rPr>
            </w:pPr>
            <w:r>
              <w:rPr>
                <w:sz w:val="20"/>
              </w:rPr>
              <w:t>110,310</w:t>
            </w:r>
          </w:p>
        </w:tc>
      </w:tr>
    </w:tbl>
    <w:p>
      <w:pPr>
        <w:pStyle w:val="BodyText"/>
      </w:pPr>
    </w:p>
    <w:p>
      <w:pPr>
        <w:pStyle w:val="BodyText"/>
        <w:ind w:left="160" w:right="142"/>
      </w:pPr>
      <w:r>
        <w:rPr/>
        <w:t>In addition to the credit facilities described above, Southwest has an unsecured Bank Credit Agreement with a group of banks that permits Southwest to borrow through December 14, 1999 on a revolving credit basis up to $460 million. Interest rates on borrowings under the Credit Agreement can be, at the option of Southwest, the agent bank’s prime rate, 0.275% over LIBOR, or 0.50% over domestic certificate of deposit rates. The commitment fee is 0.125% per annum. There were no outstanding borrowings under this agreement at December 31, 1995 or 1994.</w:t>
      </w:r>
    </w:p>
    <w:p>
      <w:pPr>
        <w:pStyle w:val="BodyText"/>
        <w:spacing w:before="5"/>
      </w:pPr>
    </w:p>
    <w:p>
      <w:pPr>
        <w:pStyle w:val="Heading2"/>
        <w:numPr>
          <w:ilvl w:val="0"/>
          <w:numId w:val="3"/>
        </w:numPr>
        <w:tabs>
          <w:tab w:pos="386" w:val="left" w:leader="none"/>
        </w:tabs>
        <w:spacing w:line="240" w:lineRule="auto" w:before="0" w:after="0"/>
        <w:ind w:left="385" w:right="0" w:hanging="225"/>
        <w:jc w:val="left"/>
      </w:pPr>
      <w:r>
        <w:rPr/>
        <w:t>LEASES</w:t>
      </w:r>
    </w:p>
    <w:p>
      <w:pPr>
        <w:spacing w:after="0" w:line="240" w:lineRule="auto"/>
        <w:jc w:val="left"/>
        <w:sectPr>
          <w:pgSz w:w="12240" w:h="15840"/>
          <w:pgMar w:header="0" w:footer="790" w:top="1440" w:bottom="980" w:left="1640" w:right="1680"/>
        </w:sectPr>
      </w:pPr>
    </w:p>
    <w:p>
      <w:pPr>
        <w:pStyle w:val="BodyText"/>
        <w:spacing w:before="79"/>
        <w:ind w:left="160"/>
      </w:pPr>
      <w:r>
        <w:rPr/>
        <w:t>Total rental expense for operating leases charged to operations in 1995, 1994, and 1993 was</w:t>
      </w:r>
    </w:p>
    <w:p>
      <w:pPr>
        <w:pStyle w:val="BodyText"/>
        <w:ind w:left="160" w:right="210"/>
      </w:pPr>
      <w:r>
        <w:rPr/>
        <w:t>$247,033,000, $198,987,000, and $167,303,000, respectively. The majority of the Company’s terminal operations space, as well as 100 aircraft, were under operating leases at December 31, 1995. The amounts applicable to capital leases included in property and equipment were (in thousands):</w:t>
      </w:r>
    </w:p>
    <w:p>
      <w:pPr>
        <w:pStyle w:val="BodyText"/>
        <w:spacing w:before="6"/>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26"/>
        <w:gridCol w:w="2854"/>
        <w:gridCol w:w="1202"/>
      </w:tblGrid>
      <w:tr>
        <w:trPr>
          <w:trHeight w:val="228" w:hRule="exact"/>
        </w:trPr>
        <w:tc>
          <w:tcPr>
            <w:tcW w:w="4526" w:type="dxa"/>
          </w:tcPr>
          <w:p>
            <w:pPr/>
          </w:p>
        </w:tc>
        <w:tc>
          <w:tcPr>
            <w:tcW w:w="2854" w:type="dxa"/>
          </w:tcPr>
          <w:p>
            <w:pPr>
              <w:pStyle w:val="TableParagraph"/>
              <w:spacing w:line="225" w:lineRule="exact"/>
              <w:ind w:left="1701"/>
              <w:jc w:val="left"/>
              <w:rPr>
                <w:sz w:val="20"/>
              </w:rPr>
            </w:pPr>
            <w:r>
              <w:rPr>
                <w:sz w:val="20"/>
              </w:rPr>
              <w:t>1995</w:t>
            </w:r>
          </w:p>
        </w:tc>
        <w:tc>
          <w:tcPr>
            <w:tcW w:w="1202" w:type="dxa"/>
          </w:tcPr>
          <w:p>
            <w:pPr>
              <w:pStyle w:val="TableParagraph"/>
              <w:spacing w:line="225" w:lineRule="exact"/>
              <w:ind w:left="287"/>
              <w:jc w:val="left"/>
              <w:rPr>
                <w:sz w:val="20"/>
              </w:rPr>
            </w:pPr>
            <w:r>
              <w:rPr>
                <w:sz w:val="20"/>
              </w:rPr>
              <w:t>1994</w:t>
            </w:r>
          </w:p>
        </w:tc>
      </w:tr>
      <w:tr>
        <w:trPr>
          <w:trHeight w:val="230" w:hRule="exact"/>
        </w:trPr>
        <w:tc>
          <w:tcPr>
            <w:tcW w:w="4526" w:type="dxa"/>
          </w:tcPr>
          <w:p>
            <w:pPr>
              <w:pStyle w:val="TableParagraph"/>
              <w:spacing w:line="227" w:lineRule="exact"/>
              <w:ind w:left="50"/>
              <w:jc w:val="left"/>
              <w:rPr>
                <w:sz w:val="20"/>
              </w:rPr>
            </w:pPr>
            <w:r>
              <w:rPr>
                <w:sz w:val="20"/>
              </w:rPr>
              <w:t>Flight equipment</w:t>
            </w:r>
          </w:p>
        </w:tc>
        <w:tc>
          <w:tcPr>
            <w:tcW w:w="2854" w:type="dxa"/>
          </w:tcPr>
          <w:p>
            <w:pPr>
              <w:pStyle w:val="TableParagraph"/>
              <w:spacing w:line="227" w:lineRule="exact"/>
              <w:ind w:right="285"/>
              <w:rPr>
                <w:sz w:val="20"/>
              </w:rPr>
            </w:pPr>
            <w:r>
              <w:rPr>
                <w:sz w:val="20"/>
              </w:rPr>
              <w:t>$223,844</w:t>
            </w:r>
          </w:p>
        </w:tc>
        <w:tc>
          <w:tcPr>
            <w:tcW w:w="1202" w:type="dxa"/>
          </w:tcPr>
          <w:p>
            <w:pPr>
              <w:pStyle w:val="TableParagraph"/>
              <w:spacing w:line="227" w:lineRule="exact"/>
              <w:ind w:right="48"/>
              <w:rPr>
                <w:sz w:val="20"/>
              </w:rPr>
            </w:pPr>
            <w:r>
              <w:rPr>
                <w:sz w:val="20"/>
              </w:rPr>
              <w:t>$233,324</w:t>
            </w:r>
          </w:p>
        </w:tc>
      </w:tr>
      <w:tr>
        <w:trPr>
          <w:trHeight w:val="230" w:hRule="exact"/>
        </w:trPr>
        <w:tc>
          <w:tcPr>
            <w:tcW w:w="4526" w:type="dxa"/>
          </w:tcPr>
          <w:p>
            <w:pPr>
              <w:pStyle w:val="TableParagraph"/>
              <w:spacing w:line="227" w:lineRule="exact"/>
              <w:ind w:left="50"/>
              <w:jc w:val="left"/>
              <w:rPr>
                <w:sz w:val="20"/>
              </w:rPr>
            </w:pPr>
            <w:r>
              <w:rPr>
                <w:sz w:val="20"/>
              </w:rPr>
              <w:t>Less accumulated amortization</w:t>
            </w:r>
          </w:p>
        </w:tc>
        <w:tc>
          <w:tcPr>
            <w:tcW w:w="2854" w:type="dxa"/>
          </w:tcPr>
          <w:p>
            <w:pPr>
              <w:pStyle w:val="TableParagraph"/>
              <w:spacing w:line="227" w:lineRule="exact"/>
              <w:ind w:right="285"/>
              <w:rPr>
                <w:sz w:val="20"/>
              </w:rPr>
            </w:pPr>
            <w:r>
              <w:rPr>
                <w:sz w:val="20"/>
                <w:u w:val="single"/>
              </w:rPr>
              <w:t>101,641</w:t>
            </w:r>
          </w:p>
        </w:tc>
        <w:tc>
          <w:tcPr>
            <w:tcW w:w="1202" w:type="dxa"/>
          </w:tcPr>
          <w:p>
            <w:pPr>
              <w:pStyle w:val="TableParagraph"/>
              <w:spacing w:line="227" w:lineRule="exact"/>
              <w:ind w:right="48"/>
              <w:rPr>
                <w:sz w:val="20"/>
              </w:rPr>
            </w:pPr>
            <w:r>
              <w:rPr>
                <w:sz w:val="20"/>
                <w:u w:val="single"/>
              </w:rPr>
              <w:t>88,656</w:t>
            </w:r>
          </w:p>
        </w:tc>
      </w:tr>
      <w:tr>
        <w:trPr>
          <w:trHeight w:val="228" w:hRule="exact"/>
        </w:trPr>
        <w:tc>
          <w:tcPr>
            <w:tcW w:w="4526" w:type="dxa"/>
          </w:tcPr>
          <w:p>
            <w:pPr/>
          </w:p>
        </w:tc>
        <w:tc>
          <w:tcPr>
            <w:tcW w:w="2854" w:type="dxa"/>
          </w:tcPr>
          <w:p>
            <w:pPr>
              <w:pStyle w:val="TableParagraph"/>
              <w:spacing w:line="227" w:lineRule="exact"/>
              <w:ind w:right="285"/>
              <w:rPr>
                <w:sz w:val="20"/>
              </w:rPr>
            </w:pPr>
            <w:r>
              <w:rPr>
                <w:sz w:val="20"/>
                <w:u w:val="single"/>
              </w:rPr>
              <w:t>$122,203</w:t>
            </w:r>
          </w:p>
        </w:tc>
        <w:tc>
          <w:tcPr>
            <w:tcW w:w="1202" w:type="dxa"/>
          </w:tcPr>
          <w:p>
            <w:pPr>
              <w:pStyle w:val="TableParagraph"/>
              <w:spacing w:line="227" w:lineRule="exact"/>
              <w:ind w:right="48"/>
              <w:rPr>
                <w:sz w:val="20"/>
              </w:rPr>
            </w:pPr>
            <w:r>
              <w:rPr>
                <w:sz w:val="20"/>
                <w:u w:val="single"/>
              </w:rPr>
              <w:t>$144,668</w:t>
            </w:r>
          </w:p>
        </w:tc>
      </w:tr>
    </w:tbl>
    <w:p>
      <w:pPr>
        <w:pStyle w:val="BodyText"/>
      </w:pPr>
    </w:p>
    <w:p>
      <w:pPr>
        <w:pStyle w:val="BodyText"/>
        <w:ind w:left="160" w:right="210"/>
      </w:pPr>
      <w:r>
        <w:rPr/>
        <w:t>Future minimum lease payments under capital leases and noncancelable operating leases, with initial or remaining terms in excess of one year, at December 31, 1995, were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62"/>
        <w:gridCol w:w="2251"/>
        <w:gridCol w:w="1930"/>
      </w:tblGrid>
      <w:tr>
        <w:trPr>
          <w:trHeight w:val="458" w:hRule="exact"/>
        </w:trPr>
        <w:tc>
          <w:tcPr>
            <w:tcW w:w="2962" w:type="dxa"/>
          </w:tcPr>
          <w:p>
            <w:pPr/>
          </w:p>
        </w:tc>
        <w:tc>
          <w:tcPr>
            <w:tcW w:w="2251" w:type="dxa"/>
          </w:tcPr>
          <w:p>
            <w:pPr>
              <w:pStyle w:val="TableParagraph"/>
              <w:ind w:left="578" w:right="848" w:hanging="29"/>
              <w:jc w:val="left"/>
              <w:rPr>
                <w:sz w:val="20"/>
              </w:rPr>
            </w:pPr>
            <w:r>
              <w:rPr>
                <w:sz w:val="20"/>
              </w:rPr>
              <w:t>CAPITAL LEASES</w:t>
            </w:r>
          </w:p>
        </w:tc>
        <w:tc>
          <w:tcPr>
            <w:tcW w:w="1930" w:type="dxa"/>
          </w:tcPr>
          <w:p>
            <w:pPr>
              <w:pStyle w:val="TableParagraph"/>
              <w:ind w:left="486" w:hanging="207"/>
              <w:jc w:val="left"/>
              <w:rPr>
                <w:sz w:val="20"/>
              </w:rPr>
            </w:pPr>
            <w:r>
              <w:rPr>
                <w:sz w:val="20"/>
              </w:rPr>
              <w:t>OPERATING LEASES</w:t>
            </w:r>
          </w:p>
        </w:tc>
      </w:tr>
      <w:tr>
        <w:trPr>
          <w:trHeight w:val="230" w:hRule="exact"/>
        </w:trPr>
        <w:tc>
          <w:tcPr>
            <w:tcW w:w="2962" w:type="dxa"/>
          </w:tcPr>
          <w:p>
            <w:pPr>
              <w:pStyle w:val="TableParagraph"/>
              <w:spacing w:line="227" w:lineRule="exact"/>
              <w:ind w:left="1787"/>
              <w:jc w:val="left"/>
              <w:rPr>
                <w:sz w:val="20"/>
              </w:rPr>
            </w:pPr>
            <w:r>
              <w:rPr>
                <w:sz w:val="20"/>
              </w:rPr>
              <w:t>1996</w:t>
            </w:r>
          </w:p>
        </w:tc>
        <w:tc>
          <w:tcPr>
            <w:tcW w:w="2251" w:type="dxa"/>
          </w:tcPr>
          <w:p>
            <w:pPr>
              <w:pStyle w:val="TableParagraph"/>
              <w:spacing w:line="227" w:lineRule="exact"/>
              <w:ind w:right="278"/>
              <w:rPr>
                <w:sz w:val="20"/>
              </w:rPr>
            </w:pPr>
            <w:r>
              <w:rPr>
                <w:sz w:val="20"/>
              </w:rPr>
              <w:t>$27,796</w:t>
            </w:r>
          </w:p>
        </w:tc>
        <w:tc>
          <w:tcPr>
            <w:tcW w:w="1930" w:type="dxa"/>
          </w:tcPr>
          <w:p>
            <w:pPr>
              <w:pStyle w:val="TableParagraph"/>
              <w:spacing w:line="227" w:lineRule="exact"/>
              <w:ind w:right="48"/>
              <w:rPr>
                <w:sz w:val="20"/>
              </w:rPr>
            </w:pPr>
            <w:r>
              <w:rPr>
                <w:sz w:val="20"/>
              </w:rPr>
              <w:t>$223,279</w:t>
            </w:r>
          </w:p>
        </w:tc>
      </w:tr>
      <w:tr>
        <w:trPr>
          <w:trHeight w:val="230" w:hRule="exact"/>
        </w:trPr>
        <w:tc>
          <w:tcPr>
            <w:tcW w:w="2962" w:type="dxa"/>
          </w:tcPr>
          <w:p>
            <w:pPr>
              <w:pStyle w:val="TableParagraph"/>
              <w:spacing w:line="227" w:lineRule="exact"/>
              <w:ind w:left="1787"/>
              <w:jc w:val="left"/>
              <w:rPr>
                <w:sz w:val="20"/>
              </w:rPr>
            </w:pPr>
            <w:r>
              <w:rPr>
                <w:sz w:val="20"/>
              </w:rPr>
              <w:t>1997</w:t>
            </w:r>
          </w:p>
        </w:tc>
        <w:tc>
          <w:tcPr>
            <w:tcW w:w="2251" w:type="dxa"/>
          </w:tcPr>
          <w:p>
            <w:pPr>
              <w:pStyle w:val="TableParagraph"/>
              <w:spacing w:line="227" w:lineRule="exact"/>
              <w:ind w:right="278"/>
              <w:rPr>
                <w:sz w:val="20"/>
              </w:rPr>
            </w:pPr>
            <w:r>
              <w:rPr>
                <w:sz w:val="20"/>
              </w:rPr>
              <w:t>25,858</w:t>
            </w:r>
          </w:p>
        </w:tc>
        <w:tc>
          <w:tcPr>
            <w:tcW w:w="1930" w:type="dxa"/>
          </w:tcPr>
          <w:p>
            <w:pPr>
              <w:pStyle w:val="TableParagraph"/>
              <w:spacing w:line="227" w:lineRule="exact"/>
              <w:ind w:right="48"/>
              <w:rPr>
                <w:sz w:val="20"/>
              </w:rPr>
            </w:pPr>
            <w:r>
              <w:rPr>
                <w:sz w:val="20"/>
              </w:rPr>
              <w:t>207,875</w:t>
            </w:r>
          </w:p>
        </w:tc>
      </w:tr>
      <w:tr>
        <w:trPr>
          <w:trHeight w:val="230" w:hRule="exact"/>
        </w:trPr>
        <w:tc>
          <w:tcPr>
            <w:tcW w:w="2962" w:type="dxa"/>
          </w:tcPr>
          <w:p>
            <w:pPr>
              <w:pStyle w:val="TableParagraph"/>
              <w:spacing w:line="227" w:lineRule="exact"/>
              <w:ind w:left="1787"/>
              <w:jc w:val="left"/>
              <w:rPr>
                <w:sz w:val="20"/>
              </w:rPr>
            </w:pPr>
            <w:r>
              <w:rPr>
                <w:sz w:val="20"/>
              </w:rPr>
              <w:t>1998</w:t>
            </w:r>
          </w:p>
        </w:tc>
        <w:tc>
          <w:tcPr>
            <w:tcW w:w="2251" w:type="dxa"/>
          </w:tcPr>
          <w:p>
            <w:pPr>
              <w:pStyle w:val="TableParagraph"/>
              <w:spacing w:line="227" w:lineRule="exact"/>
              <w:ind w:right="278"/>
              <w:rPr>
                <w:sz w:val="20"/>
              </w:rPr>
            </w:pPr>
            <w:r>
              <w:rPr>
                <w:sz w:val="20"/>
              </w:rPr>
              <w:t>32,026</w:t>
            </w:r>
          </w:p>
        </w:tc>
        <w:tc>
          <w:tcPr>
            <w:tcW w:w="1930" w:type="dxa"/>
          </w:tcPr>
          <w:p>
            <w:pPr>
              <w:pStyle w:val="TableParagraph"/>
              <w:spacing w:line="227" w:lineRule="exact"/>
              <w:ind w:right="48"/>
              <w:rPr>
                <w:sz w:val="20"/>
              </w:rPr>
            </w:pPr>
            <w:r>
              <w:rPr>
                <w:sz w:val="20"/>
              </w:rPr>
              <w:t>187,662</w:t>
            </w:r>
          </w:p>
        </w:tc>
      </w:tr>
      <w:tr>
        <w:trPr>
          <w:trHeight w:val="230" w:hRule="exact"/>
        </w:trPr>
        <w:tc>
          <w:tcPr>
            <w:tcW w:w="2962" w:type="dxa"/>
          </w:tcPr>
          <w:p>
            <w:pPr>
              <w:pStyle w:val="TableParagraph"/>
              <w:spacing w:line="227" w:lineRule="exact"/>
              <w:ind w:left="1787"/>
              <w:jc w:val="left"/>
              <w:rPr>
                <w:sz w:val="20"/>
              </w:rPr>
            </w:pPr>
            <w:r>
              <w:rPr>
                <w:sz w:val="20"/>
              </w:rPr>
              <w:t>1999</w:t>
            </w:r>
          </w:p>
        </w:tc>
        <w:tc>
          <w:tcPr>
            <w:tcW w:w="2251" w:type="dxa"/>
          </w:tcPr>
          <w:p>
            <w:pPr>
              <w:pStyle w:val="TableParagraph"/>
              <w:spacing w:line="227" w:lineRule="exact"/>
              <w:ind w:right="278"/>
              <w:rPr>
                <w:sz w:val="20"/>
              </w:rPr>
            </w:pPr>
            <w:r>
              <w:rPr>
                <w:sz w:val="20"/>
              </w:rPr>
              <w:t>20,245</w:t>
            </w:r>
          </w:p>
        </w:tc>
        <w:tc>
          <w:tcPr>
            <w:tcW w:w="1930" w:type="dxa"/>
          </w:tcPr>
          <w:p>
            <w:pPr>
              <w:pStyle w:val="TableParagraph"/>
              <w:spacing w:line="227" w:lineRule="exact"/>
              <w:ind w:right="48"/>
              <w:rPr>
                <w:sz w:val="20"/>
              </w:rPr>
            </w:pPr>
            <w:r>
              <w:rPr>
                <w:sz w:val="20"/>
              </w:rPr>
              <w:t>173,846</w:t>
            </w:r>
          </w:p>
        </w:tc>
      </w:tr>
      <w:tr>
        <w:trPr>
          <w:trHeight w:val="230" w:hRule="exact"/>
        </w:trPr>
        <w:tc>
          <w:tcPr>
            <w:tcW w:w="2962" w:type="dxa"/>
          </w:tcPr>
          <w:p>
            <w:pPr>
              <w:pStyle w:val="TableParagraph"/>
              <w:spacing w:line="227" w:lineRule="exact"/>
              <w:ind w:left="1787"/>
              <w:jc w:val="left"/>
              <w:rPr>
                <w:sz w:val="20"/>
              </w:rPr>
            </w:pPr>
            <w:r>
              <w:rPr>
                <w:sz w:val="20"/>
              </w:rPr>
              <w:t>2000</w:t>
            </w:r>
          </w:p>
        </w:tc>
        <w:tc>
          <w:tcPr>
            <w:tcW w:w="2251" w:type="dxa"/>
          </w:tcPr>
          <w:p>
            <w:pPr>
              <w:pStyle w:val="TableParagraph"/>
              <w:spacing w:line="227" w:lineRule="exact"/>
              <w:ind w:right="278"/>
              <w:rPr>
                <w:sz w:val="20"/>
              </w:rPr>
            </w:pPr>
            <w:r>
              <w:rPr>
                <w:sz w:val="20"/>
              </w:rPr>
              <w:t>16,871</w:t>
            </w:r>
          </w:p>
        </w:tc>
        <w:tc>
          <w:tcPr>
            <w:tcW w:w="1930" w:type="dxa"/>
          </w:tcPr>
          <w:p>
            <w:pPr>
              <w:pStyle w:val="TableParagraph"/>
              <w:spacing w:line="227" w:lineRule="exact"/>
              <w:ind w:right="48"/>
              <w:rPr>
                <w:sz w:val="20"/>
              </w:rPr>
            </w:pPr>
            <w:r>
              <w:rPr>
                <w:sz w:val="20"/>
              </w:rPr>
              <w:t>165,692</w:t>
            </w:r>
          </w:p>
        </w:tc>
      </w:tr>
      <w:tr>
        <w:trPr>
          <w:trHeight w:val="230" w:hRule="exact"/>
        </w:trPr>
        <w:tc>
          <w:tcPr>
            <w:tcW w:w="2962" w:type="dxa"/>
          </w:tcPr>
          <w:p>
            <w:pPr>
              <w:pStyle w:val="TableParagraph"/>
              <w:spacing w:line="227" w:lineRule="exact"/>
              <w:ind w:left="1298"/>
              <w:jc w:val="left"/>
              <w:rPr>
                <w:sz w:val="20"/>
              </w:rPr>
            </w:pPr>
            <w:r>
              <w:rPr>
                <w:sz w:val="20"/>
              </w:rPr>
              <w:t>After 2000</w:t>
            </w:r>
          </w:p>
        </w:tc>
        <w:tc>
          <w:tcPr>
            <w:tcW w:w="2251" w:type="dxa"/>
          </w:tcPr>
          <w:p>
            <w:pPr>
              <w:pStyle w:val="TableParagraph"/>
              <w:spacing w:line="227" w:lineRule="exact"/>
              <w:ind w:right="278"/>
              <w:rPr>
                <w:sz w:val="20"/>
              </w:rPr>
            </w:pPr>
            <w:r>
              <w:rPr>
                <w:sz w:val="20"/>
                <w:u w:val="single"/>
              </w:rPr>
              <w:t>172,751</w:t>
            </w:r>
          </w:p>
        </w:tc>
        <w:tc>
          <w:tcPr>
            <w:tcW w:w="1930" w:type="dxa"/>
          </w:tcPr>
          <w:p>
            <w:pPr>
              <w:pStyle w:val="TableParagraph"/>
              <w:spacing w:line="227" w:lineRule="exact"/>
              <w:ind w:right="48"/>
              <w:rPr>
                <w:sz w:val="20"/>
              </w:rPr>
            </w:pPr>
            <w:r>
              <w:rPr>
                <w:sz w:val="20"/>
                <w:u w:val="single"/>
              </w:rPr>
              <w:t>1,935,372</w:t>
            </w:r>
          </w:p>
        </w:tc>
      </w:tr>
      <w:tr>
        <w:trPr>
          <w:trHeight w:val="230" w:hRule="exact"/>
        </w:trPr>
        <w:tc>
          <w:tcPr>
            <w:tcW w:w="2962" w:type="dxa"/>
          </w:tcPr>
          <w:p>
            <w:pPr>
              <w:pStyle w:val="TableParagraph"/>
              <w:spacing w:line="227" w:lineRule="exact"/>
              <w:ind w:left="50"/>
              <w:jc w:val="left"/>
              <w:rPr>
                <w:sz w:val="20"/>
              </w:rPr>
            </w:pPr>
            <w:r>
              <w:rPr>
                <w:sz w:val="20"/>
              </w:rPr>
              <w:t>Total minimum lease</w:t>
            </w:r>
          </w:p>
        </w:tc>
        <w:tc>
          <w:tcPr>
            <w:tcW w:w="2251" w:type="dxa"/>
          </w:tcPr>
          <w:p>
            <w:pPr>
              <w:pStyle w:val="TableParagraph"/>
              <w:spacing w:line="227" w:lineRule="exact"/>
              <w:ind w:right="278"/>
              <w:rPr>
                <w:sz w:val="20"/>
              </w:rPr>
            </w:pPr>
            <w:r>
              <w:rPr>
                <w:sz w:val="20"/>
              </w:rPr>
              <w:t>295,547</w:t>
            </w:r>
          </w:p>
        </w:tc>
        <w:tc>
          <w:tcPr>
            <w:tcW w:w="1930" w:type="dxa"/>
          </w:tcPr>
          <w:p>
            <w:pPr>
              <w:pStyle w:val="TableParagraph"/>
              <w:spacing w:line="227" w:lineRule="exact"/>
              <w:ind w:right="48"/>
              <w:rPr>
                <w:sz w:val="20"/>
              </w:rPr>
            </w:pPr>
            <w:r>
              <w:rPr>
                <w:sz w:val="20"/>
                <w:u w:val="single"/>
              </w:rPr>
              <w:t>$2,893,726</w:t>
            </w:r>
          </w:p>
        </w:tc>
      </w:tr>
      <w:tr>
        <w:trPr>
          <w:trHeight w:val="230" w:hRule="exact"/>
        </w:trPr>
        <w:tc>
          <w:tcPr>
            <w:tcW w:w="2962" w:type="dxa"/>
          </w:tcPr>
          <w:p>
            <w:pPr>
              <w:pStyle w:val="TableParagraph"/>
              <w:spacing w:line="227" w:lineRule="exact"/>
              <w:ind w:left="50"/>
              <w:jc w:val="left"/>
              <w:rPr>
                <w:sz w:val="20"/>
              </w:rPr>
            </w:pPr>
            <w:r>
              <w:rPr>
                <w:sz w:val="20"/>
              </w:rPr>
              <w:t>payments</w:t>
            </w:r>
          </w:p>
        </w:tc>
        <w:tc>
          <w:tcPr>
            <w:tcW w:w="2251" w:type="dxa"/>
          </w:tcPr>
          <w:p>
            <w:pP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Less amount representing</w:t>
            </w:r>
          </w:p>
        </w:tc>
        <w:tc>
          <w:tcPr>
            <w:tcW w:w="2251" w:type="dxa"/>
          </w:tcPr>
          <w:p>
            <w:pP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interest</w:t>
            </w:r>
          </w:p>
        </w:tc>
        <w:tc>
          <w:tcPr>
            <w:tcW w:w="2251" w:type="dxa"/>
          </w:tcPr>
          <w:p>
            <w:pPr>
              <w:pStyle w:val="TableParagraph"/>
              <w:spacing w:line="227" w:lineRule="exact"/>
              <w:ind w:right="278"/>
              <w:rPr>
                <w:sz w:val="20"/>
              </w:rPr>
            </w:pPr>
            <w:r>
              <w:rPr>
                <w:sz w:val="20"/>
                <w:u w:val="single"/>
              </w:rPr>
              <w:t>117,851</w:t>
            </w: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Present value of minimum</w:t>
            </w:r>
          </w:p>
        </w:tc>
        <w:tc>
          <w:tcPr>
            <w:tcW w:w="2251" w:type="dxa"/>
          </w:tcPr>
          <w:p>
            <w:pPr/>
          </w:p>
        </w:tc>
        <w:tc>
          <w:tcPr>
            <w:tcW w:w="1930" w:type="dxa"/>
          </w:tcPr>
          <w:p>
            <w:pPr/>
          </w:p>
        </w:tc>
      </w:tr>
      <w:tr>
        <w:trPr>
          <w:trHeight w:val="230" w:hRule="exact"/>
        </w:trPr>
        <w:tc>
          <w:tcPr>
            <w:tcW w:w="2962" w:type="dxa"/>
          </w:tcPr>
          <w:p>
            <w:pPr>
              <w:pStyle w:val="TableParagraph"/>
              <w:spacing w:line="227" w:lineRule="exact"/>
              <w:ind w:left="770"/>
              <w:jc w:val="left"/>
              <w:rPr>
                <w:sz w:val="20"/>
              </w:rPr>
            </w:pPr>
            <w:r>
              <w:rPr>
                <w:sz w:val="20"/>
              </w:rPr>
              <w:t>lease payments</w:t>
            </w:r>
          </w:p>
        </w:tc>
        <w:tc>
          <w:tcPr>
            <w:tcW w:w="2251" w:type="dxa"/>
          </w:tcPr>
          <w:p>
            <w:pPr>
              <w:pStyle w:val="TableParagraph"/>
              <w:spacing w:line="227" w:lineRule="exact"/>
              <w:ind w:right="278"/>
              <w:rPr>
                <w:sz w:val="20"/>
              </w:rPr>
            </w:pPr>
            <w:r>
              <w:rPr>
                <w:sz w:val="20"/>
              </w:rPr>
              <w:t>177,696</w:t>
            </w:r>
          </w:p>
        </w:tc>
        <w:tc>
          <w:tcPr>
            <w:tcW w:w="1930" w:type="dxa"/>
          </w:tcPr>
          <w:p>
            <w:pPr/>
          </w:p>
        </w:tc>
      </w:tr>
      <w:tr>
        <w:trPr>
          <w:trHeight w:val="230" w:hRule="exact"/>
        </w:trPr>
        <w:tc>
          <w:tcPr>
            <w:tcW w:w="2962" w:type="dxa"/>
          </w:tcPr>
          <w:p>
            <w:pPr>
              <w:pStyle w:val="TableParagraph"/>
              <w:spacing w:line="227" w:lineRule="exact"/>
              <w:ind w:left="50"/>
              <w:jc w:val="left"/>
              <w:rPr>
                <w:sz w:val="20"/>
              </w:rPr>
            </w:pPr>
            <w:r>
              <w:rPr>
                <w:sz w:val="20"/>
              </w:rPr>
              <w:t>Less current portion</w:t>
            </w:r>
          </w:p>
        </w:tc>
        <w:tc>
          <w:tcPr>
            <w:tcW w:w="2251" w:type="dxa"/>
          </w:tcPr>
          <w:p>
            <w:pPr>
              <w:pStyle w:val="TableParagraph"/>
              <w:spacing w:line="227" w:lineRule="exact"/>
              <w:ind w:right="278"/>
              <w:rPr>
                <w:sz w:val="20"/>
              </w:rPr>
            </w:pPr>
            <w:r>
              <w:rPr>
                <w:sz w:val="20"/>
                <w:u w:val="single"/>
              </w:rPr>
              <w:t>13,505</w:t>
            </w:r>
          </w:p>
        </w:tc>
        <w:tc>
          <w:tcPr>
            <w:tcW w:w="1930" w:type="dxa"/>
          </w:tcPr>
          <w:p>
            <w:pPr/>
          </w:p>
        </w:tc>
      </w:tr>
      <w:tr>
        <w:trPr>
          <w:trHeight w:val="228" w:hRule="exact"/>
        </w:trPr>
        <w:tc>
          <w:tcPr>
            <w:tcW w:w="2962" w:type="dxa"/>
          </w:tcPr>
          <w:p>
            <w:pPr>
              <w:pStyle w:val="TableParagraph"/>
              <w:spacing w:line="227" w:lineRule="exact"/>
              <w:ind w:left="50"/>
              <w:jc w:val="left"/>
              <w:rPr>
                <w:sz w:val="20"/>
              </w:rPr>
            </w:pPr>
            <w:r>
              <w:rPr>
                <w:sz w:val="20"/>
              </w:rPr>
              <w:t>Long-term portion</w:t>
            </w:r>
          </w:p>
        </w:tc>
        <w:tc>
          <w:tcPr>
            <w:tcW w:w="2251" w:type="dxa"/>
          </w:tcPr>
          <w:p>
            <w:pPr>
              <w:pStyle w:val="TableParagraph"/>
              <w:spacing w:line="227" w:lineRule="exact"/>
              <w:ind w:right="278"/>
              <w:rPr>
                <w:sz w:val="20"/>
              </w:rPr>
            </w:pPr>
            <w:r>
              <w:rPr>
                <w:sz w:val="20"/>
                <w:u w:val="single"/>
              </w:rPr>
              <w:t>$164,191</w:t>
            </w:r>
          </w:p>
        </w:tc>
        <w:tc>
          <w:tcPr>
            <w:tcW w:w="1930" w:type="dxa"/>
          </w:tcPr>
          <w:p>
            <w:pPr/>
          </w:p>
        </w:tc>
      </w:tr>
    </w:tbl>
    <w:p>
      <w:pPr>
        <w:pStyle w:val="BodyText"/>
      </w:pPr>
    </w:p>
    <w:p>
      <w:pPr>
        <w:pStyle w:val="BodyText"/>
        <w:ind w:left="160" w:right="142"/>
      </w:pPr>
      <w:r>
        <w:rPr/>
        <w:t>The aircraft leases can generally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5"/>
      </w:pPr>
    </w:p>
    <w:p>
      <w:pPr>
        <w:pStyle w:val="Heading2"/>
        <w:numPr>
          <w:ilvl w:val="0"/>
          <w:numId w:val="3"/>
        </w:numPr>
        <w:tabs>
          <w:tab w:pos="386" w:val="left" w:leader="none"/>
        </w:tabs>
        <w:spacing w:line="240" w:lineRule="auto" w:before="0" w:after="0"/>
        <w:ind w:left="385" w:right="0" w:hanging="225"/>
        <w:jc w:val="left"/>
      </w:pPr>
      <w:r>
        <w:rPr/>
        <w:t>COMMON</w:t>
      </w:r>
      <w:r>
        <w:rPr>
          <w:spacing w:val="13"/>
        </w:rPr>
        <w:t> </w:t>
      </w:r>
      <w:r>
        <w:rPr/>
        <w:t>STOCK</w:t>
      </w:r>
    </w:p>
    <w:p>
      <w:pPr>
        <w:pStyle w:val="BodyText"/>
        <w:spacing w:before="5"/>
        <w:rPr>
          <w:b/>
        </w:rPr>
      </w:pPr>
    </w:p>
    <w:p>
      <w:pPr>
        <w:pStyle w:val="BodyText"/>
        <w:ind w:left="160" w:right="210"/>
      </w:pPr>
      <w:r>
        <w:rPr/>
        <w:t>At December 31, 1995, the Company had common stock reserved for issuance pursuant to Employee stock benefit plans (29,202,885 shares) and upon exercise of rights pursuant to the Common Stock Rights Agreement (Agreement), as amended (173,236,158 shares).</w:t>
      </w:r>
    </w:p>
    <w:p>
      <w:pPr>
        <w:pStyle w:val="BodyText"/>
      </w:pPr>
    </w:p>
    <w:p>
      <w:pPr>
        <w:pStyle w:val="BodyText"/>
        <w:ind w:left="160" w:right="210"/>
      </w:pPr>
      <w:r>
        <w:rPr/>
        <w:t>Pursuant to the Agreement, each outstanding share of the Company’s common stock is accompanied by one common share purchase right (Right). Each Right entitles its holder to purchase one share of common stock at an exercise price of $16.67 and is exercisable only in the event of a proposed takeover, as defined by the Agreement. The Company may redeem the Rights at $.0111 per Right prior to the time that 20 percent of the common stock has been acquired by a person or group. If the Company is acquired or if certain self-dealing transactions occur, as defined in the Agreement, each Right will entitle its holder to purchase for $16.67 that number of the acquiring company’s or the Company’s common shares, as provided in the Agreement, having a market value of two times the exercise price of the Right. The Rights will expire no later than July 30, 1996.</w:t>
      </w:r>
    </w:p>
    <w:p>
      <w:pPr>
        <w:pStyle w:val="BodyText"/>
      </w:pPr>
    </w:p>
    <w:p>
      <w:pPr>
        <w:pStyle w:val="BodyText"/>
        <w:ind w:left="160" w:right="210"/>
      </w:pPr>
      <w:r>
        <w:rPr/>
        <w:t>On May 19, 1993, the Company’s Board of Directors declared a three-for-two stock split, distributing 46,325,147 shares on July 15, 1993.</w:t>
      </w:r>
    </w:p>
    <w:p>
      <w:pPr>
        <w:spacing w:after="0"/>
        <w:sectPr>
          <w:pgSz w:w="12240" w:h="15840"/>
          <w:pgMar w:header="0" w:footer="790" w:top="1360" w:bottom="980" w:left="1640" w:right="1680"/>
        </w:sectPr>
      </w:pPr>
    </w:p>
    <w:p>
      <w:pPr>
        <w:pStyle w:val="Heading2"/>
        <w:numPr>
          <w:ilvl w:val="0"/>
          <w:numId w:val="3"/>
        </w:numPr>
        <w:tabs>
          <w:tab w:pos="326" w:val="left" w:leader="none"/>
        </w:tabs>
        <w:spacing w:line="240" w:lineRule="auto" w:before="84" w:after="0"/>
        <w:ind w:left="325" w:right="0" w:hanging="225"/>
        <w:jc w:val="left"/>
      </w:pPr>
      <w:r>
        <w:rPr/>
        <w:t>STOCK</w:t>
      </w:r>
      <w:r>
        <w:rPr>
          <w:spacing w:val="7"/>
        </w:rPr>
        <w:t> </w:t>
      </w:r>
      <w:r>
        <w:rPr/>
        <w:t>PLANS</w:t>
      </w:r>
    </w:p>
    <w:p>
      <w:pPr>
        <w:pStyle w:val="BodyText"/>
        <w:spacing w:before="5"/>
        <w:rPr>
          <w:b/>
        </w:rPr>
      </w:pPr>
    </w:p>
    <w:p>
      <w:pPr>
        <w:pStyle w:val="BodyText"/>
        <w:ind w:left="100" w:right="118"/>
      </w:pPr>
      <w:r>
        <w:rPr/>
        <w:t>In May 1991, the Company’s stockholders approved the Incentive Stock Option Plan and the Non-Qualified Stock Option Plan. Under the Incentive Stock Option Plan, options to purchase a maximum of 9,000,000 shares of Southwest common stock may be granted to key Employees. Under the Non-Qualified Stock Option Plan, options to purchase up to 750,000 shares of Southwest common stock may be granted to key Employees and non-employee directors. Under each plan, the option price per share may not be less than the fair market value of a share on the date the option is granted and the maximum term of an option may not exceed ten  years.</w:t>
      </w:r>
    </w:p>
    <w:p>
      <w:pPr>
        <w:pStyle w:val="BodyText"/>
      </w:pPr>
    </w:p>
    <w:p>
      <w:pPr>
        <w:pStyle w:val="BodyText"/>
        <w:ind w:left="100" w:right="202"/>
      </w:pPr>
      <w:r>
        <w:rPr/>
        <w:t>Effective January 12, 1995, the Company adopted, pursuant to a collective bargaining  agreement between the Company and the Southwest Airlines Pilots’ Association (SWAPA), the 1995 SWAPA Non-Qualified </w:t>
      </w:r>
      <w:r>
        <w:rPr>
          <w:spacing w:val="-4"/>
        </w:rPr>
        <w:t>Stock </w:t>
      </w:r>
      <w:r>
        <w:rPr/>
        <w:t>Option Plan (SWAPA Plan). Under the terms of the SWAPA Plan, 18,000,000 </w:t>
      </w:r>
      <w:r>
        <w:rPr>
          <w:spacing w:val="-3"/>
        </w:rPr>
        <w:t>common </w:t>
      </w:r>
      <w:r>
        <w:rPr/>
        <w:t>shares have been reserved for issuance. An initial grant of approximately 14.5 million shares was made on the effective date at an option price of $20.00 per share. On September 1 of each year of the agreement, commencing September 1, 1996, additional options will be granted to Pilots that </w:t>
      </w:r>
      <w:r>
        <w:rPr>
          <w:spacing w:val="-3"/>
        </w:rPr>
        <w:t>became </w:t>
      </w:r>
      <w:r>
        <w:rPr/>
        <w:t>eligible during that year at an option price equal to the fair market value of the </w:t>
      </w:r>
      <w:r>
        <w:rPr>
          <w:spacing w:val="-3"/>
        </w:rPr>
        <w:t>common </w:t>
      </w:r>
      <w:r>
        <w:rPr/>
        <w:t>stock of the Company on the date of grant plus 5 percent. Options vest in ten annual increments of ten percent and must be exercised prior to January 31, 2007, or within a specified time upon retirement or termination. In the event that SWAPA exercises its option to make the collective bargaining agreement amendable on September 1, 1999, any unexercised options will be canceled on December 1, 1999.</w:t>
      </w:r>
    </w:p>
    <w:p>
      <w:pPr>
        <w:spacing w:after="0"/>
        <w:sectPr>
          <w:pgSz w:w="12240" w:h="15840"/>
          <w:pgMar w:header="0" w:footer="790" w:top="1360" w:bottom="980" w:left="1700" w:right="1680"/>
        </w:sectPr>
      </w:pPr>
    </w:p>
    <w:p>
      <w:pPr>
        <w:pStyle w:val="BodyText"/>
        <w:spacing w:before="79"/>
        <w:ind w:left="160"/>
      </w:pPr>
      <w:r>
        <w:rPr/>
        <w:t>Information regarding the stock option plans is summarized below:</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49"/>
        <w:gridCol w:w="2758"/>
        <w:gridCol w:w="2517"/>
      </w:tblGrid>
      <w:tr>
        <w:trPr>
          <w:trHeight w:val="458" w:hRule="exact"/>
        </w:trPr>
        <w:tc>
          <w:tcPr>
            <w:tcW w:w="3549" w:type="dxa"/>
          </w:tcPr>
          <w:p>
            <w:pPr/>
          </w:p>
        </w:tc>
        <w:tc>
          <w:tcPr>
            <w:tcW w:w="2758" w:type="dxa"/>
          </w:tcPr>
          <w:p>
            <w:pPr>
              <w:pStyle w:val="TableParagraph"/>
              <w:ind w:left="767" w:right="1182" w:hanging="279"/>
              <w:jc w:val="left"/>
              <w:rPr>
                <w:sz w:val="20"/>
              </w:rPr>
            </w:pPr>
            <w:r>
              <w:rPr>
                <w:sz w:val="20"/>
              </w:rPr>
              <w:t>INCENTIVE PLAN</w:t>
            </w:r>
          </w:p>
        </w:tc>
        <w:tc>
          <w:tcPr>
            <w:tcW w:w="2517" w:type="dxa"/>
          </w:tcPr>
          <w:p>
            <w:pPr>
              <w:pStyle w:val="TableParagraph"/>
              <w:ind w:left="784" w:right="569" w:hanging="423"/>
              <w:jc w:val="left"/>
              <w:rPr>
                <w:sz w:val="20"/>
              </w:rPr>
            </w:pPr>
            <w:r>
              <w:rPr>
                <w:sz w:val="20"/>
              </w:rPr>
              <w:t>NON-QUALIFIED PLANS*</w:t>
            </w:r>
          </w:p>
        </w:tc>
      </w:tr>
      <w:tr>
        <w:trPr>
          <w:trHeight w:val="230" w:hRule="exact"/>
        </w:trPr>
        <w:tc>
          <w:tcPr>
            <w:tcW w:w="3549" w:type="dxa"/>
          </w:tcPr>
          <w:p>
            <w:pPr>
              <w:pStyle w:val="TableParagraph"/>
              <w:spacing w:line="227" w:lineRule="exact"/>
              <w:ind w:left="50"/>
              <w:jc w:val="left"/>
              <w:rPr>
                <w:sz w:val="20"/>
              </w:rPr>
            </w:pPr>
            <w:r>
              <w:rPr>
                <w:sz w:val="20"/>
              </w:rPr>
              <w:t>Outstanding December 31, 1992</w:t>
            </w:r>
          </w:p>
        </w:tc>
        <w:tc>
          <w:tcPr>
            <w:tcW w:w="2758" w:type="dxa"/>
          </w:tcPr>
          <w:p>
            <w:pPr>
              <w:pStyle w:val="TableParagraph"/>
              <w:spacing w:line="227" w:lineRule="exact"/>
              <w:ind w:right="364"/>
              <w:rPr>
                <w:sz w:val="20"/>
              </w:rPr>
            </w:pPr>
            <w:r>
              <w:rPr>
                <w:sz w:val="20"/>
              </w:rPr>
              <w:t>4,016,904</w:t>
            </w:r>
          </w:p>
        </w:tc>
        <w:tc>
          <w:tcPr>
            <w:tcW w:w="2517" w:type="dxa"/>
          </w:tcPr>
          <w:p>
            <w:pPr>
              <w:pStyle w:val="TableParagraph"/>
              <w:spacing w:line="227" w:lineRule="exact"/>
              <w:ind w:right="1"/>
              <w:rPr>
                <w:sz w:val="20"/>
              </w:rPr>
            </w:pPr>
            <w:r>
              <w:rPr>
                <w:sz w:val="20"/>
              </w:rPr>
              <w:t>374,625</w:t>
            </w:r>
          </w:p>
        </w:tc>
      </w:tr>
      <w:tr>
        <w:trPr>
          <w:trHeight w:val="230" w:hRule="exact"/>
        </w:trPr>
        <w:tc>
          <w:tcPr>
            <w:tcW w:w="3549" w:type="dxa"/>
          </w:tcPr>
          <w:p>
            <w:pPr>
              <w:pStyle w:val="TableParagraph"/>
              <w:spacing w:line="227" w:lineRule="exact"/>
              <w:ind w:left="50"/>
              <w:jc w:val="left"/>
              <w:rPr>
                <w:sz w:val="20"/>
              </w:rPr>
            </w:pPr>
            <w:r>
              <w:rPr>
                <w:sz w:val="20"/>
              </w:rPr>
              <w:t>Granted</w:t>
            </w:r>
          </w:p>
        </w:tc>
        <w:tc>
          <w:tcPr>
            <w:tcW w:w="2758" w:type="dxa"/>
          </w:tcPr>
          <w:p>
            <w:pPr>
              <w:pStyle w:val="TableParagraph"/>
              <w:spacing w:line="227" w:lineRule="exact"/>
              <w:ind w:right="364"/>
              <w:rPr>
                <w:sz w:val="20"/>
              </w:rPr>
            </w:pPr>
            <w:r>
              <w:rPr>
                <w:sz w:val="20"/>
              </w:rPr>
              <w:t>724,646</w:t>
            </w:r>
          </w:p>
        </w:tc>
        <w:tc>
          <w:tcPr>
            <w:tcW w:w="2517" w:type="dxa"/>
          </w:tcPr>
          <w:p>
            <w:pPr>
              <w:pStyle w:val="TableParagraph"/>
              <w:spacing w:line="227" w:lineRule="exact"/>
              <w:ind w:right="1"/>
              <w:rPr>
                <w:sz w:val="20"/>
              </w:rPr>
            </w:pPr>
            <w:r>
              <w:rPr>
                <w:sz w:val="20"/>
              </w:rPr>
              <w:t>22,512</w:t>
            </w:r>
          </w:p>
        </w:tc>
      </w:tr>
      <w:tr>
        <w:trPr>
          <w:trHeight w:val="230" w:hRule="exact"/>
        </w:trPr>
        <w:tc>
          <w:tcPr>
            <w:tcW w:w="3549" w:type="dxa"/>
          </w:tcPr>
          <w:p>
            <w:pPr>
              <w:pStyle w:val="TableParagraph"/>
              <w:spacing w:line="227" w:lineRule="exact"/>
              <w:ind w:left="50"/>
              <w:jc w:val="left"/>
              <w:rPr>
                <w:sz w:val="20"/>
              </w:rPr>
            </w:pPr>
            <w:r>
              <w:rPr>
                <w:sz w:val="20"/>
              </w:rPr>
              <w:t>Exercised</w:t>
            </w:r>
          </w:p>
        </w:tc>
        <w:tc>
          <w:tcPr>
            <w:tcW w:w="2758" w:type="dxa"/>
          </w:tcPr>
          <w:p>
            <w:pPr>
              <w:pStyle w:val="TableParagraph"/>
              <w:spacing w:line="227" w:lineRule="exact"/>
              <w:ind w:right="389"/>
              <w:rPr>
                <w:sz w:val="20"/>
              </w:rPr>
            </w:pPr>
            <w:r>
              <w:rPr>
                <w:sz w:val="20"/>
              </w:rPr>
              <w:t>**(198,285)</w:t>
            </w:r>
          </w:p>
        </w:tc>
        <w:tc>
          <w:tcPr>
            <w:tcW w:w="2517" w:type="dxa"/>
          </w:tcPr>
          <w:p>
            <w:pPr>
              <w:pStyle w:val="TableParagraph"/>
              <w:spacing w:line="227" w:lineRule="exact"/>
              <w:ind w:right="23"/>
              <w:rPr>
                <w:sz w:val="20"/>
              </w:rPr>
            </w:pPr>
            <w:r>
              <w:rPr>
                <w:sz w:val="20"/>
              </w:rPr>
              <w:t>***(94,810)</w:t>
            </w:r>
          </w:p>
        </w:tc>
      </w:tr>
      <w:tr>
        <w:trPr>
          <w:trHeight w:val="230" w:hRule="exact"/>
        </w:trPr>
        <w:tc>
          <w:tcPr>
            <w:tcW w:w="3549" w:type="dxa"/>
          </w:tcPr>
          <w:p>
            <w:pPr>
              <w:pStyle w:val="TableParagraph"/>
              <w:spacing w:line="227" w:lineRule="exact"/>
              <w:ind w:left="50"/>
              <w:jc w:val="left"/>
              <w:rPr>
                <w:sz w:val="20"/>
              </w:rPr>
            </w:pPr>
            <w:r>
              <w:rPr>
                <w:sz w:val="20"/>
              </w:rPr>
              <w:t>Surrendered</w:t>
            </w:r>
          </w:p>
        </w:tc>
        <w:tc>
          <w:tcPr>
            <w:tcW w:w="2758" w:type="dxa"/>
          </w:tcPr>
          <w:p>
            <w:pPr>
              <w:pStyle w:val="TableParagraph"/>
              <w:spacing w:line="227" w:lineRule="exact"/>
              <w:ind w:right="360"/>
              <w:rPr>
                <w:sz w:val="20"/>
              </w:rPr>
            </w:pPr>
            <w:r>
              <w:rPr>
                <w:sz w:val="20"/>
                <w:u w:val="single"/>
              </w:rPr>
              <w:t>(230,978)</w:t>
            </w:r>
          </w:p>
        </w:tc>
        <w:tc>
          <w:tcPr>
            <w:tcW w:w="2517" w:type="dxa"/>
          </w:tcPr>
          <w:p>
            <w:pPr>
              <w:pStyle w:val="TableParagraph"/>
              <w:spacing w:line="227" w:lineRule="exact"/>
              <w:rPr>
                <w:sz w:val="20"/>
              </w:rPr>
            </w:pPr>
            <w:r>
              <w:rPr>
                <w:sz w:val="20"/>
                <w:u w:val="single"/>
              </w:rPr>
              <w:t>(1,050)</w:t>
            </w:r>
          </w:p>
        </w:tc>
      </w:tr>
      <w:tr>
        <w:trPr>
          <w:trHeight w:val="230" w:hRule="exact"/>
        </w:trPr>
        <w:tc>
          <w:tcPr>
            <w:tcW w:w="3549" w:type="dxa"/>
          </w:tcPr>
          <w:p>
            <w:pPr>
              <w:pStyle w:val="TableParagraph"/>
              <w:spacing w:line="227" w:lineRule="exact"/>
              <w:ind w:left="50"/>
              <w:jc w:val="left"/>
              <w:rPr>
                <w:sz w:val="20"/>
              </w:rPr>
            </w:pPr>
            <w:r>
              <w:rPr>
                <w:sz w:val="20"/>
              </w:rPr>
              <w:t>Outstanding December 31, 1993</w:t>
            </w:r>
          </w:p>
        </w:tc>
        <w:tc>
          <w:tcPr>
            <w:tcW w:w="2758" w:type="dxa"/>
          </w:tcPr>
          <w:p>
            <w:pPr>
              <w:pStyle w:val="TableParagraph"/>
              <w:spacing w:line="227" w:lineRule="exact"/>
              <w:ind w:right="364"/>
              <w:rPr>
                <w:sz w:val="20"/>
              </w:rPr>
            </w:pPr>
            <w:r>
              <w:rPr>
                <w:sz w:val="20"/>
              </w:rPr>
              <w:t>4,312,287</w:t>
            </w:r>
          </w:p>
        </w:tc>
        <w:tc>
          <w:tcPr>
            <w:tcW w:w="2517" w:type="dxa"/>
          </w:tcPr>
          <w:p>
            <w:pPr>
              <w:pStyle w:val="TableParagraph"/>
              <w:spacing w:line="227" w:lineRule="exact"/>
              <w:ind w:right="1"/>
              <w:rPr>
                <w:sz w:val="20"/>
              </w:rPr>
            </w:pPr>
            <w:r>
              <w:rPr>
                <w:sz w:val="20"/>
              </w:rPr>
              <w:t>301,277</w:t>
            </w:r>
          </w:p>
        </w:tc>
      </w:tr>
      <w:tr>
        <w:trPr>
          <w:trHeight w:val="230" w:hRule="exact"/>
        </w:trPr>
        <w:tc>
          <w:tcPr>
            <w:tcW w:w="3549" w:type="dxa"/>
          </w:tcPr>
          <w:p>
            <w:pPr>
              <w:pStyle w:val="TableParagraph"/>
              <w:spacing w:line="227" w:lineRule="exact"/>
              <w:ind w:left="50"/>
              <w:jc w:val="left"/>
              <w:rPr>
                <w:sz w:val="20"/>
              </w:rPr>
            </w:pPr>
            <w:r>
              <w:rPr>
                <w:sz w:val="20"/>
              </w:rPr>
              <w:t>Granted</w:t>
            </w:r>
          </w:p>
        </w:tc>
        <w:tc>
          <w:tcPr>
            <w:tcW w:w="2758" w:type="dxa"/>
          </w:tcPr>
          <w:p>
            <w:pPr>
              <w:pStyle w:val="TableParagraph"/>
              <w:spacing w:line="227" w:lineRule="exact"/>
              <w:ind w:right="364"/>
              <w:rPr>
                <w:sz w:val="20"/>
              </w:rPr>
            </w:pPr>
            <w:r>
              <w:rPr>
                <w:sz w:val="20"/>
              </w:rPr>
              <w:t>794,714</w:t>
            </w:r>
          </w:p>
        </w:tc>
        <w:tc>
          <w:tcPr>
            <w:tcW w:w="2517" w:type="dxa"/>
          </w:tcPr>
          <w:p>
            <w:pPr>
              <w:pStyle w:val="TableParagraph"/>
              <w:spacing w:line="227" w:lineRule="exact"/>
              <w:ind w:right="1"/>
              <w:rPr>
                <w:sz w:val="20"/>
              </w:rPr>
            </w:pPr>
            <w:r>
              <w:rPr>
                <w:sz w:val="20"/>
              </w:rPr>
              <w:t>63,918</w:t>
            </w:r>
          </w:p>
        </w:tc>
      </w:tr>
      <w:tr>
        <w:trPr>
          <w:trHeight w:val="230" w:hRule="exact"/>
        </w:trPr>
        <w:tc>
          <w:tcPr>
            <w:tcW w:w="3549" w:type="dxa"/>
          </w:tcPr>
          <w:p>
            <w:pPr>
              <w:pStyle w:val="TableParagraph"/>
              <w:spacing w:line="227" w:lineRule="exact"/>
              <w:ind w:left="50"/>
              <w:jc w:val="left"/>
              <w:rPr>
                <w:sz w:val="20"/>
              </w:rPr>
            </w:pPr>
            <w:r>
              <w:rPr>
                <w:sz w:val="20"/>
              </w:rPr>
              <w:t>Exercised</w:t>
            </w:r>
          </w:p>
        </w:tc>
        <w:tc>
          <w:tcPr>
            <w:tcW w:w="2758" w:type="dxa"/>
          </w:tcPr>
          <w:p>
            <w:pPr>
              <w:pStyle w:val="TableParagraph"/>
              <w:spacing w:line="227" w:lineRule="exact"/>
              <w:ind w:right="360"/>
              <w:rPr>
                <w:sz w:val="20"/>
              </w:rPr>
            </w:pPr>
            <w:r>
              <w:rPr>
                <w:sz w:val="20"/>
              </w:rPr>
              <w:t>(190,159)</w:t>
            </w:r>
          </w:p>
        </w:tc>
        <w:tc>
          <w:tcPr>
            <w:tcW w:w="2517" w:type="dxa"/>
          </w:tcPr>
          <w:p>
            <w:pPr>
              <w:pStyle w:val="TableParagraph"/>
              <w:spacing w:line="227" w:lineRule="exact"/>
              <w:rPr>
                <w:sz w:val="20"/>
              </w:rPr>
            </w:pPr>
            <w:r>
              <w:rPr>
                <w:sz w:val="20"/>
              </w:rPr>
              <w:t>(9,940)</w:t>
            </w:r>
          </w:p>
        </w:tc>
      </w:tr>
      <w:tr>
        <w:trPr>
          <w:trHeight w:val="228" w:hRule="exact"/>
        </w:trPr>
        <w:tc>
          <w:tcPr>
            <w:tcW w:w="3549" w:type="dxa"/>
          </w:tcPr>
          <w:p>
            <w:pPr>
              <w:pStyle w:val="TableParagraph"/>
              <w:spacing w:line="227" w:lineRule="exact"/>
              <w:ind w:left="50"/>
              <w:jc w:val="left"/>
              <w:rPr>
                <w:sz w:val="20"/>
              </w:rPr>
            </w:pPr>
            <w:r>
              <w:rPr>
                <w:sz w:val="20"/>
              </w:rPr>
              <w:t>Surrendered</w:t>
            </w:r>
          </w:p>
        </w:tc>
        <w:tc>
          <w:tcPr>
            <w:tcW w:w="2758" w:type="dxa"/>
          </w:tcPr>
          <w:p>
            <w:pPr>
              <w:pStyle w:val="TableParagraph"/>
              <w:spacing w:line="227" w:lineRule="exact"/>
              <w:ind w:right="360"/>
              <w:rPr>
                <w:sz w:val="20"/>
              </w:rPr>
            </w:pPr>
            <w:r>
              <w:rPr>
                <w:sz w:val="20"/>
                <w:u w:val="single"/>
              </w:rPr>
              <w:t>(104,880)</w:t>
            </w:r>
          </w:p>
        </w:tc>
        <w:tc>
          <w:tcPr>
            <w:tcW w:w="2517" w:type="dxa"/>
          </w:tcPr>
          <w:p>
            <w:pPr>
              <w:pStyle w:val="TableParagraph"/>
              <w:spacing w:line="227" w:lineRule="exact"/>
              <w:ind w:right="2"/>
              <w:rPr>
                <w:sz w:val="20"/>
              </w:rPr>
            </w:pPr>
            <w:r>
              <w:rPr>
                <w:w w:val="100"/>
                <w:sz w:val="20"/>
              </w:rPr>
              <w:t>-</w:t>
            </w:r>
          </w:p>
        </w:tc>
      </w:tr>
      <w:tr>
        <w:trPr>
          <w:trHeight w:val="233" w:hRule="exact"/>
        </w:trPr>
        <w:tc>
          <w:tcPr>
            <w:tcW w:w="3549" w:type="dxa"/>
          </w:tcPr>
          <w:p>
            <w:pPr>
              <w:pStyle w:val="TableParagraph"/>
              <w:ind w:left="50"/>
              <w:jc w:val="left"/>
              <w:rPr>
                <w:sz w:val="20"/>
              </w:rPr>
            </w:pPr>
            <w:r>
              <w:rPr>
                <w:sz w:val="20"/>
              </w:rPr>
              <w:t>Outstanding December 31, 1994</w:t>
            </w:r>
          </w:p>
        </w:tc>
        <w:tc>
          <w:tcPr>
            <w:tcW w:w="2758" w:type="dxa"/>
          </w:tcPr>
          <w:p>
            <w:pPr>
              <w:pStyle w:val="TableParagraph"/>
              <w:ind w:right="364"/>
              <w:rPr>
                <w:sz w:val="20"/>
              </w:rPr>
            </w:pPr>
            <w:r>
              <w:rPr>
                <w:sz w:val="20"/>
              </w:rPr>
              <w:t>4,811,962</w:t>
            </w:r>
          </w:p>
        </w:tc>
        <w:tc>
          <w:tcPr>
            <w:tcW w:w="2517" w:type="dxa"/>
          </w:tcPr>
          <w:p>
            <w:pPr>
              <w:pStyle w:val="TableParagraph"/>
              <w:spacing w:before="16"/>
              <w:ind w:right="1"/>
              <w:rPr>
                <w:sz w:val="20"/>
              </w:rPr>
            </w:pPr>
            <w:r>
              <w:rPr>
                <w:sz w:val="20"/>
              </w:rPr>
              <w:t>355,255</w:t>
            </w:r>
          </w:p>
        </w:tc>
      </w:tr>
      <w:tr>
        <w:trPr>
          <w:trHeight w:val="230" w:hRule="exact"/>
        </w:trPr>
        <w:tc>
          <w:tcPr>
            <w:tcW w:w="3549" w:type="dxa"/>
          </w:tcPr>
          <w:p>
            <w:pPr>
              <w:pStyle w:val="TableParagraph"/>
              <w:spacing w:line="227" w:lineRule="exact"/>
              <w:ind w:left="50"/>
              <w:jc w:val="left"/>
              <w:rPr>
                <w:sz w:val="20"/>
              </w:rPr>
            </w:pPr>
            <w:r>
              <w:rPr>
                <w:sz w:val="20"/>
              </w:rPr>
              <w:t>Granted</w:t>
            </w:r>
          </w:p>
        </w:tc>
        <w:tc>
          <w:tcPr>
            <w:tcW w:w="2758" w:type="dxa"/>
          </w:tcPr>
          <w:p>
            <w:pPr>
              <w:pStyle w:val="TableParagraph"/>
              <w:spacing w:line="227" w:lineRule="exact"/>
              <w:ind w:right="364"/>
              <w:rPr>
                <w:sz w:val="20"/>
              </w:rPr>
            </w:pPr>
            <w:r>
              <w:rPr>
                <w:sz w:val="20"/>
              </w:rPr>
              <w:t>983,214</w:t>
            </w:r>
          </w:p>
        </w:tc>
        <w:tc>
          <w:tcPr>
            <w:tcW w:w="2517" w:type="dxa"/>
          </w:tcPr>
          <w:p>
            <w:pPr>
              <w:pStyle w:val="TableParagraph"/>
              <w:spacing w:line="227" w:lineRule="exact"/>
              <w:ind w:right="1"/>
              <w:rPr>
                <w:sz w:val="20"/>
              </w:rPr>
            </w:pPr>
            <w:r>
              <w:rPr>
                <w:sz w:val="20"/>
              </w:rPr>
              <w:t>14,620,365</w:t>
            </w:r>
          </w:p>
        </w:tc>
      </w:tr>
      <w:tr>
        <w:trPr>
          <w:trHeight w:val="230" w:hRule="exact"/>
        </w:trPr>
        <w:tc>
          <w:tcPr>
            <w:tcW w:w="3549" w:type="dxa"/>
          </w:tcPr>
          <w:p>
            <w:pPr>
              <w:pStyle w:val="TableParagraph"/>
              <w:spacing w:line="227" w:lineRule="exact"/>
              <w:ind w:left="50"/>
              <w:jc w:val="left"/>
              <w:rPr>
                <w:sz w:val="20"/>
              </w:rPr>
            </w:pPr>
            <w:r>
              <w:rPr>
                <w:sz w:val="20"/>
              </w:rPr>
              <w:t>Exercised</w:t>
            </w:r>
          </w:p>
        </w:tc>
        <w:tc>
          <w:tcPr>
            <w:tcW w:w="2758" w:type="dxa"/>
          </w:tcPr>
          <w:p>
            <w:pPr>
              <w:pStyle w:val="TableParagraph"/>
              <w:spacing w:line="227" w:lineRule="exact"/>
              <w:ind w:right="360"/>
              <w:rPr>
                <w:sz w:val="20"/>
              </w:rPr>
            </w:pPr>
            <w:r>
              <w:rPr>
                <w:sz w:val="20"/>
              </w:rPr>
              <w:t>(275,058)</w:t>
            </w:r>
          </w:p>
        </w:tc>
        <w:tc>
          <w:tcPr>
            <w:tcW w:w="2517" w:type="dxa"/>
          </w:tcPr>
          <w:p>
            <w:pPr>
              <w:pStyle w:val="TableParagraph"/>
              <w:spacing w:line="227" w:lineRule="exact"/>
              <w:rPr>
                <w:sz w:val="20"/>
              </w:rPr>
            </w:pPr>
            <w:r>
              <w:rPr>
                <w:sz w:val="20"/>
              </w:rPr>
              <w:t>(60,510)</w:t>
            </w:r>
          </w:p>
        </w:tc>
      </w:tr>
      <w:tr>
        <w:trPr>
          <w:trHeight w:val="230" w:hRule="exact"/>
        </w:trPr>
        <w:tc>
          <w:tcPr>
            <w:tcW w:w="3549" w:type="dxa"/>
          </w:tcPr>
          <w:p>
            <w:pPr>
              <w:pStyle w:val="TableParagraph"/>
              <w:spacing w:line="227" w:lineRule="exact"/>
              <w:ind w:left="50"/>
              <w:jc w:val="left"/>
              <w:rPr>
                <w:sz w:val="20"/>
              </w:rPr>
            </w:pPr>
            <w:r>
              <w:rPr>
                <w:sz w:val="20"/>
              </w:rPr>
              <w:t>Surrendered</w:t>
            </w:r>
          </w:p>
        </w:tc>
        <w:tc>
          <w:tcPr>
            <w:tcW w:w="2758" w:type="dxa"/>
          </w:tcPr>
          <w:p>
            <w:pPr>
              <w:pStyle w:val="TableParagraph"/>
              <w:spacing w:line="227" w:lineRule="exact"/>
              <w:ind w:right="360"/>
              <w:rPr>
                <w:sz w:val="20"/>
              </w:rPr>
            </w:pPr>
            <w:r>
              <w:rPr>
                <w:sz w:val="20"/>
                <w:u w:val="single"/>
              </w:rPr>
              <w:t>(308,239)</w:t>
            </w:r>
          </w:p>
        </w:tc>
        <w:tc>
          <w:tcPr>
            <w:tcW w:w="2517" w:type="dxa"/>
          </w:tcPr>
          <w:p>
            <w:pPr>
              <w:pStyle w:val="TableParagraph"/>
              <w:spacing w:line="227" w:lineRule="exact"/>
              <w:rPr>
                <w:sz w:val="20"/>
              </w:rPr>
            </w:pPr>
            <w:r>
              <w:rPr>
                <w:sz w:val="20"/>
                <w:u w:val="single"/>
              </w:rPr>
              <w:t>(61,041)</w:t>
            </w:r>
          </w:p>
        </w:tc>
      </w:tr>
      <w:tr>
        <w:trPr>
          <w:trHeight w:val="346" w:hRule="exact"/>
        </w:trPr>
        <w:tc>
          <w:tcPr>
            <w:tcW w:w="3549" w:type="dxa"/>
          </w:tcPr>
          <w:p>
            <w:pPr>
              <w:pStyle w:val="TableParagraph"/>
              <w:spacing w:line="227" w:lineRule="exact"/>
              <w:ind w:left="50"/>
              <w:jc w:val="left"/>
              <w:rPr>
                <w:sz w:val="20"/>
              </w:rPr>
            </w:pPr>
            <w:r>
              <w:rPr>
                <w:sz w:val="20"/>
              </w:rPr>
              <w:t>Outstanding December 31, 1995</w:t>
            </w:r>
          </w:p>
        </w:tc>
        <w:tc>
          <w:tcPr>
            <w:tcW w:w="2758" w:type="dxa"/>
          </w:tcPr>
          <w:p>
            <w:pPr>
              <w:pStyle w:val="TableParagraph"/>
              <w:spacing w:line="227" w:lineRule="exact"/>
              <w:ind w:right="364"/>
              <w:rPr>
                <w:sz w:val="20"/>
              </w:rPr>
            </w:pPr>
            <w:r>
              <w:rPr>
                <w:sz w:val="20"/>
                <w:u w:val="single"/>
              </w:rPr>
              <w:t>5,211,879</w:t>
            </w:r>
          </w:p>
        </w:tc>
        <w:tc>
          <w:tcPr>
            <w:tcW w:w="2517" w:type="dxa"/>
          </w:tcPr>
          <w:p>
            <w:pPr>
              <w:pStyle w:val="TableParagraph"/>
              <w:spacing w:line="227" w:lineRule="exact"/>
              <w:ind w:right="1"/>
              <w:rPr>
                <w:sz w:val="20"/>
              </w:rPr>
            </w:pPr>
            <w:r>
              <w:rPr>
                <w:sz w:val="20"/>
                <w:u w:val="single"/>
              </w:rPr>
              <w:t>14,854,069</w:t>
            </w:r>
          </w:p>
        </w:tc>
      </w:tr>
      <w:tr>
        <w:trPr>
          <w:trHeight w:val="461" w:hRule="exact"/>
        </w:trPr>
        <w:tc>
          <w:tcPr>
            <w:tcW w:w="3549" w:type="dxa"/>
          </w:tcPr>
          <w:p>
            <w:pPr>
              <w:pStyle w:val="TableParagraph"/>
              <w:spacing w:before="112"/>
              <w:ind w:left="50"/>
              <w:jc w:val="left"/>
              <w:rPr>
                <w:sz w:val="20"/>
              </w:rPr>
            </w:pPr>
            <w:r>
              <w:rPr>
                <w:sz w:val="20"/>
              </w:rPr>
              <w:t>Exercisable December 31, 1995</w:t>
            </w:r>
          </w:p>
        </w:tc>
        <w:tc>
          <w:tcPr>
            <w:tcW w:w="2758" w:type="dxa"/>
          </w:tcPr>
          <w:p>
            <w:pPr>
              <w:pStyle w:val="TableParagraph"/>
              <w:spacing w:before="112"/>
              <w:ind w:right="364"/>
              <w:rPr>
                <w:sz w:val="20"/>
              </w:rPr>
            </w:pPr>
            <w:r>
              <w:rPr>
                <w:sz w:val="20"/>
              </w:rPr>
              <w:t>889,499</w:t>
            </w:r>
          </w:p>
        </w:tc>
        <w:tc>
          <w:tcPr>
            <w:tcW w:w="2517" w:type="dxa"/>
          </w:tcPr>
          <w:p>
            <w:pPr>
              <w:pStyle w:val="TableParagraph"/>
              <w:spacing w:before="112"/>
              <w:ind w:right="1"/>
              <w:rPr>
                <w:sz w:val="20"/>
              </w:rPr>
            </w:pPr>
            <w:r>
              <w:rPr>
                <w:sz w:val="20"/>
              </w:rPr>
              <w:t>2,892,969</w:t>
            </w:r>
          </w:p>
        </w:tc>
      </w:tr>
      <w:tr>
        <w:trPr>
          <w:trHeight w:val="806" w:hRule="exact"/>
        </w:trPr>
        <w:tc>
          <w:tcPr>
            <w:tcW w:w="3549" w:type="dxa"/>
          </w:tcPr>
          <w:p>
            <w:pPr>
              <w:pStyle w:val="TableParagraph"/>
              <w:spacing w:before="112"/>
              <w:ind w:left="50" w:right="917"/>
              <w:jc w:val="left"/>
              <w:rPr>
                <w:sz w:val="20"/>
              </w:rPr>
            </w:pPr>
            <w:r>
              <w:rPr>
                <w:sz w:val="20"/>
              </w:rPr>
              <w:t>Available for granting in future periods</w:t>
            </w:r>
          </w:p>
        </w:tc>
        <w:tc>
          <w:tcPr>
            <w:tcW w:w="2758" w:type="dxa"/>
          </w:tcPr>
          <w:p>
            <w:pPr>
              <w:pStyle w:val="TableParagraph"/>
              <w:spacing w:before="9"/>
              <w:jc w:val="left"/>
              <w:rPr>
                <w:sz w:val="29"/>
              </w:rPr>
            </w:pPr>
          </w:p>
          <w:p>
            <w:pPr>
              <w:pStyle w:val="TableParagraph"/>
              <w:ind w:right="364"/>
              <w:rPr>
                <w:sz w:val="20"/>
              </w:rPr>
            </w:pPr>
            <w:r>
              <w:rPr>
                <w:sz w:val="20"/>
              </w:rPr>
              <w:t>2,772,719</w:t>
            </w:r>
          </w:p>
        </w:tc>
        <w:tc>
          <w:tcPr>
            <w:tcW w:w="2517" w:type="dxa"/>
          </w:tcPr>
          <w:p>
            <w:pPr>
              <w:pStyle w:val="TableParagraph"/>
              <w:spacing w:before="9"/>
              <w:jc w:val="left"/>
              <w:rPr>
                <w:sz w:val="29"/>
              </w:rPr>
            </w:pPr>
          </w:p>
          <w:p>
            <w:pPr>
              <w:pStyle w:val="TableParagraph"/>
              <w:ind w:right="1"/>
              <w:rPr>
                <w:sz w:val="20"/>
              </w:rPr>
            </w:pPr>
            <w:r>
              <w:rPr>
                <w:sz w:val="20"/>
              </w:rPr>
              <w:t>3,719,841</w:t>
            </w:r>
          </w:p>
        </w:tc>
      </w:tr>
      <w:tr>
        <w:trPr>
          <w:trHeight w:val="922" w:hRule="exact"/>
        </w:trPr>
        <w:tc>
          <w:tcPr>
            <w:tcW w:w="3549" w:type="dxa"/>
          </w:tcPr>
          <w:p>
            <w:pPr>
              <w:pStyle w:val="TableParagraph"/>
              <w:spacing w:before="9"/>
              <w:jc w:val="left"/>
              <w:rPr>
                <w:sz w:val="19"/>
              </w:rPr>
            </w:pPr>
          </w:p>
          <w:p>
            <w:pPr>
              <w:pStyle w:val="TableParagraph"/>
              <w:ind w:left="50" w:right="917"/>
              <w:jc w:val="left"/>
              <w:rPr>
                <w:sz w:val="20"/>
              </w:rPr>
            </w:pPr>
            <w:r>
              <w:rPr>
                <w:sz w:val="20"/>
              </w:rPr>
              <w:t>Average price of exercised options:</w:t>
            </w:r>
          </w:p>
          <w:p>
            <w:pPr>
              <w:pStyle w:val="TableParagraph"/>
              <w:ind w:right="487"/>
              <w:rPr>
                <w:sz w:val="20"/>
              </w:rPr>
            </w:pPr>
            <w:r>
              <w:rPr>
                <w:sz w:val="20"/>
              </w:rPr>
              <w:t>1995</w:t>
            </w:r>
          </w:p>
        </w:tc>
        <w:tc>
          <w:tcPr>
            <w:tcW w:w="2758" w:type="dxa"/>
          </w:tcPr>
          <w:p>
            <w:pPr>
              <w:pStyle w:val="TableParagraph"/>
              <w:jc w:val="left"/>
              <w:rPr>
                <w:sz w:val="22"/>
              </w:rPr>
            </w:pPr>
          </w:p>
          <w:p>
            <w:pPr>
              <w:pStyle w:val="TableParagraph"/>
              <w:jc w:val="left"/>
              <w:rPr>
                <w:sz w:val="22"/>
              </w:rPr>
            </w:pPr>
          </w:p>
          <w:p>
            <w:pPr>
              <w:pStyle w:val="TableParagraph"/>
              <w:spacing w:before="182"/>
              <w:ind w:right="364"/>
              <w:rPr>
                <w:sz w:val="20"/>
              </w:rPr>
            </w:pPr>
            <w:r>
              <w:rPr>
                <w:sz w:val="20"/>
              </w:rPr>
              <w:t>$8.50</w:t>
            </w:r>
          </w:p>
        </w:tc>
        <w:tc>
          <w:tcPr>
            <w:tcW w:w="2517" w:type="dxa"/>
          </w:tcPr>
          <w:p>
            <w:pPr>
              <w:pStyle w:val="TableParagraph"/>
              <w:jc w:val="left"/>
              <w:rPr>
                <w:sz w:val="22"/>
              </w:rPr>
            </w:pPr>
          </w:p>
          <w:p>
            <w:pPr>
              <w:pStyle w:val="TableParagraph"/>
              <w:jc w:val="left"/>
              <w:rPr>
                <w:sz w:val="22"/>
              </w:rPr>
            </w:pPr>
          </w:p>
          <w:p>
            <w:pPr>
              <w:pStyle w:val="TableParagraph"/>
              <w:spacing w:before="182"/>
              <w:ind w:right="1"/>
              <w:rPr>
                <w:sz w:val="20"/>
              </w:rPr>
            </w:pPr>
            <w:r>
              <w:rPr>
                <w:sz w:val="20"/>
              </w:rPr>
              <w:t>$15.12</w:t>
            </w:r>
          </w:p>
        </w:tc>
      </w:tr>
      <w:tr>
        <w:trPr>
          <w:trHeight w:val="230" w:hRule="exact"/>
        </w:trPr>
        <w:tc>
          <w:tcPr>
            <w:tcW w:w="3549" w:type="dxa"/>
          </w:tcPr>
          <w:p>
            <w:pPr>
              <w:pStyle w:val="TableParagraph"/>
              <w:spacing w:line="227" w:lineRule="exact"/>
              <w:ind w:right="487"/>
              <w:rPr>
                <w:sz w:val="20"/>
              </w:rPr>
            </w:pPr>
            <w:r>
              <w:rPr>
                <w:sz w:val="20"/>
              </w:rPr>
              <w:t>1994</w:t>
            </w:r>
          </w:p>
        </w:tc>
        <w:tc>
          <w:tcPr>
            <w:tcW w:w="2758" w:type="dxa"/>
          </w:tcPr>
          <w:p>
            <w:pPr>
              <w:pStyle w:val="TableParagraph"/>
              <w:spacing w:line="227" w:lineRule="exact"/>
              <w:ind w:right="364"/>
              <w:rPr>
                <w:sz w:val="20"/>
              </w:rPr>
            </w:pPr>
            <w:r>
              <w:rPr>
                <w:sz w:val="20"/>
              </w:rPr>
              <w:t>$8.23</w:t>
            </w:r>
          </w:p>
        </w:tc>
        <w:tc>
          <w:tcPr>
            <w:tcW w:w="2517" w:type="dxa"/>
          </w:tcPr>
          <w:p>
            <w:pPr>
              <w:pStyle w:val="TableParagraph"/>
              <w:spacing w:line="227" w:lineRule="exact"/>
              <w:ind w:right="1"/>
              <w:rPr>
                <w:sz w:val="20"/>
              </w:rPr>
            </w:pPr>
            <w:r>
              <w:rPr>
                <w:sz w:val="20"/>
              </w:rPr>
              <w:t>$7.85</w:t>
            </w:r>
          </w:p>
        </w:tc>
      </w:tr>
      <w:tr>
        <w:trPr>
          <w:trHeight w:val="228" w:hRule="exact"/>
        </w:trPr>
        <w:tc>
          <w:tcPr>
            <w:tcW w:w="3549" w:type="dxa"/>
          </w:tcPr>
          <w:p>
            <w:pPr>
              <w:pStyle w:val="TableParagraph"/>
              <w:spacing w:line="227" w:lineRule="exact"/>
              <w:ind w:right="487"/>
              <w:rPr>
                <w:sz w:val="20"/>
              </w:rPr>
            </w:pPr>
            <w:r>
              <w:rPr>
                <w:sz w:val="20"/>
              </w:rPr>
              <w:t>1993</w:t>
            </w:r>
          </w:p>
        </w:tc>
        <w:tc>
          <w:tcPr>
            <w:tcW w:w="2758" w:type="dxa"/>
          </w:tcPr>
          <w:p>
            <w:pPr>
              <w:pStyle w:val="TableParagraph"/>
              <w:spacing w:line="227" w:lineRule="exact"/>
              <w:ind w:right="364"/>
              <w:rPr>
                <w:sz w:val="20"/>
              </w:rPr>
            </w:pPr>
            <w:r>
              <w:rPr>
                <w:sz w:val="20"/>
              </w:rPr>
              <w:t>$7.14</w:t>
            </w:r>
          </w:p>
        </w:tc>
        <w:tc>
          <w:tcPr>
            <w:tcW w:w="2517" w:type="dxa"/>
          </w:tcPr>
          <w:p>
            <w:pPr>
              <w:pStyle w:val="TableParagraph"/>
              <w:spacing w:line="227" w:lineRule="exact"/>
              <w:ind w:right="1"/>
              <w:rPr>
                <w:sz w:val="20"/>
              </w:rPr>
            </w:pPr>
            <w:r>
              <w:rPr>
                <w:sz w:val="20"/>
              </w:rPr>
              <w:t>$7.37</w:t>
            </w:r>
          </w:p>
        </w:tc>
      </w:tr>
    </w:tbl>
    <w:p>
      <w:pPr>
        <w:pStyle w:val="BodyText"/>
      </w:pPr>
    </w:p>
    <w:p>
      <w:pPr>
        <w:tabs>
          <w:tab w:pos="467" w:val="left" w:leader="none"/>
        </w:tabs>
        <w:spacing w:before="0"/>
        <w:ind w:left="160" w:right="0" w:firstLine="0"/>
        <w:jc w:val="left"/>
        <w:rPr>
          <w:i/>
          <w:sz w:val="20"/>
        </w:rPr>
      </w:pPr>
      <w:r>
        <w:rPr>
          <w:sz w:val="20"/>
        </w:rPr>
        <w:t>*</w:t>
        <w:tab/>
      </w:r>
      <w:r>
        <w:rPr>
          <w:i/>
          <w:sz w:val="20"/>
        </w:rPr>
        <w:t>includes 1991 Non-Qualified Plan and SWAPA</w:t>
      </w:r>
      <w:r>
        <w:rPr>
          <w:i/>
          <w:spacing w:val="-6"/>
          <w:sz w:val="20"/>
        </w:rPr>
        <w:t> </w:t>
      </w:r>
      <w:r>
        <w:rPr>
          <w:i/>
          <w:sz w:val="20"/>
        </w:rPr>
        <w:t>Plan.</w:t>
      </w:r>
    </w:p>
    <w:p>
      <w:pPr>
        <w:spacing w:line="244" w:lineRule="auto" w:before="4"/>
        <w:ind w:left="160" w:right="510" w:firstLine="0"/>
        <w:jc w:val="left"/>
        <w:rPr>
          <w:i/>
          <w:sz w:val="20"/>
        </w:rPr>
      </w:pPr>
      <w:r>
        <w:rPr>
          <w:sz w:val="20"/>
        </w:rPr>
        <w:t>** </w:t>
      </w:r>
      <w:r>
        <w:rPr>
          <w:i/>
          <w:sz w:val="20"/>
        </w:rPr>
        <w:t>includes 108,113 pre-split shares and 36,115 post-split shares, of which 5,476 pre-split </w:t>
      </w:r>
      <w:r>
        <w:rPr>
          <w:i/>
          <w:sz w:val="20"/>
        </w:rPr>
        <w:t>shares and 72 post-split shares were issued from treasury.</w:t>
      </w:r>
    </w:p>
    <w:p>
      <w:pPr>
        <w:spacing w:before="0"/>
        <w:ind w:left="160" w:right="0" w:firstLine="0"/>
        <w:jc w:val="left"/>
        <w:rPr>
          <w:i/>
          <w:sz w:val="20"/>
        </w:rPr>
      </w:pPr>
      <w:r>
        <w:rPr>
          <w:sz w:val="20"/>
        </w:rPr>
        <w:t>***  </w:t>
      </w:r>
      <w:r>
        <w:rPr>
          <w:i/>
          <w:sz w:val="20"/>
        </w:rPr>
        <w:t>includes 12,740 pre-split shares and 75,000 post-split shares.</w:t>
      </w:r>
    </w:p>
    <w:p>
      <w:pPr>
        <w:pStyle w:val="BodyText"/>
        <w:spacing w:before="5"/>
        <w:rPr>
          <w:i/>
        </w:rPr>
      </w:pPr>
    </w:p>
    <w:p>
      <w:pPr>
        <w:pStyle w:val="BodyText"/>
        <w:ind w:left="160"/>
      </w:pPr>
      <w:r>
        <w:rPr/>
        <w:t>The exercise price of outstanding options ranged from $6.02 to $37.44 in 1995 and 1994, and</w:t>
      </w:r>
    </w:p>
    <w:p>
      <w:pPr>
        <w:pStyle w:val="BodyText"/>
        <w:ind w:left="160"/>
      </w:pPr>
      <w:r>
        <w:rPr/>
        <w:t>$6.02 to $19.71 in 1993.</w:t>
      </w:r>
    </w:p>
    <w:p>
      <w:pPr>
        <w:pStyle w:val="BodyText"/>
        <w:spacing w:before="1"/>
      </w:pPr>
    </w:p>
    <w:p>
      <w:pPr>
        <w:pStyle w:val="BodyText"/>
        <w:ind w:left="160" w:right="310"/>
      </w:pPr>
      <w:r>
        <w:rPr/>
        <w:t>In 1991, the Company’s stockholders also approved the Employee </w:t>
      </w:r>
      <w:r>
        <w:rPr>
          <w:spacing w:val="-4"/>
        </w:rPr>
        <w:t>Stock Purchase </w:t>
      </w:r>
      <w:r>
        <w:rPr/>
        <w:t>Plan that provides for the sale of </w:t>
      </w:r>
      <w:r>
        <w:rPr>
          <w:spacing w:val="-3"/>
        </w:rPr>
        <w:t>common </w:t>
      </w:r>
      <w:r>
        <w:rPr/>
        <w:t>stock to Employees of the Company at a price equal to 90% of the market value at the end of each purchase period. </w:t>
      </w:r>
      <w:r>
        <w:rPr>
          <w:spacing w:val="-4"/>
        </w:rPr>
        <w:t>Common </w:t>
      </w:r>
      <w:r>
        <w:rPr/>
        <w:t>stock purchases are paid for through periodic payroll deductions. Participants under the plan received 388,339 shares in 1995, 290,054 </w:t>
      </w:r>
      <w:r>
        <w:rPr>
          <w:spacing w:val="-3"/>
        </w:rPr>
        <w:t>shares </w:t>
      </w:r>
      <w:r>
        <w:rPr/>
        <w:t>in 1994, and 182,459 </w:t>
      </w:r>
      <w:r>
        <w:rPr>
          <w:spacing w:val="-3"/>
        </w:rPr>
        <w:t>shares </w:t>
      </w:r>
      <w:r>
        <w:rPr/>
        <w:t>(59,442 pre-split </w:t>
      </w:r>
      <w:r>
        <w:rPr>
          <w:spacing w:val="-3"/>
        </w:rPr>
        <w:t>shares </w:t>
      </w:r>
      <w:r>
        <w:rPr/>
        <w:t>and 93,296 post-split shares) in 1993 at average prices of $19.18, $24.98, and $25.25,</w:t>
      </w:r>
      <w:r>
        <w:rPr>
          <w:spacing w:val="13"/>
        </w:rPr>
        <w:t> </w:t>
      </w:r>
      <w:r>
        <w:rPr/>
        <w:t>respectively.</w:t>
      </w:r>
    </w:p>
    <w:p>
      <w:pPr>
        <w:pStyle w:val="BodyText"/>
      </w:pPr>
    </w:p>
    <w:p>
      <w:pPr>
        <w:pStyle w:val="BodyText"/>
        <w:spacing w:before="1"/>
        <w:ind w:left="160" w:right="213"/>
      </w:pPr>
      <w:r>
        <w:rPr>
          <w:spacing w:val="-3"/>
        </w:rPr>
        <w:t>At </w:t>
      </w:r>
      <w:r>
        <w:rPr/>
        <w:t>December 31, 1995, 1994, and 1993, 1,422,253, 1,489,753, and 1,504,753, options to purchase the Company’s </w:t>
      </w:r>
      <w:r>
        <w:rPr>
          <w:spacing w:val="-3"/>
        </w:rPr>
        <w:t>common </w:t>
      </w:r>
      <w:r>
        <w:rPr/>
        <w:t>stock were also outstanding related to employment contracts with the Company’s president and chief executive officer. Exercise prices range from $1.00</w:t>
      </w:r>
      <w:r>
        <w:rPr>
          <w:spacing w:val="52"/>
        </w:rPr>
        <w:t> </w:t>
      </w:r>
      <w:r>
        <w:rPr/>
        <w:t>to</w:t>
      </w:r>
    </w:p>
    <w:p>
      <w:pPr>
        <w:pStyle w:val="BodyText"/>
        <w:ind w:left="160" w:right="510"/>
      </w:pPr>
      <w:r>
        <w:rPr/>
        <w:t>$11.33 per share. Options for 67,500 shares, 15,000 shares, and 7,500 shares (5,000 pre-split shares, of which 968 shares were issued from treasury), were exercised in 1995, 1994, and 1993, respectively.</w:t>
      </w:r>
    </w:p>
    <w:p>
      <w:pPr>
        <w:spacing w:after="0"/>
        <w:sectPr>
          <w:pgSz w:w="12240" w:h="15840"/>
          <w:pgMar w:header="0" w:footer="790" w:top="1360" w:bottom="980" w:left="1640" w:right="1560"/>
        </w:sectPr>
      </w:pPr>
    </w:p>
    <w:p>
      <w:pPr>
        <w:pStyle w:val="Heading2"/>
        <w:numPr>
          <w:ilvl w:val="0"/>
          <w:numId w:val="3"/>
        </w:numPr>
        <w:tabs>
          <w:tab w:pos="496" w:val="left" w:leader="none"/>
        </w:tabs>
        <w:spacing w:line="240" w:lineRule="auto" w:before="84" w:after="0"/>
        <w:ind w:left="496" w:right="0" w:hanging="336"/>
        <w:jc w:val="left"/>
      </w:pPr>
      <w:r>
        <w:rPr/>
        <w:t>EMPLOYEE PROFITSHARING AND SAVINGS</w:t>
      </w:r>
      <w:r>
        <w:rPr>
          <w:spacing w:val="7"/>
        </w:rPr>
        <w:t> </w:t>
      </w:r>
      <w:r>
        <w:rPr/>
        <w:t>PLANS</w:t>
      </w:r>
    </w:p>
    <w:p>
      <w:pPr>
        <w:pStyle w:val="BodyText"/>
        <w:spacing w:before="5"/>
        <w:rPr>
          <w:b/>
        </w:rPr>
      </w:pPr>
    </w:p>
    <w:p>
      <w:pPr>
        <w:pStyle w:val="BodyText"/>
        <w:ind w:left="159" w:right="210"/>
      </w:pPr>
      <w:r>
        <w:rPr/>
        <w:t>Substantially all of Southwest’s Employees are members of the Southwest Airlines Co. Profitsharing Plan (the Plan). Total profitsharing expense charged to operations in 1995, 1994, and 1993, was $54,033,000, $52,782,000, and $44,959,000, respectively.</w:t>
      </w:r>
    </w:p>
    <w:p>
      <w:pPr>
        <w:pStyle w:val="BodyText"/>
      </w:pPr>
    </w:p>
    <w:p>
      <w:pPr>
        <w:pStyle w:val="BodyText"/>
        <w:ind w:left="159" w:right="210"/>
      </w:pPr>
      <w:r>
        <w:rPr/>
        <w:t>The Company sponsors Employee savings plans under Section 401(k) of the Internal Revenue Code. The plans cover substantially all full-time Employees. The amount of matching contributions varies by Employee group. Company contributions generally vest over five years with credit for prior years’ service granted. Company matching contributions expensed in 1995, 1994, and 1993 were $28,954,000, $19,817,000, and $13,986,000, respectively.</w:t>
      </w:r>
    </w:p>
    <w:p>
      <w:pPr>
        <w:pStyle w:val="BodyText"/>
        <w:spacing w:before="5"/>
      </w:pPr>
    </w:p>
    <w:p>
      <w:pPr>
        <w:pStyle w:val="Heading2"/>
        <w:numPr>
          <w:ilvl w:val="0"/>
          <w:numId w:val="3"/>
        </w:numPr>
        <w:tabs>
          <w:tab w:pos="496" w:val="left" w:leader="none"/>
        </w:tabs>
        <w:spacing w:line="240" w:lineRule="auto" w:before="0" w:after="0"/>
        <w:ind w:left="496" w:right="0" w:hanging="336"/>
        <w:jc w:val="left"/>
      </w:pPr>
      <w:r>
        <w:rPr/>
        <w:t>INCOME</w:t>
      </w:r>
      <w:r>
        <w:rPr>
          <w:spacing w:val="3"/>
        </w:rPr>
        <w:t> </w:t>
      </w:r>
      <w:r>
        <w:rPr/>
        <w:t>TAXES</w:t>
      </w:r>
    </w:p>
    <w:p>
      <w:pPr>
        <w:pStyle w:val="BodyText"/>
        <w:spacing w:before="5"/>
        <w:rPr>
          <w:b/>
        </w:rPr>
      </w:pPr>
    </w:p>
    <w:p>
      <w:pPr>
        <w:pStyle w:val="BodyText"/>
        <w:ind w:left="159" w:right="254"/>
      </w:pPr>
      <w:r>
        <w:rPr/>
        <w:t>Effective January 1, 1993, the Company changed its method of accounting for income taxes from the deferred method to the liability method as required by SFAS 109 (see Note 3).</w:t>
      </w:r>
    </w:p>
    <w:p>
      <w:pPr>
        <w:pStyle w:val="BodyText"/>
      </w:pPr>
    </w:p>
    <w:p>
      <w:pPr>
        <w:pStyle w:val="BodyText"/>
        <w:ind w:left="159" w:right="210"/>
      </w:pPr>
      <w:r>
        <w:rPr/>
        <w:t>Under SFAS 109, 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1995 and 1994 are as follows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08"/>
        <w:gridCol w:w="2871"/>
        <w:gridCol w:w="1202"/>
      </w:tblGrid>
      <w:tr>
        <w:trPr>
          <w:trHeight w:val="689" w:hRule="exact"/>
        </w:trPr>
        <w:tc>
          <w:tcPr>
            <w:tcW w:w="4508" w:type="dxa"/>
          </w:tcPr>
          <w:p>
            <w:pPr>
              <w:pStyle w:val="TableParagraph"/>
              <w:spacing w:before="6"/>
              <w:jc w:val="left"/>
              <w:rPr>
                <w:sz w:val="19"/>
              </w:rPr>
            </w:pPr>
          </w:p>
          <w:p>
            <w:pPr>
              <w:pStyle w:val="TableParagraph"/>
              <w:spacing w:before="1"/>
              <w:ind w:left="50" w:right="2237"/>
              <w:jc w:val="left"/>
              <w:rPr>
                <w:sz w:val="20"/>
              </w:rPr>
            </w:pPr>
            <w:r>
              <w:rPr>
                <w:sz w:val="20"/>
              </w:rPr>
              <w:t>Deferred tax liabilities: Accelerated depreciation</w:t>
            </w:r>
          </w:p>
        </w:tc>
        <w:tc>
          <w:tcPr>
            <w:tcW w:w="2871" w:type="dxa"/>
          </w:tcPr>
          <w:p>
            <w:pPr>
              <w:pStyle w:val="TableParagraph"/>
              <w:spacing w:line="225" w:lineRule="exact"/>
              <w:ind w:left="1719"/>
              <w:jc w:val="left"/>
              <w:rPr>
                <w:sz w:val="20"/>
              </w:rPr>
            </w:pPr>
            <w:r>
              <w:rPr>
                <w:sz w:val="20"/>
              </w:rPr>
              <w:t>1995</w:t>
            </w:r>
          </w:p>
          <w:p>
            <w:pPr>
              <w:pStyle w:val="TableParagraph"/>
              <w:jc w:val="left"/>
              <w:rPr>
                <w:sz w:val="20"/>
              </w:rPr>
            </w:pPr>
          </w:p>
          <w:p>
            <w:pPr>
              <w:pStyle w:val="TableParagraph"/>
              <w:spacing w:before="1"/>
              <w:ind w:left="1752"/>
              <w:jc w:val="left"/>
              <w:rPr>
                <w:sz w:val="20"/>
              </w:rPr>
            </w:pPr>
            <w:r>
              <w:rPr>
                <w:sz w:val="20"/>
              </w:rPr>
              <w:t>$400,321</w:t>
            </w:r>
          </w:p>
        </w:tc>
        <w:tc>
          <w:tcPr>
            <w:tcW w:w="1202" w:type="dxa"/>
          </w:tcPr>
          <w:p>
            <w:pPr>
              <w:pStyle w:val="TableParagraph"/>
              <w:spacing w:line="225" w:lineRule="exact"/>
              <w:ind w:left="287"/>
              <w:jc w:val="left"/>
              <w:rPr>
                <w:sz w:val="20"/>
              </w:rPr>
            </w:pPr>
            <w:r>
              <w:rPr>
                <w:sz w:val="20"/>
              </w:rPr>
              <w:t>1994</w:t>
            </w:r>
          </w:p>
          <w:p>
            <w:pPr>
              <w:pStyle w:val="TableParagraph"/>
              <w:jc w:val="left"/>
              <w:rPr>
                <w:sz w:val="20"/>
              </w:rPr>
            </w:pPr>
          </w:p>
          <w:p>
            <w:pPr>
              <w:pStyle w:val="TableParagraph"/>
              <w:spacing w:before="1"/>
              <w:ind w:left="321"/>
              <w:jc w:val="left"/>
              <w:rPr>
                <w:sz w:val="20"/>
              </w:rPr>
            </w:pPr>
            <w:r>
              <w:rPr>
                <w:sz w:val="20"/>
              </w:rPr>
              <w:t>$343,585</w:t>
            </w:r>
          </w:p>
        </w:tc>
      </w:tr>
      <w:tr>
        <w:trPr>
          <w:trHeight w:val="230" w:hRule="exact"/>
        </w:trPr>
        <w:tc>
          <w:tcPr>
            <w:tcW w:w="4508" w:type="dxa"/>
          </w:tcPr>
          <w:p>
            <w:pPr>
              <w:pStyle w:val="TableParagraph"/>
              <w:spacing w:line="227" w:lineRule="exact"/>
              <w:ind w:left="50"/>
              <w:jc w:val="left"/>
              <w:rPr>
                <w:sz w:val="20"/>
              </w:rPr>
            </w:pPr>
            <w:r>
              <w:rPr>
                <w:sz w:val="20"/>
              </w:rPr>
              <w:t>Scheduled airframe overhauls</w:t>
            </w:r>
          </w:p>
        </w:tc>
        <w:tc>
          <w:tcPr>
            <w:tcW w:w="2871" w:type="dxa"/>
          </w:tcPr>
          <w:p>
            <w:pPr>
              <w:pStyle w:val="TableParagraph"/>
              <w:spacing w:line="227" w:lineRule="exact"/>
              <w:ind w:right="285"/>
              <w:rPr>
                <w:sz w:val="20"/>
              </w:rPr>
            </w:pPr>
            <w:r>
              <w:rPr>
                <w:sz w:val="20"/>
              </w:rPr>
              <w:t>27,129</w:t>
            </w:r>
          </w:p>
        </w:tc>
        <w:tc>
          <w:tcPr>
            <w:tcW w:w="1202" w:type="dxa"/>
          </w:tcPr>
          <w:p>
            <w:pPr>
              <w:pStyle w:val="TableParagraph"/>
              <w:spacing w:line="227" w:lineRule="exact"/>
              <w:ind w:right="48"/>
              <w:rPr>
                <w:sz w:val="20"/>
              </w:rPr>
            </w:pPr>
            <w:r>
              <w:rPr>
                <w:sz w:val="20"/>
              </w:rPr>
              <w:t>23,966</w:t>
            </w:r>
          </w:p>
        </w:tc>
      </w:tr>
      <w:tr>
        <w:trPr>
          <w:trHeight w:val="230" w:hRule="exact"/>
        </w:trPr>
        <w:tc>
          <w:tcPr>
            <w:tcW w:w="4508" w:type="dxa"/>
          </w:tcPr>
          <w:p>
            <w:pPr>
              <w:pStyle w:val="TableParagraph"/>
              <w:spacing w:line="227" w:lineRule="exact"/>
              <w:ind w:left="50"/>
              <w:jc w:val="left"/>
              <w:rPr>
                <w:sz w:val="20"/>
              </w:rPr>
            </w:pPr>
            <w:r>
              <w:rPr>
                <w:sz w:val="20"/>
              </w:rPr>
              <w:t>Other</w:t>
            </w:r>
          </w:p>
        </w:tc>
        <w:tc>
          <w:tcPr>
            <w:tcW w:w="2871" w:type="dxa"/>
          </w:tcPr>
          <w:p>
            <w:pPr>
              <w:pStyle w:val="TableParagraph"/>
              <w:spacing w:line="227" w:lineRule="exact"/>
              <w:ind w:right="285"/>
              <w:rPr>
                <w:sz w:val="20"/>
              </w:rPr>
            </w:pPr>
            <w:r>
              <w:rPr>
                <w:sz w:val="20"/>
                <w:u w:val="single"/>
              </w:rPr>
              <w:t>68,458</w:t>
            </w:r>
          </w:p>
        </w:tc>
        <w:tc>
          <w:tcPr>
            <w:tcW w:w="1202" w:type="dxa"/>
          </w:tcPr>
          <w:p>
            <w:pPr>
              <w:pStyle w:val="TableParagraph"/>
              <w:spacing w:line="227" w:lineRule="exact"/>
              <w:ind w:right="48"/>
              <w:rPr>
                <w:sz w:val="20"/>
              </w:rPr>
            </w:pPr>
            <w:r>
              <w:rPr>
                <w:sz w:val="20"/>
                <w:u w:val="single"/>
              </w:rPr>
              <w:t>55,953</w:t>
            </w:r>
          </w:p>
        </w:tc>
      </w:tr>
      <w:tr>
        <w:trPr>
          <w:trHeight w:val="230" w:hRule="exact"/>
        </w:trPr>
        <w:tc>
          <w:tcPr>
            <w:tcW w:w="4508" w:type="dxa"/>
          </w:tcPr>
          <w:p>
            <w:pPr>
              <w:pStyle w:val="TableParagraph"/>
              <w:spacing w:line="227" w:lineRule="exact"/>
              <w:ind w:left="50"/>
              <w:jc w:val="left"/>
              <w:rPr>
                <w:sz w:val="20"/>
              </w:rPr>
            </w:pPr>
            <w:r>
              <w:rPr>
                <w:sz w:val="20"/>
              </w:rPr>
              <w:t>Total deferred tax liabilities</w:t>
            </w:r>
          </w:p>
        </w:tc>
        <w:tc>
          <w:tcPr>
            <w:tcW w:w="2871" w:type="dxa"/>
          </w:tcPr>
          <w:p>
            <w:pPr>
              <w:pStyle w:val="TableParagraph"/>
              <w:spacing w:line="227" w:lineRule="exact"/>
              <w:ind w:right="285"/>
              <w:rPr>
                <w:sz w:val="20"/>
              </w:rPr>
            </w:pPr>
            <w:r>
              <w:rPr>
                <w:sz w:val="20"/>
              </w:rPr>
              <w:t>495,908</w:t>
            </w:r>
          </w:p>
        </w:tc>
        <w:tc>
          <w:tcPr>
            <w:tcW w:w="1202" w:type="dxa"/>
          </w:tcPr>
          <w:p>
            <w:pPr>
              <w:pStyle w:val="TableParagraph"/>
              <w:spacing w:line="227" w:lineRule="exact"/>
              <w:ind w:right="48"/>
              <w:rPr>
                <w:sz w:val="20"/>
              </w:rPr>
            </w:pPr>
            <w:r>
              <w:rPr>
                <w:sz w:val="20"/>
              </w:rPr>
              <w:t>423,504</w:t>
            </w:r>
          </w:p>
        </w:tc>
      </w:tr>
      <w:tr>
        <w:trPr>
          <w:trHeight w:val="230" w:hRule="exact"/>
        </w:trPr>
        <w:tc>
          <w:tcPr>
            <w:tcW w:w="4508" w:type="dxa"/>
          </w:tcPr>
          <w:p>
            <w:pPr>
              <w:pStyle w:val="TableParagraph"/>
              <w:spacing w:line="227" w:lineRule="exact"/>
              <w:ind w:left="50"/>
              <w:jc w:val="left"/>
              <w:rPr>
                <w:sz w:val="20"/>
              </w:rPr>
            </w:pPr>
            <w:r>
              <w:rPr>
                <w:sz w:val="20"/>
              </w:rPr>
              <w:t>Deferred tax assets:</w:t>
            </w:r>
          </w:p>
        </w:tc>
        <w:tc>
          <w:tcPr>
            <w:tcW w:w="2871" w:type="dxa"/>
          </w:tcPr>
          <w:p>
            <w:pPr/>
          </w:p>
        </w:tc>
        <w:tc>
          <w:tcPr>
            <w:tcW w:w="1202" w:type="dxa"/>
          </w:tcPr>
          <w:p>
            <w:pPr/>
          </w:p>
        </w:tc>
      </w:tr>
      <w:tr>
        <w:trPr>
          <w:trHeight w:val="230" w:hRule="exact"/>
        </w:trPr>
        <w:tc>
          <w:tcPr>
            <w:tcW w:w="4508" w:type="dxa"/>
          </w:tcPr>
          <w:p>
            <w:pPr>
              <w:pStyle w:val="TableParagraph"/>
              <w:spacing w:line="227" w:lineRule="exact"/>
              <w:ind w:left="50"/>
              <w:jc w:val="left"/>
              <w:rPr>
                <w:sz w:val="20"/>
              </w:rPr>
            </w:pPr>
            <w:r>
              <w:rPr>
                <w:sz w:val="20"/>
              </w:rPr>
              <w:t>Deferred gains from sale and</w:t>
            </w:r>
          </w:p>
        </w:tc>
        <w:tc>
          <w:tcPr>
            <w:tcW w:w="2871" w:type="dxa"/>
          </w:tcPr>
          <w:p>
            <w:pPr/>
          </w:p>
        </w:tc>
        <w:tc>
          <w:tcPr>
            <w:tcW w:w="1202" w:type="dxa"/>
          </w:tcPr>
          <w:p>
            <w:pPr/>
          </w:p>
        </w:tc>
      </w:tr>
      <w:tr>
        <w:trPr>
          <w:trHeight w:val="230" w:hRule="exact"/>
        </w:trPr>
        <w:tc>
          <w:tcPr>
            <w:tcW w:w="4508" w:type="dxa"/>
          </w:tcPr>
          <w:p>
            <w:pPr>
              <w:pStyle w:val="TableParagraph"/>
              <w:spacing w:line="227" w:lineRule="exact"/>
              <w:ind w:left="50"/>
              <w:jc w:val="left"/>
              <w:rPr>
                <w:sz w:val="20"/>
              </w:rPr>
            </w:pPr>
            <w:r>
              <w:rPr>
                <w:sz w:val="20"/>
              </w:rPr>
              <w:t>leaseback of aircraft</w:t>
            </w:r>
          </w:p>
        </w:tc>
        <w:tc>
          <w:tcPr>
            <w:tcW w:w="2871" w:type="dxa"/>
          </w:tcPr>
          <w:p>
            <w:pPr>
              <w:pStyle w:val="TableParagraph"/>
              <w:spacing w:line="227" w:lineRule="exact"/>
              <w:ind w:right="285"/>
              <w:rPr>
                <w:sz w:val="20"/>
              </w:rPr>
            </w:pPr>
            <w:r>
              <w:rPr>
                <w:sz w:val="20"/>
              </w:rPr>
              <w:t>106,119</w:t>
            </w:r>
          </w:p>
        </w:tc>
        <w:tc>
          <w:tcPr>
            <w:tcW w:w="1202" w:type="dxa"/>
          </w:tcPr>
          <w:p>
            <w:pPr>
              <w:pStyle w:val="TableParagraph"/>
              <w:spacing w:line="227" w:lineRule="exact"/>
              <w:ind w:right="48"/>
              <w:rPr>
                <w:sz w:val="20"/>
              </w:rPr>
            </w:pPr>
            <w:r>
              <w:rPr>
                <w:sz w:val="20"/>
              </w:rPr>
              <w:t>95,602</w:t>
            </w:r>
          </w:p>
        </w:tc>
      </w:tr>
      <w:tr>
        <w:trPr>
          <w:trHeight w:val="230" w:hRule="exact"/>
        </w:trPr>
        <w:tc>
          <w:tcPr>
            <w:tcW w:w="4508" w:type="dxa"/>
          </w:tcPr>
          <w:p>
            <w:pPr>
              <w:pStyle w:val="TableParagraph"/>
              <w:spacing w:line="227" w:lineRule="exact"/>
              <w:ind w:left="50"/>
              <w:jc w:val="left"/>
              <w:rPr>
                <w:sz w:val="20"/>
              </w:rPr>
            </w:pPr>
            <w:r>
              <w:rPr>
                <w:sz w:val="20"/>
              </w:rPr>
              <w:t>Capital and operating leases</w:t>
            </w:r>
          </w:p>
        </w:tc>
        <w:tc>
          <w:tcPr>
            <w:tcW w:w="2871" w:type="dxa"/>
          </w:tcPr>
          <w:p>
            <w:pPr>
              <w:pStyle w:val="TableParagraph"/>
              <w:spacing w:line="227" w:lineRule="exact"/>
              <w:ind w:right="285"/>
              <w:rPr>
                <w:sz w:val="20"/>
              </w:rPr>
            </w:pPr>
            <w:r>
              <w:rPr>
                <w:sz w:val="20"/>
              </w:rPr>
              <w:t>54,472</w:t>
            </w:r>
          </w:p>
        </w:tc>
        <w:tc>
          <w:tcPr>
            <w:tcW w:w="1202" w:type="dxa"/>
          </w:tcPr>
          <w:p>
            <w:pPr>
              <w:pStyle w:val="TableParagraph"/>
              <w:spacing w:line="227" w:lineRule="exact"/>
              <w:ind w:right="48"/>
              <w:rPr>
                <w:sz w:val="20"/>
              </w:rPr>
            </w:pPr>
            <w:r>
              <w:rPr>
                <w:sz w:val="20"/>
              </w:rPr>
              <w:t>38,240</w:t>
            </w:r>
          </w:p>
        </w:tc>
      </w:tr>
      <w:tr>
        <w:trPr>
          <w:trHeight w:val="230" w:hRule="exact"/>
        </w:trPr>
        <w:tc>
          <w:tcPr>
            <w:tcW w:w="4508" w:type="dxa"/>
          </w:tcPr>
          <w:p>
            <w:pPr>
              <w:pStyle w:val="TableParagraph"/>
              <w:spacing w:line="227" w:lineRule="exact"/>
              <w:ind w:left="50"/>
              <w:jc w:val="left"/>
              <w:rPr>
                <w:sz w:val="20"/>
              </w:rPr>
            </w:pPr>
            <w:r>
              <w:rPr>
                <w:sz w:val="20"/>
              </w:rPr>
              <w:t>Alternative minimum tax credit</w:t>
            </w:r>
          </w:p>
        </w:tc>
        <w:tc>
          <w:tcPr>
            <w:tcW w:w="2871" w:type="dxa"/>
          </w:tcPr>
          <w:p>
            <w:pPr/>
          </w:p>
        </w:tc>
        <w:tc>
          <w:tcPr>
            <w:tcW w:w="1202" w:type="dxa"/>
          </w:tcPr>
          <w:p>
            <w:pPr/>
          </w:p>
        </w:tc>
      </w:tr>
      <w:tr>
        <w:trPr>
          <w:trHeight w:val="230" w:hRule="exact"/>
        </w:trPr>
        <w:tc>
          <w:tcPr>
            <w:tcW w:w="4508" w:type="dxa"/>
          </w:tcPr>
          <w:p>
            <w:pPr>
              <w:pStyle w:val="TableParagraph"/>
              <w:spacing w:line="227" w:lineRule="exact"/>
              <w:ind w:left="50"/>
              <w:jc w:val="left"/>
              <w:rPr>
                <w:sz w:val="20"/>
              </w:rPr>
            </w:pPr>
            <w:r>
              <w:rPr>
                <w:sz w:val="20"/>
              </w:rPr>
              <w:t>carryforward</w:t>
            </w:r>
          </w:p>
        </w:tc>
        <w:tc>
          <w:tcPr>
            <w:tcW w:w="2871" w:type="dxa"/>
          </w:tcPr>
          <w:p>
            <w:pPr>
              <w:pStyle w:val="TableParagraph"/>
              <w:spacing w:line="227" w:lineRule="exact"/>
              <w:ind w:right="285"/>
              <w:rPr>
                <w:sz w:val="20"/>
              </w:rPr>
            </w:pPr>
            <w:r>
              <w:rPr>
                <w:sz w:val="20"/>
              </w:rPr>
              <w:t>11,333</w:t>
            </w:r>
          </w:p>
        </w:tc>
        <w:tc>
          <w:tcPr>
            <w:tcW w:w="1202" w:type="dxa"/>
          </w:tcPr>
          <w:p>
            <w:pPr>
              <w:pStyle w:val="TableParagraph"/>
              <w:spacing w:line="227" w:lineRule="exact"/>
              <w:ind w:right="48"/>
              <w:rPr>
                <w:sz w:val="20"/>
              </w:rPr>
            </w:pPr>
            <w:r>
              <w:rPr>
                <w:sz w:val="20"/>
              </w:rPr>
              <w:t>22,778</w:t>
            </w:r>
          </w:p>
        </w:tc>
      </w:tr>
      <w:tr>
        <w:trPr>
          <w:trHeight w:val="230" w:hRule="exact"/>
        </w:trPr>
        <w:tc>
          <w:tcPr>
            <w:tcW w:w="4508" w:type="dxa"/>
          </w:tcPr>
          <w:p>
            <w:pPr>
              <w:pStyle w:val="TableParagraph"/>
              <w:spacing w:line="227" w:lineRule="exact"/>
              <w:ind w:left="50"/>
              <w:jc w:val="left"/>
              <w:rPr>
                <w:sz w:val="20"/>
              </w:rPr>
            </w:pPr>
            <w:r>
              <w:rPr>
                <w:sz w:val="20"/>
              </w:rPr>
              <w:t>Other</w:t>
            </w:r>
          </w:p>
        </w:tc>
        <w:tc>
          <w:tcPr>
            <w:tcW w:w="2871" w:type="dxa"/>
          </w:tcPr>
          <w:p>
            <w:pPr>
              <w:pStyle w:val="TableParagraph"/>
              <w:spacing w:line="227" w:lineRule="exact"/>
              <w:ind w:right="285"/>
              <w:rPr>
                <w:sz w:val="20"/>
              </w:rPr>
            </w:pPr>
            <w:r>
              <w:rPr>
                <w:sz w:val="20"/>
                <w:u w:val="single"/>
              </w:rPr>
              <w:t>52,810</w:t>
            </w:r>
          </w:p>
        </w:tc>
        <w:tc>
          <w:tcPr>
            <w:tcW w:w="1202" w:type="dxa"/>
          </w:tcPr>
          <w:p>
            <w:pPr>
              <w:pStyle w:val="TableParagraph"/>
              <w:spacing w:line="227" w:lineRule="exact"/>
              <w:ind w:right="48"/>
              <w:rPr>
                <w:sz w:val="20"/>
              </w:rPr>
            </w:pPr>
            <w:r>
              <w:rPr>
                <w:sz w:val="20"/>
                <w:u w:val="single"/>
              </w:rPr>
              <w:t>43,856</w:t>
            </w:r>
          </w:p>
        </w:tc>
      </w:tr>
      <w:tr>
        <w:trPr>
          <w:trHeight w:val="230" w:hRule="exact"/>
        </w:trPr>
        <w:tc>
          <w:tcPr>
            <w:tcW w:w="4508" w:type="dxa"/>
          </w:tcPr>
          <w:p>
            <w:pPr>
              <w:pStyle w:val="TableParagraph"/>
              <w:spacing w:line="227" w:lineRule="exact"/>
              <w:ind w:left="50"/>
              <w:jc w:val="left"/>
              <w:rPr>
                <w:sz w:val="20"/>
              </w:rPr>
            </w:pPr>
            <w:r>
              <w:rPr>
                <w:sz w:val="20"/>
              </w:rPr>
              <w:t>Total deferred tax assets</w:t>
            </w:r>
          </w:p>
        </w:tc>
        <w:tc>
          <w:tcPr>
            <w:tcW w:w="2871" w:type="dxa"/>
          </w:tcPr>
          <w:p>
            <w:pPr>
              <w:pStyle w:val="TableParagraph"/>
              <w:spacing w:line="227" w:lineRule="exact"/>
              <w:ind w:right="285"/>
              <w:rPr>
                <w:sz w:val="20"/>
              </w:rPr>
            </w:pPr>
            <w:r>
              <w:rPr>
                <w:sz w:val="20"/>
                <w:u w:val="single"/>
              </w:rPr>
              <w:t>224,734</w:t>
            </w:r>
          </w:p>
        </w:tc>
        <w:tc>
          <w:tcPr>
            <w:tcW w:w="1202" w:type="dxa"/>
          </w:tcPr>
          <w:p>
            <w:pPr>
              <w:pStyle w:val="TableParagraph"/>
              <w:spacing w:line="227" w:lineRule="exact"/>
              <w:ind w:right="48"/>
              <w:rPr>
                <w:sz w:val="20"/>
              </w:rPr>
            </w:pPr>
            <w:r>
              <w:rPr>
                <w:sz w:val="20"/>
                <w:u w:val="single"/>
              </w:rPr>
              <w:t>200,476</w:t>
            </w:r>
          </w:p>
        </w:tc>
      </w:tr>
      <w:tr>
        <w:trPr>
          <w:trHeight w:val="228" w:hRule="exact"/>
        </w:trPr>
        <w:tc>
          <w:tcPr>
            <w:tcW w:w="4508" w:type="dxa"/>
          </w:tcPr>
          <w:p>
            <w:pPr>
              <w:pStyle w:val="TableParagraph"/>
              <w:spacing w:line="227" w:lineRule="exact"/>
              <w:ind w:left="50"/>
              <w:jc w:val="left"/>
              <w:rPr>
                <w:sz w:val="20"/>
              </w:rPr>
            </w:pPr>
            <w:r>
              <w:rPr>
                <w:sz w:val="20"/>
              </w:rPr>
              <w:t>Net deferred tax liability</w:t>
            </w:r>
          </w:p>
        </w:tc>
        <w:tc>
          <w:tcPr>
            <w:tcW w:w="2871" w:type="dxa"/>
          </w:tcPr>
          <w:p>
            <w:pPr>
              <w:pStyle w:val="TableParagraph"/>
              <w:spacing w:line="227" w:lineRule="exact"/>
              <w:ind w:right="285"/>
              <w:rPr>
                <w:sz w:val="20"/>
              </w:rPr>
            </w:pPr>
            <w:r>
              <w:rPr>
                <w:sz w:val="20"/>
                <w:u w:val="single"/>
              </w:rPr>
              <w:t>$271,174</w:t>
            </w:r>
          </w:p>
        </w:tc>
        <w:tc>
          <w:tcPr>
            <w:tcW w:w="1202" w:type="dxa"/>
          </w:tcPr>
          <w:p>
            <w:pPr>
              <w:pStyle w:val="TableParagraph"/>
              <w:spacing w:line="227" w:lineRule="exact"/>
              <w:ind w:right="48"/>
              <w:rPr>
                <w:sz w:val="20"/>
              </w:rPr>
            </w:pPr>
            <w:r>
              <w:rPr>
                <w:sz w:val="20"/>
                <w:u w:val="single"/>
              </w:rPr>
              <w:t>$223,028</w:t>
            </w:r>
          </w:p>
        </w:tc>
      </w:tr>
    </w:tbl>
    <w:p>
      <w:pPr>
        <w:pStyle w:val="BodyText"/>
      </w:pPr>
    </w:p>
    <w:p>
      <w:pPr>
        <w:pStyle w:val="BodyText"/>
        <w:ind w:left="160" w:right="142"/>
      </w:pPr>
      <w:r>
        <w:rPr/>
        <w:t>In August 1993, the Revenue Reconciliation Act of 1993 was enacted, which contains numerous provision changes including an increase in the federal corporate income tax rate from 34 percent to 35 percent effective January 1, 1993. As a result, the Company recognized approximately</w:t>
      </w:r>
    </w:p>
    <w:p>
      <w:pPr>
        <w:pStyle w:val="BodyText"/>
        <w:ind w:left="160" w:right="210"/>
      </w:pPr>
      <w:r>
        <w:rPr/>
        <w:t>$4.0 million of additional expense in 1993 related to deferred tax liabilities existing on January 1, 1993.</w:t>
      </w:r>
    </w:p>
    <w:p>
      <w:pPr>
        <w:spacing w:after="0"/>
        <w:sectPr>
          <w:pgSz w:w="12240" w:h="15840"/>
          <w:pgMar w:header="0" w:footer="790" w:top="1360" w:bottom="980" w:left="1640" w:right="1680"/>
        </w:sectPr>
      </w:pPr>
    </w:p>
    <w:p>
      <w:pPr>
        <w:pStyle w:val="BodyText"/>
        <w:spacing w:before="79"/>
        <w:ind w:left="160" w:right="210"/>
      </w:pPr>
      <w:r>
        <w:rPr/>
        <w:t>The provision for income taxes before the cumulative effect of accounting changes is comprised of the following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58"/>
        <w:gridCol w:w="1947"/>
        <w:gridCol w:w="2160"/>
        <w:gridCol w:w="1545"/>
      </w:tblGrid>
      <w:tr>
        <w:trPr>
          <w:trHeight w:val="458" w:hRule="exact"/>
        </w:trPr>
        <w:tc>
          <w:tcPr>
            <w:tcW w:w="1758" w:type="dxa"/>
          </w:tcPr>
          <w:p>
            <w:pPr>
              <w:pStyle w:val="TableParagraph"/>
              <w:spacing w:before="6"/>
              <w:jc w:val="left"/>
              <w:rPr>
                <w:sz w:val="19"/>
              </w:rPr>
            </w:pPr>
          </w:p>
          <w:p>
            <w:pPr>
              <w:pStyle w:val="TableParagraph"/>
              <w:spacing w:before="1"/>
              <w:ind w:left="50"/>
              <w:jc w:val="left"/>
              <w:rPr>
                <w:sz w:val="20"/>
              </w:rPr>
            </w:pPr>
            <w:r>
              <w:rPr>
                <w:sz w:val="20"/>
              </w:rPr>
              <w:t>Current:</w:t>
            </w:r>
          </w:p>
        </w:tc>
        <w:tc>
          <w:tcPr>
            <w:tcW w:w="1947" w:type="dxa"/>
          </w:tcPr>
          <w:p>
            <w:pPr>
              <w:pStyle w:val="TableParagraph"/>
              <w:spacing w:line="225" w:lineRule="exact"/>
              <w:ind w:left="451"/>
              <w:jc w:val="left"/>
              <w:rPr>
                <w:sz w:val="20"/>
              </w:rPr>
            </w:pPr>
            <w:r>
              <w:rPr>
                <w:sz w:val="20"/>
              </w:rPr>
              <w:t>1995</w:t>
            </w:r>
          </w:p>
        </w:tc>
        <w:tc>
          <w:tcPr>
            <w:tcW w:w="2160" w:type="dxa"/>
          </w:tcPr>
          <w:p>
            <w:pPr>
              <w:pStyle w:val="TableParagraph"/>
              <w:spacing w:line="225" w:lineRule="exact"/>
              <w:ind w:left="664"/>
              <w:jc w:val="left"/>
              <w:rPr>
                <w:sz w:val="20"/>
              </w:rPr>
            </w:pPr>
            <w:r>
              <w:rPr>
                <w:sz w:val="20"/>
              </w:rPr>
              <w:t>1994</w:t>
            </w:r>
          </w:p>
        </w:tc>
        <w:tc>
          <w:tcPr>
            <w:tcW w:w="1545" w:type="dxa"/>
          </w:tcPr>
          <w:p>
            <w:pPr>
              <w:pStyle w:val="TableParagraph"/>
              <w:spacing w:line="225" w:lineRule="exact"/>
              <w:ind w:left="664"/>
              <w:jc w:val="left"/>
              <w:rPr>
                <w:sz w:val="20"/>
              </w:rPr>
            </w:pPr>
            <w:r>
              <w:rPr>
                <w:sz w:val="20"/>
              </w:rPr>
              <w:t>1993</w:t>
            </w:r>
          </w:p>
        </w:tc>
      </w:tr>
      <w:tr>
        <w:trPr>
          <w:trHeight w:val="230" w:hRule="exact"/>
        </w:trPr>
        <w:tc>
          <w:tcPr>
            <w:tcW w:w="1758" w:type="dxa"/>
          </w:tcPr>
          <w:p>
            <w:pPr>
              <w:pStyle w:val="TableParagraph"/>
              <w:spacing w:line="227" w:lineRule="exact"/>
              <w:ind w:left="50"/>
              <w:jc w:val="left"/>
              <w:rPr>
                <w:sz w:val="20"/>
              </w:rPr>
            </w:pPr>
            <w:r>
              <w:rPr>
                <w:sz w:val="20"/>
              </w:rPr>
              <w:t>Federal</w:t>
            </w:r>
          </w:p>
        </w:tc>
        <w:tc>
          <w:tcPr>
            <w:tcW w:w="1947" w:type="dxa"/>
          </w:tcPr>
          <w:p>
            <w:pPr>
              <w:pStyle w:val="TableParagraph"/>
              <w:spacing w:line="227" w:lineRule="exact"/>
              <w:ind w:left="451"/>
              <w:jc w:val="left"/>
              <w:rPr>
                <w:sz w:val="20"/>
              </w:rPr>
            </w:pPr>
            <w:r>
              <w:rPr>
                <w:sz w:val="20"/>
              </w:rPr>
              <w:t>$64,420</w:t>
            </w:r>
          </w:p>
        </w:tc>
        <w:tc>
          <w:tcPr>
            <w:tcW w:w="2160" w:type="dxa"/>
          </w:tcPr>
          <w:p>
            <w:pPr>
              <w:pStyle w:val="TableParagraph"/>
              <w:spacing w:line="227" w:lineRule="exact"/>
              <w:ind w:left="664"/>
              <w:jc w:val="left"/>
              <w:rPr>
                <w:sz w:val="20"/>
              </w:rPr>
            </w:pPr>
            <w:r>
              <w:rPr>
                <w:sz w:val="20"/>
              </w:rPr>
              <w:t>$59,603</w:t>
            </w:r>
          </w:p>
        </w:tc>
        <w:tc>
          <w:tcPr>
            <w:tcW w:w="1545" w:type="dxa"/>
          </w:tcPr>
          <w:p>
            <w:pPr>
              <w:pStyle w:val="TableParagraph"/>
              <w:spacing w:line="227" w:lineRule="exact"/>
              <w:ind w:left="664"/>
              <w:jc w:val="left"/>
              <w:rPr>
                <w:sz w:val="20"/>
              </w:rPr>
            </w:pPr>
            <w:r>
              <w:rPr>
                <w:sz w:val="20"/>
              </w:rPr>
              <w:t>$46,744</w:t>
            </w:r>
          </w:p>
        </w:tc>
      </w:tr>
      <w:tr>
        <w:trPr>
          <w:trHeight w:val="230" w:hRule="exact"/>
        </w:trPr>
        <w:tc>
          <w:tcPr>
            <w:tcW w:w="1758" w:type="dxa"/>
          </w:tcPr>
          <w:p>
            <w:pPr>
              <w:pStyle w:val="TableParagraph"/>
              <w:spacing w:line="227" w:lineRule="exact"/>
              <w:ind w:left="50"/>
              <w:jc w:val="left"/>
              <w:rPr>
                <w:sz w:val="20"/>
              </w:rPr>
            </w:pPr>
            <w:r>
              <w:rPr>
                <w:sz w:val="20"/>
              </w:rPr>
              <w:t>State</w:t>
            </w:r>
          </w:p>
        </w:tc>
        <w:tc>
          <w:tcPr>
            <w:tcW w:w="1947" w:type="dxa"/>
          </w:tcPr>
          <w:p>
            <w:pPr>
              <w:pStyle w:val="TableParagraph"/>
              <w:spacing w:line="227" w:lineRule="exact"/>
              <w:ind w:left="451"/>
              <w:jc w:val="left"/>
              <w:rPr>
                <w:sz w:val="20"/>
              </w:rPr>
            </w:pPr>
            <w:r>
              <w:rPr>
                <w:sz w:val="20"/>
                <w:u w:val="single"/>
              </w:rPr>
              <w:t>9,947</w:t>
            </w:r>
          </w:p>
        </w:tc>
        <w:tc>
          <w:tcPr>
            <w:tcW w:w="2160" w:type="dxa"/>
          </w:tcPr>
          <w:p>
            <w:pPr>
              <w:pStyle w:val="TableParagraph"/>
              <w:spacing w:line="227" w:lineRule="exact"/>
              <w:ind w:left="664"/>
              <w:jc w:val="left"/>
              <w:rPr>
                <w:sz w:val="20"/>
              </w:rPr>
            </w:pPr>
            <w:r>
              <w:rPr>
                <w:sz w:val="20"/>
                <w:u w:val="single"/>
              </w:rPr>
              <w:t>10,702</w:t>
            </w:r>
          </w:p>
        </w:tc>
        <w:tc>
          <w:tcPr>
            <w:tcW w:w="1545" w:type="dxa"/>
          </w:tcPr>
          <w:p>
            <w:pPr>
              <w:pStyle w:val="TableParagraph"/>
              <w:spacing w:line="227" w:lineRule="exact"/>
              <w:ind w:left="664"/>
              <w:jc w:val="left"/>
              <w:rPr>
                <w:sz w:val="20"/>
              </w:rPr>
            </w:pPr>
            <w:r>
              <w:rPr>
                <w:sz w:val="20"/>
                <w:u w:val="single"/>
              </w:rPr>
              <w:t>5,409</w:t>
            </w:r>
          </w:p>
        </w:tc>
      </w:tr>
      <w:tr>
        <w:trPr>
          <w:trHeight w:val="230" w:hRule="exact"/>
        </w:trPr>
        <w:tc>
          <w:tcPr>
            <w:tcW w:w="1758" w:type="dxa"/>
          </w:tcPr>
          <w:p>
            <w:pPr>
              <w:pStyle w:val="TableParagraph"/>
              <w:spacing w:line="227" w:lineRule="exact"/>
              <w:ind w:left="50"/>
              <w:jc w:val="left"/>
              <w:rPr>
                <w:sz w:val="20"/>
              </w:rPr>
            </w:pPr>
            <w:r>
              <w:rPr>
                <w:sz w:val="20"/>
              </w:rPr>
              <w:t>Total current</w:t>
            </w:r>
          </w:p>
        </w:tc>
        <w:tc>
          <w:tcPr>
            <w:tcW w:w="1947" w:type="dxa"/>
          </w:tcPr>
          <w:p>
            <w:pPr>
              <w:pStyle w:val="TableParagraph"/>
              <w:spacing w:line="227" w:lineRule="exact"/>
              <w:ind w:left="451"/>
              <w:jc w:val="left"/>
              <w:rPr>
                <w:sz w:val="20"/>
              </w:rPr>
            </w:pPr>
            <w:r>
              <w:rPr>
                <w:sz w:val="20"/>
              </w:rPr>
              <w:t>74,367</w:t>
            </w:r>
          </w:p>
        </w:tc>
        <w:tc>
          <w:tcPr>
            <w:tcW w:w="2160" w:type="dxa"/>
          </w:tcPr>
          <w:p>
            <w:pPr>
              <w:pStyle w:val="TableParagraph"/>
              <w:spacing w:line="227" w:lineRule="exact"/>
              <w:ind w:left="664"/>
              <w:jc w:val="left"/>
              <w:rPr>
                <w:sz w:val="20"/>
              </w:rPr>
            </w:pPr>
            <w:r>
              <w:rPr>
                <w:sz w:val="20"/>
              </w:rPr>
              <w:t>70,305</w:t>
            </w:r>
          </w:p>
        </w:tc>
        <w:tc>
          <w:tcPr>
            <w:tcW w:w="1545" w:type="dxa"/>
          </w:tcPr>
          <w:p>
            <w:pPr>
              <w:pStyle w:val="TableParagraph"/>
              <w:spacing w:line="227" w:lineRule="exact"/>
              <w:ind w:left="664"/>
              <w:jc w:val="left"/>
              <w:rPr>
                <w:sz w:val="20"/>
              </w:rPr>
            </w:pPr>
            <w:r>
              <w:rPr>
                <w:sz w:val="20"/>
              </w:rPr>
              <w:t>52,153</w:t>
            </w:r>
          </w:p>
        </w:tc>
      </w:tr>
      <w:tr>
        <w:trPr>
          <w:trHeight w:val="230" w:hRule="exact"/>
        </w:trPr>
        <w:tc>
          <w:tcPr>
            <w:tcW w:w="1758" w:type="dxa"/>
          </w:tcPr>
          <w:p>
            <w:pPr>
              <w:pStyle w:val="TableParagraph"/>
              <w:spacing w:line="227" w:lineRule="exact"/>
              <w:ind w:left="50"/>
              <w:jc w:val="left"/>
              <w:rPr>
                <w:sz w:val="20"/>
              </w:rPr>
            </w:pPr>
            <w:r>
              <w:rPr>
                <w:sz w:val="20"/>
              </w:rPr>
              <w:t>Deferred:</w:t>
            </w:r>
          </w:p>
        </w:tc>
        <w:tc>
          <w:tcPr>
            <w:tcW w:w="1947" w:type="dxa"/>
          </w:tcPr>
          <w:p>
            <w:pPr/>
          </w:p>
        </w:tc>
        <w:tc>
          <w:tcPr>
            <w:tcW w:w="2160" w:type="dxa"/>
          </w:tcPr>
          <w:p>
            <w:pPr/>
          </w:p>
        </w:tc>
        <w:tc>
          <w:tcPr>
            <w:tcW w:w="1545" w:type="dxa"/>
          </w:tcPr>
          <w:p>
            <w:pPr/>
          </w:p>
        </w:tc>
      </w:tr>
      <w:tr>
        <w:trPr>
          <w:trHeight w:val="230" w:hRule="exact"/>
        </w:trPr>
        <w:tc>
          <w:tcPr>
            <w:tcW w:w="1758" w:type="dxa"/>
          </w:tcPr>
          <w:p>
            <w:pPr>
              <w:pStyle w:val="TableParagraph"/>
              <w:spacing w:line="227" w:lineRule="exact"/>
              <w:ind w:left="50"/>
              <w:jc w:val="left"/>
              <w:rPr>
                <w:sz w:val="20"/>
              </w:rPr>
            </w:pPr>
            <w:r>
              <w:rPr>
                <w:sz w:val="20"/>
              </w:rPr>
              <w:t>Federal</w:t>
            </w:r>
          </w:p>
        </w:tc>
        <w:tc>
          <w:tcPr>
            <w:tcW w:w="1947" w:type="dxa"/>
          </w:tcPr>
          <w:p>
            <w:pPr>
              <w:pStyle w:val="TableParagraph"/>
              <w:spacing w:line="227" w:lineRule="exact"/>
              <w:ind w:left="451"/>
              <w:jc w:val="left"/>
              <w:rPr>
                <w:sz w:val="20"/>
              </w:rPr>
            </w:pPr>
            <w:r>
              <w:rPr>
                <w:sz w:val="20"/>
              </w:rPr>
              <w:t>44,580</w:t>
            </w:r>
          </w:p>
        </w:tc>
        <w:tc>
          <w:tcPr>
            <w:tcW w:w="2160" w:type="dxa"/>
          </w:tcPr>
          <w:p>
            <w:pPr>
              <w:pStyle w:val="TableParagraph"/>
              <w:spacing w:line="227" w:lineRule="exact"/>
              <w:ind w:left="664"/>
              <w:jc w:val="left"/>
              <w:rPr>
                <w:sz w:val="20"/>
              </w:rPr>
            </w:pPr>
            <w:r>
              <w:rPr>
                <w:sz w:val="20"/>
              </w:rPr>
              <w:t>46,470</w:t>
            </w:r>
          </w:p>
        </w:tc>
        <w:tc>
          <w:tcPr>
            <w:tcW w:w="1545" w:type="dxa"/>
          </w:tcPr>
          <w:p>
            <w:pPr>
              <w:pStyle w:val="TableParagraph"/>
              <w:spacing w:line="227" w:lineRule="exact"/>
              <w:ind w:left="664"/>
              <w:jc w:val="left"/>
              <w:rPr>
                <w:sz w:val="20"/>
              </w:rPr>
            </w:pPr>
            <w:r>
              <w:rPr>
                <w:sz w:val="20"/>
              </w:rPr>
              <w:t>48,524</w:t>
            </w:r>
          </w:p>
        </w:tc>
      </w:tr>
      <w:tr>
        <w:trPr>
          <w:trHeight w:val="230" w:hRule="exact"/>
        </w:trPr>
        <w:tc>
          <w:tcPr>
            <w:tcW w:w="1758" w:type="dxa"/>
          </w:tcPr>
          <w:p>
            <w:pPr>
              <w:pStyle w:val="TableParagraph"/>
              <w:spacing w:line="227" w:lineRule="exact"/>
              <w:ind w:left="50"/>
              <w:jc w:val="left"/>
              <w:rPr>
                <w:sz w:val="20"/>
              </w:rPr>
            </w:pPr>
            <w:r>
              <w:rPr>
                <w:sz w:val="20"/>
              </w:rPr>
              <w:t>State</w:t>
            </w:r>
          </w:p>
        </w:tc>
        <w:tc>
          <w:tcPr>
            <w:tcW w:w="1947" w:type="dxa"/>
          </w:tcPr>
          <w:p>
            <w:pPr>
              <w:pStyle w:val="TableParagraph"/>
              <w:spacing w:line="227" w:lineRule="exact"/>
              <w:ind w:left="451"/>
              <w:jc w:val="left"/>
              <w:rPr>
                <w:sz w:val="20"/>
              </w:rPr>
            </w:pPr>
            <w:r>
              <w:rPr>
                <w:sz w:val="20"/>
                <w:u w:val="single"/>
              </w:rPr>
              <w:t>3,567</w:t>
            </w:r>
          </w:p>
        </w:tc>
        <w:tc>
          <w:tcPr>
            <w:tcW w:w="2160" w:type="dxa"/>
          </w:tcPr>
          <w:p>
            <w:pPr>
              <w:pStyle w:val="TableParagraph"/>
              <w:spacing w:line="227" w:lineRule="exact"/>
              <w:ind w:left="664"/>
              <w:jc w:val="left"/>
              <w:rPr>
                <w:sz w:val="20"/>
              </w:rPr>
            </w:pPr>
            <w:r>
              <w:rPr>
                <w:sz w:val="20"/>
                <w:u w:val="single"/>
              </w:rPr>
              <w:t>3,417</w:t>
            </w:r>
          </w:p>
        </w:tc>
        <w:tc>
          <w:tcPr>
            <w:tcW w:w="1545" w:type="dxa"/>
          </w:tcPr>
          <w:p>
            <w:pPr>
              <w:pStyle w:val="TableParagraph"/>
              <w:spacing w:line="227" w:lineRule="exact"/>
              <w:ind w:left="664"/>
              <w:jc w:val="left"/>
              <w:rPr>
                <w:sz w:val="20"/>
              </w:rPr>
            </w:pPr>
            <w:r>
              <w:rPr>
                <w:sz w:val="20"/>
                <w:u w:val="single"/>
              </w:rPr>
              <w:t>4,676</w:t>
            </w:r>
          </w:p>
        </w:tc>
      </w:tr>
      <w:tr>
        <w:trPr>
          <w:trHeight w:val="230" w:hRule="exact"/>
        </w:trPr>
        <w:tc>
          <w:tcPr>
            <w:tcW w:w="1758" w:type="dxa"/>
          </w:tcPr>
          <w:p>
            <w:pPr>
              <w:pStyle w:val="TableParagraph"/>
              <w:spacing w:line="227" w:lineRule="exact"/>
              <w:ind w:left="50"/>
              <w:jc w:val="left"/>
              <w:rPr>
                <w:sz w:val="20"/>
              </w:rPr>
            </w:pPr>
            <w:r>
              <w:rPr>
                <w:sz w:val="20"/>
              </w:rPr>
              <w:t>Total deferred</w:t>
            </w:r>
          </w:p>
        </w:tc>
        <w:tc>
          <w:tcPr>
            <w:tcW w:w="1947" w:type="dxa"/>
          </w:tcPr>
          <w:p>
            <w:pPr>
              <w:pStyle w:val="TableParagraph"/>
              <w:spacing w:line="227" w:lineRule="exact"/>
              <w:ind w:left="451"/>
              <w:jc w:val="left"/>
              <w:rPr>
                <w:sz w:val="20"/>
              </w:rPr>
            </w:pPr>
            <w:r>
              <w:rPr>
                <w:sz w:val="20"/>
                <w:u w:val="single"/>
              </w:rPr>
              <w:t>48,147</w:t>
            </w:r>
          </w:p>
        </w:tc>
        <w:tc>
          <w:tcPr>
            <w:tcW w:w="2160" w:type="dxa"/>
          </w:tcPr>
          <w:p>
            <w:pPr>
              <w:pStyle w:val="TableParagraph"/>
              <w:spacing w:line="227" w:lineRule="exact"/>
              <w:ind w:left="664"/>
              <w:jc w:val="left"/>
              <w:rPr>
                <w:sz w:val="20"/>
              </w:rPr>
            </w:pPr>
            <w:r>
              <w:rPr>
                <w:sz w:val="20"/>
                <w:u w:val="single"/>
              </w:rPr>
              <w:t>49,887</w:t>
            </w:r>
          </w:p>
        </w:tc>
        <w:tc>
          <w:tcPr>
            <w:tcW w:w="1545" w:type="dxa"/>
          </w:tcPr>
          <w:p>
            <w:pPr>
              <w:pStyle w:val="TableParagraph"/>
              <w:spacing w:line="227" w:lineRule="exact"/>
              <w:ind w:left="664"/>
              <w:jc w:val="left"/>
              <w:rPr>
                <w:sz w:val="20"/>
              </w:rPr>
            </w:pPr>
            <w:r>
              <w:rPr>
                <w:sz w:val="20"/>
                <w:u w:val="single"/>
              </w:rPr>
              <w:t>53,200</w:t>
            </w:r>
          </w:p>
        </w:tc>
      </w:tr>
      <w:tr>
        <w:trPr>
          <w:trHeight w:val="228" w:hRule="exact"/>
        </w:trPr>
        <w:tc>
          <w:tcPr>
            <w:tcW w:w="1758" w:type="dxa"/>
          </w:tcPr>
          <w:p>
            <w:pPr/>
          </w:p>
        </w:tc>
        <w:tc>
          <w:tcPr>
            <w:tcW w:w="1947" w:type="dxa"/>
          </w:tcPr>
          <w:p>
            <w:pPr>
              <w:pStyle w:val="TableParagraph"/>
              <w:spacing w:line="227" w:lineRule="exact"/>
              <w:ind w:left="451"/>
              <w:jc w:val="left"/>
              <w:rPr>
                <w:sz w:val="20"/>
              </w:rPr>
            </w:pPr>
            <w:r>
              <w:rPr>
                <w:sz w:val="20"/>
                <w:u w:val="single"/>
              </w:rPr>
              <w:t>$122,514</w:t>
            </w:r>
          </w:p>
        </w:tc>
        <w:tc>
          <w:tcPr>
            <w:tcW w:w="2160" w:type="dxa"/>
          </w:tcPr>
          <w:p>
            <w:pPr>
              <w:pStyle w:val="TableParagraph"/>
              <w:spacing w:line="227" w:lineRule="exact"/>
              <w:ind w:left="664"/>
              <w:jc w:val="left"/>
              <w:rPr>
                <w:sz w:val="20"/>
              </w:rPr>
            </w:pPr>
            <w:r>
              <w:rPr>
                <w:sz w:val="20"/>
                <w:u w:val="single"/>
              </w:rPr>
              <w:t>$120,192</w:t>
            </w:r>
          </w:p>
        </w:tc>
        <w:tc>
          <w:tcPr>
            <w:tcW w:w="1545" w:type="dxa"/>
          </w:tcPr>
          <w:p>
            <w:pPr>
              <w:pStyle w:val="TableParagraph"/>
              <w:spacing w:line="227" w:lineRule="exact"/>
              <w:ind w:left="664"/>
              <w:jc w:val="left"/>
              <w:rPr>
                <w:sz w:val="20"/>
              </w:rPr>
            </w:pPr>
            <w:r>
              <w:rPr>
                <w:sz w:val="20"/>
                <w:u w:val="single"/>
              </w:rPr>
              <w:t>$105,353</w:t>
            </w:r>
          </w:p>
        </w:tc>
      </w:tr>
    </w:tbl>
    <w:p>
      <w:pPr>
        <w:pStyle w:val="BodyText"/>
      </w:pPr>
    </w:p>
    <w:p>
      <w:pPr>
        <w:pStyle w:val="BodyText"/>
        <w:ind w:left="160" w:right="210"/>
      </w:pPr>
      <w:r>
        <w:rPr/>
        <w:t>Southwest has received examination reports from the Internal Revenue Service proposing certain adjustments to Southwest’s income tax returns for 1987 through 1991. The </w:t>
      </w:r>
      <w:r>
        <w:rPr>
          <w:spacing w:val="-3"/>
        </w:rPr>
        <w:t>adjustments </w:t>
      </w:r>
      <w:r>
        <w:rPr/>
        <w:t>relate to certain types of aircraft financings </w:t>
      </w:r>
      <w:r>
        <w:rPr>
          <w:spacing w:val="-3"/>
        </w:rPr>
        <w:t>consummated </w:t>
      </w:r>
      <w:r>
        <w:rPr/>
        <w:t>by Southwest, as well as other </w:t>
      </w:r>
      <w:r>
        <w:rPr>
          <w:spacing w:val="-3"/>
        </w:rPr>
        <w:t>members </w:t>
      </w:r>
      <w:r>
        <w:rPr/>
        <w:t>of the aviation industry during that time period. Southwest intends to vigorously protest the adjustments proposed with which it does not agree. The industry’s difference with the IRS involves complex issues of law and fact that are likely to take a substantial period of time to resolve. Management believes that final resolution of such protest will not have a materially adverse effect upon the results of operations of</w:t>
      </w:r>
      <w:r>
        <w:rPr>
          <w:spacing w:val="2"/>
        </w:rPr>
        <w:t> </w:t>
      </w:r>
      <w:r>
        <w:rPr/>
        <w:t>Southwest.</w:t>
      </w:r>
    </w:p>
    <w:p>
      <w:pPr>
        <w:pStyle w:val="BodyText"/>
      </w:pPr>
    </w:p>
    <w:p>
      <w:pPr>
        <w:pStyle w:val="BodyText"/>
        <w:ind w:left="160" w:right="254"/>
      </w:pPr>
      <w:r>
        <w:rPr/>
        <w:t>The effective tax rate on income before cumulative effect of accounting changes differed from the federal income tax statutory rate for the following reasons (in thousands):</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36"/>
        <w:gridCol w:w="2370"/>
        <w:gridCol w:w="1440"/>
        <w:gridCol w:w="1185"/>
      </w:tblGrid>
      <w:tr>
        <w:trPr>
          <w:trHeight w:val="689" w:hRule="exact"/>
        </w:trPr>
        <w:tc>
          <w:tcPr>
            <w:tcW w:w="3136" w:type="dxa"/>
          </w:tcPr>
          <w:p>
            <w:pPr>
              <w:pStyle w:val="TableParagraph"/>
              <w:jc w:val="left"/>
              <w:rPr>
                <w:sz w:val="22"/>
              </w:rPr>
            </w:pPr>
          </w:p>
          <w:p>
            <w:pPr>
              <w:pStyle w:val="TableParagraph"/>
              <w:spacing w:before="7"/>
              <w:jc w:val="left"/>
              <w:rPr>
                <w:sz w:val="17"/>
              </w:rPr>
            </w:pPr>
          </w:p>
          <w:p>
            <w:pPr>
              <w:pStyle w:val="TableParagraph"/>
              <w:ind w:left="50"/>
              <w:jc w:val="left"/>
              <w:rPr>
                <w:sz w:val="20"/>
              </w:rPr>
            </w:pPr>
            <w:r>
              <w:rPr>
                <w:sz w:val="20"/>
              </w:rPr>
              <w:t>Tax at statutory</w:t>
            </w:r>
          </w:p>
        </w:tc>
        <w:tc>
          <w:tcPr>
            <w:tcW w:w="2370" w:type="dxa"/>
          </w:tcPr>
          <w:p>
            <w:pPr>
              <w:pStyle w:val="TableParagraph"/>
              <w:spacing w:line="225" w:lineRule="exact"/>
              <w:ind w:left="1234"/>
              <w:jc w:val="left"/>
              <w:rPr>
                <w:sz w:val="20"/>
              </w:rPr>
            </w:pPr>
            <w:r>
              <w:rPr>
                <w:sz w:val="20"/>
              </w:rPr>
              <w:t>1995</w:t>
            </w:r>
          </w:p>
        </w:tc>
        <w:tc>
          <w:tcPr>
            <w:tcW w:w="1440" w:type="dxa"/>
          </w:tcPr>
          <w:p>
            <w:pPr>
              <w:pStyle w:val="TableParagraph"/>
              <w:spacing w:line="225" w:lineRule="exact"/>
              <w:ind w:left="304"/>
              <w:jc w:val="left"/>
              <w:rPr>
                <w:sz w:val="20"/>
              </w:rPr>
            </w:pPr>
            <w:r>
              <w:rPr>
                <w:sz w:val="20"/>
              </w:rPr>
              <w:t>1994</w:t>
            </w:r>
          </w:p>
        </w:tc>
        <w:tc>
          <w:tcPr>
            <w:tcW w:w="1185" w:type="dxa"/>
          </w:tcPr>
          <w:p>
            <w:pPr>
              <w:pStyle w:val="TableParagraph"/>
              <w:spacing w:line="225" w:lineRule="exact"/>
              <w:ind w:left="304"/>
              <w:jc w:val="left"/>
              <w:rPr>
                <w:sz w:val="20"/>
              </w:rPr>
            </w:pPr>
            <w:r>
              <w:rPr>
                <w:sz w:val="20"/>
              </w:rPr>
              <w:t>1993</w:t>
            </w:r>
          </w:p>
        </w:tc>
      </w:tr>
      <w:tr>
        <w:trPr>
          <w:trHeight w:val="230" w:hRule="exact"/>
        </w:trPr>
        <w:tc>
          <w:tcPr>
            <w:tcW w:w="3136" w:type="dxa"/>
          </w:tcPr>
          <w:p>
            <w:pPr>
              <w:pStyle w:val="TableParagraph"/>
              <w:spacing w:line="227" w:lineRule="exact"/>
              <w:ind w:left="50"/>
              <w:jc w:val="left"/>
              <w:rPr>
                <w:sz w:val="20"/>
              </w:rPr>
            </w:pPr>
            <w:r>
              <w:rPr>
                <w:sz w:val="20"/>
              </w:rPr>
              <w:t>U.S. tax rates</w:t>
            </w:r>
          </w:p>
        </w:tc>
        <w:tc>
          <w:tcPr>
            <w:tcW w:w="2370" w:type="dxa"/>
          </w:tcPr>
          <w:p>
            <w:pPr>
              <w:pStyle w:val="TableParagraph"/>
              <w:spacing w:line="227" w:lineRule="exact"/>
              <w:ind w:left="1234"/>
              <w:jc w:val="left"/>
              <w:rPr>
                <w:sz w:val="20"/>
              </w:rPr>
            </w:pPr>
            <w:r>
              <w:rPr>
                <w:sz w:val="20"/>
              </w:rPr>
              <w:t>$106,799</w:t>
            </w:r>
          </w:p>
        </w:tc>
        <w:tc>
          <w:tcPr>
            <w:tcW w:w="1440" w:type="dxa"/>
          </w:tcPr>
          <w:p>
            <w:pPr>
              <w:pStyle w:val="TableParagraph"/>
              <w:spacing w:line="227" w:lineRule="exact"/>
              <w:ind w:left="304"/>
              <w:jc w:val="left"/>
              <w:rPr>
                <w:sz w:val="20"/>
              </w:rPr>
            </w:pPr>
            <w:r>
              <w:rPr>
                <w:sz w:val="20"/>
              </w:rPr>
              <w:t>$104,833</w:t>
            </w:r>
          </w:p>
        </w:tc>
        <w:tc>
          <w:tcPr>
            <w:tcW w:w="1185" w:type="dxa"/>
          </w:tcPr>
          <w:p>
            <w:pPr>
              <w:pStyle w:val="TableParagraph"/>
              <w:spacing w:line="227" w:lineRule="exact"/>
              <w:ind w:left="304"/>
              <w:jc w:val="left"/>
              <w:rPr>
                <w:sz w:val="20"/>
              </w:rPr>
            </w:pPr>
            <w:r>
              <w:rPr>
                <w:sz w:val="20"/>
              </w:rPr>
              <w:t>$90,873</w:t>
            </w:r>
          </w:p>
        </w:tc>
      </w:tr>
      <w:tr>
        <w:trPr>
          <w:trHeight w:val="230" w:hRule="exact"/>
        </w:trPr>
        <w:tc>
          <w:tcPr>
            <w:tcW w:w="3136" w:type="dxa"/>
          </w:tcPr>
          <w:p>
            <w:pPr>
              <w:pStyle w:val="TableParagraph"/>
              <w:spacing w:line="227" w:lineRule="exact"/>
              <w:ind w:left="50"/>
              <w:jc w:val="left"/>
              <w:rPr>
                <w:sz w:val="20"/>
              </w:rPr>
            </w:pPr>
            <w:r>
              <w:rPr>
                <w:sz w:val="20"/>
              </w:rPr>
              <w:t>Nondeductible items</w:t>
            </w:r>
          </w:p>
        </w:tc>
        <w:tc>
          <w:tcPr>
            <w:tcW w:w="2370" w:type="dxa"/>
          </w:tcPr>
          <w:p>
            <w:pPr>
              <w:pStyle w:val="TableParagraph"/>
              <w:spacing w:line="227" w:lineRule="exact"/>
              <w:ind w:left="1234"/>
              <w:jc w:val="left"/>
              <w:rPr>
                <w:sz w:val="20"/>
              </w:rPr>
            </w:pPr>
            <w:r>
              <w:rPr>
                <w:sz w:val="20"/>
              </w:rPr>
              <w:t>4,488</w:t>
            </w:r>
          </w:p>
        </w:tc>
        <w:tc>
          <w:tcPr>
            <w:tcW w:w="1440" w:type="dxa"/>
          </w:tcPr>
          <w:p>
            <w:pPr>
              <w:pStyle w:val="TableParagraph"/>
              <w:spacing w:line="227" w:lineRule="exact"/>
              <w:ind w:left="304"/>
              <w:jc w:val="left"/>
              <w:rPr>
                <w:sz w:val="20"/>
              </w:rPr>
            </w:pPr>
            <w:r>
              <w:rPr>
                <w:sz w:val="20"/>
              </w:rPr>
              <w:t>3,689</w:t>
            </w:r>
          </w:p>
        </w:tc>
        <w:tc>
          <w:tcPr>
            <w:tcW w:w="1185" w:type="dxa"/>
          </w:tcPr>
          <w:p>
            <w:pPr>
              <w:pStyle w:val="TableParagraph"/>
              <w:spacing w:line="227" w:lineRule="exact"/>
              <w:ind w:left="304"/>
              <w:jc w:val="left"/>
              <w:rPr>
                <w:sz w:val="20"/>
              </w:rPr>
            </w:pPr>
            <w:r>
              <w:rPr>
                <w:sz w:val="20"/>
              </w:rPr>
              <w:t>1,361</w:t>
            </w:r>
          </w:p>
        </w:tc>
      </w:tr>
      <w:tr>
        <w:trPr>
          <w:trHeight w:val="230" w:hRule="exact"/>
        </w:trPr>
        <w:tc>
          <w:tcPr>
            <w:tcW w:w="3136" w:type="dxa"/>
          </w:tcPr>
          <w:p>
            <w:pPr>
              <w:pStyle w:val="TableParagraph"/>
              <w:spacing w:line="227" w:lineRule="exact"/>
              <w:ind w:left="50"/>
              <w:jc w:val="left"/>
              <w:rPr>
                <w:sz w:val="20"/>
              </w:rPr>
            </w:pPr>
            <w:r>
              <w:rPr>
                <w:sz w:val="20"/>
              </w:rPr>
              <w:t>State income taxes,</w:t>
            </w:r>
          </w:p>
        </w:tc>
        <w:tc>
          <w:tcPr>
            <w:tcW w:w="2370" w:type="dxa"/>
          </w:tcPr>
          <w:p>
            <w:pPr/>
          </w:p>
        </w:tc>
        <w:tc>
          <w:tcPr>
            <w:tcW w:w="1440" w:type="dxa"/>
          </w:tcPr>
          <w:p>
            <w:pPr/>
          </w:p>
        </w:tc>
        <w:tc>
          <w:tcPr>
            <w:tcW w:w="1185" w:type="dxa"/>
          </w:tcPr>
          <w:p>
            <w:pPr/>
          </w:p>
        </w:tc>
      </w:tr>
      <w:tr>
        <w:trPr>
          <w:trHeight w:val="230" w:hRule="exact"/>
        </w:trPr>
        <w:tc>
          <w:tcPr>
            <w:tcW w:w="3136" w:type="dxa"/>
          </w:tcPr>
          <w:p>
            <w:pPr>
              <w:pStyle w:val="TableParagraph"/>
              <w:spacing w:line="227" w:lineRule="exact"/>
              <w:ind w:left="50"/>
              <w:jc w:val="left"/>
              <w:rPr>
                <w:sz w:val="20"/>
              </w:rPr>
            </w:pPr>
            <w:r>
              <w:rPr>
                <w:sz w:val="20"/>
              </w:rPr>
              <w:t>net of federal benefit</w:t>
            </w:r>
          </w:p>
        </w:tc>
        <w:tc>
          <w:tcPr>
            <w:tcW w:w="2370" w:type="dxa"/>
          </w:tcPr>
          <w:p>
            <w:pPr>
              <w:pStyle w:val="TableParagraph"/>
              <w:spacing w:line="227" w:lineRule="exact"/>
              <w:ind w:left="1234"/>
              <w:jc w:val="left"/>
              <w:rPr>
                <w:sz w:val="20"/>
              </w:rPr>
            </w:pPr>
            <w:r>
              <w:rPr>
                <w:sz w:val="20"/>
              </w:rPr>
              <w:t>8,784</w:t>
            </w:r>
          </w:p>
        </w:tc>
        <w:tc>
          <w:tcPr>
            <w:tcW w:w="1440" w:type="dxa"/>
          </w:tcPr>
          <w:p>
            <w:pPr>
              <w:pStyle w:val="TableParagraph"/>
              <w:spacing w:line="227" w:lineRule="exact"/>
              <w:ind w:left="304"/>
              <w:jc w:val="left"/>
              <w:rPr>
                <w:sz w:val="20"/>
              </w:rPr>
            </w:pPr>
            <w:r>
              <w:rPr>
                <w:sz w:val="20"/>
              </w:rPr>
              <w:t>9,177</w:t>
            </w:r>
          </w:p>
        </w:tc>
        <w:tc>
          <w:tcPr>
            <w:tcW w:w="1185" w:type="dxa"/>
          </w:tcPr>
          <w:p>
            <w:pPr>
              <w:pStyle w:val="TableParagraph"/>
              <w:spacing w:line="227" w:lineRule="exact"/>
              <w:ind w:left="304"/>
              <w:jc w:val="left"/>
              <w:rPr>
                <w:sz w:val="20"/>
              </w:rPr>
            </w:pPr>
            <w:r>
              <w:rPr>
                <w:sz w:val="20"/>
              </w:rPr>
              <w:t>6,632</w:t>
            </w:r>
          </w:p>
        </w:tc>
      </w:tr>
      <w:tr>
        <w:trPr>
          <w:trHeight w:val="230" w:hRule="exact"/>
        </w:trPr>
        <w:tc>
          <w:tcPr>
            <w:tcW w:w="3136" w:type="dxa"/>
          </w:tcPr>
          <w:p>
            <w:pPr>
              <w:pStyle w:val="TableParagraph"/>
              <w:spacing w:line="227" w:lineRule="exact"/>
              <w:ind w:left="50"/>
              <w:jc w:val="left"/>
              <w:rPr>
                <w:sz w:val="20"/>
              </w:rPr>
            </w:pPr>
            <w:r>
              <w:rPr>
                <w:sz w:val="20"/>
              </w:rPr>
              <w:t>Effect  of increase</w:t>
            </w:r>
          </w:p>
        </w:tc>
        <w:tc>
          <w:tcPr>
            <w:tcW w:w="2370" w:type="dxa"/>
          </w:tcPr>
          <w:p>
            <w:pPr/>
          </w:p>
        </w:tc>
        <w:tc>
          <w:tcPr>
            <w:tcW w:w="1440" w:type="dxa"/>
          </w:tcPr>
          <w:p>
            <w:pPr/>
          </w:p>
        </w:tc>
        <w:tc>
          <w:tcPr>
            <w:tcW w:w="1185" w:type="dxa"/>
          </w:tcPr>
          <w:p>
            <w:pPr/>
          </w:p>
        </w:tc>
      </w:tr>
      <w:tr>
        <w:trPr>
          <w:trHeight w:val="230" w:hRule="exact"/>
        </w:trPr>
        <w:tc>
          <w:tcPr>
            <w:tcW w:w="3136" w:type="dxa"/>
          </w:tcPr>
          <w:p>
            <w:pPr>
              <w:pStyle w:val="TableParagraph"/>
              <w:spacing w:line="227" w:lineRule="exact"/>
              <w:ind w:left="50"/>
              <w:jc w:val="left"/>
              <w:rPr>
                <w:sz w:val="20"/>
              </w:rPr>
            </w:pPr>
            <w:r>
              <w:rPr>
                <w:sz w:val="20"/>
              </w:rPr>
              <w:t>in U.S. statutory rate</w:t>
            </w:r>
          </w:p>
        </w:tc>
        <w:tc>
          <w:tcPr>
            <w:tcW w:w="2370" w:type="dxa"/>
          </w:tcPr>
          <w:p>
            <w:pPr>
              <w:pStyle w:val="TableParagraph"/>
              <w:spacing w:line="227" w:lineRule="exact"/>
              <w:ind w:left="1234"/>
              <w:jc w:val="left"/>
              <w:rPr>
                <w:sz w:val="20"/>
              </w:rPr>
            </w:pPr>
            <w:r>
              <w:rPr>
                <w:w w:val="100"/>
                <w:sz w:val="20"/>
              </w:rPr>
              <w:t>-</w:t>
            </w:r>
          </w:p>
        </w:tc>
        <w:tc>
          <w:tcPr>
            <w:tcW w:w="1440" w:type="dxa"/>
          </w:tcPr>
          <w:p>
            <w:pPr>
              <w:pStyle w:val="TableParagraph"/>
              <w:spacing w:line="227" w:lineRule="exact"/>
              <w:ind w:left="304"/>
              <w:jc w:val="left"/>
              <w:rPr>
                <w:sz w:val="20"/>
              </w:rPr>
            </w:pPr>
            <w:r>
              <w:rPr>
                <w:w w:val="100"/>
                <w:sz w:val="20"/>
              </w:rPr>
              <w:t>-</w:t>
            </w:r>
          </w:p>
        </w:tc>
        <w:tc>
          <w:tcPr>
            <w:tcW w:w="1185" w:type="dxa"/>
          </w:tcPr>
          <w:p>
            <w:pPr>
              <w:pStyle w:val="TableParagraph"/>
              <w:spacing w:line="227" w:lineRule="exact"/>
              <w:ind w:left="304"/>
              <w:jc w:val="left"/>
              <w:rPr>
                <w:sz w:val="20"/>
              </w:rPr>
            </w:pPr>
            <w:r>
              <w:rPr>
                <w:sz w:val="20"/>
              </w:rPr>
              <w:t>3,957</w:t>
            </w:r>
          </w:p>
        </w:tc>
      </w:tr>
      <w:tr>
        <w:trPr>
          <w:trHeight w:val="230" w:hRule="exact"/>
        </w:trPr>
        <w:tc>
          <w:tcPr>
            <w:tcW w:w="3136" w:type="dxa"/>
          </w:tcPr>
          <w:p>
            <w:pPr>
              <w:pStyle w:val="TableParagraph"/>
              <w:spacing w:line="227" w:lineRule="exact"/>
              <w:ind w:left="50"/>
              <w:jc w:val="left"/>
              <w:rPr>
                <w:sz w:val="20"/>
              </w:rPr>
            </w:pPr>
            <w:r>
              <w:rPr>
                <w:sz w:val="20"/>
              </w:rPr>
              <w:t>Other, net</w:t>
            </w:r>
          </w:p>
        </w:tc>
        <w:tc>
          <w:tcPr>
            <w:tcW w:w="2370" w:type="dxa"/>
          </w:tcPr>
          <w:p>
            <w:pPr>
              <w:pStyle w:val="TableParagraph"/>
              <w:spacing w:line="227" w:lineRule="exact"/>
              <w:ind w:left="1234"/>
              <w:jc w:val="left"/>
              <w:rPr>
                <w:sz w:val="20"/>
              </w:rPr>
            </w:pPr>
            <w:r>
              <w:rPr>
                <w:sz w:val="20"/>
                <w:u w:val="single"/>
              </w:rPr>
              <w:t>2,443</w:t>
            </w:r>
          </w:p>
        </w:tc>
        <w:tc>
          <w:tcPr>
            <w:tcW w:w="1440" w:type="dxa"/>
          </w:tcPr>
          <w:p>
            <w:pPr>
              <w:pStyle w:val="TableParagraph"/>
              <w:spacing w:line="227" w:lineRule="exact"/>
              <w:ind w:left="304"/>
              <w:jc w:val="left"/>
              <w:rPr>
                <w:sz w:val="20"/>
              </w:rPr>
            </w:pPr>
            <w:r>
              <w:rPr>
                <w:sz w:val="20"/>
                <w:u w:val="single"/>
              </w:rPr>
              <w:t>2,493</w:t>
            </w:r>
          </w:p>
        </w:tc>
        <w:tc>
          <w:tcPr>
            <w:tcW w:w="1185" w:type="dxa"/>
          </w:tcPr>
          <w:p>
            <w:pPr>
              <w:pStyle w:val="TableParagraph"/>
              <w:spacing w:line="227" w:lineRule="exact"/>
              <w:ind w:left="304"/>
              <w:jc w:val="left"/>
              <w:rPr>
                <w:sz w:val="20"/>
              </w:rPr>
            </w:pPr>
            <w:r>
              <w:rPr>
                <w:sz w:val="20"/>
                <w:u w:val="single"/>
              </w:rPr>
              <w:t>2,530</w:t>
            </w:r>
          </w:p>
        </w:tc>
      </w:tr>
      <w:tr>
        <w:trPr>
          <w:trHeight w:val="230" w:hRule="exact"/>
        </w:trPr>
        <w:tc>
          <w:tcPr>
            <w:tcW w:w="3136" w:type="dxa"/>
          </w:tcPr>
          <w:p>
            <w:pPr>
              <w:pStyle w:val="TableParagraph"/>
              <w:spacing w:line="227" w:lineRule="exact"/>
              <w:ind w:left="50"/>
              <w:jc w:val="left"/>
              <w:rPr>
                <w:sz w:val="20"/>
              </w:rPr>
            </w:pPr>
            <w:r>
              <w:rPr>
                <w:sz w:val="20"/>
              </w:rPr>
              <w:t>Total income tax</w:t>
            </w:r>
          </w:p>
        </w:tc>
        <w:tc>
          <w:tcPr>
            <w:tcW w:w="2370" w:type="dxa"/>
          </w:tcPr>
          <w:p>
            <w:pPr/>
          </w:p>
        </w:tc>
        <w:tc>
          <w:tcPr>
            <w:tcW w:w="1440" w:type="dxa"/>
          </w:tcPr>
          <w:p>
            <w:pPr/>
          </w:p>
        </w:tc>
        <w:tc>
          <w:tcPr>
            <w:tcW w:w="1185" w:type="dxa"/>
          </w:tcPr>
          <w:p>
            <w:pPr/>
          </w:p>
        </w:tc>
      </w:tr>
      <w:tr>
        <w:trPr>
          <w:trHeight w:val="228" w:hRule="exact"/>
        </w:trPr>
        <w:tc>
          <w:tcPr>
            <w:tcW w:w="3136" w:type="dxa"/>
          </w:tcPr>
          <w:p>
            <w:pPr>
              <w:pStyle w:val="TableParagraph"/>
              <w:spacing w:line="227" w:lineRule="exact"/>
              <w:ind w:left="50"/>
              <w:jc w:val="left"/>
              <w:rPr>
                <w:sz w:val="20"/>
              </w:rPr>
            </w:pPr>
            <w:r>
              <w:rPr>
                <w:sz w:val="20"/>
              </w:rPr>
              <w:t>provision</w:t>
            </w:r>
          </w:p>
        </w:tc>
        <w:tc>
          <w:tcPr>
            <w:tcW w:w="2370" w:type="dxa"/>
          </w:tcPr>
          <w:p>
            <w:pPr>
              <w:pStyle w:val="TableParagraph"/>
              <w:spacing w:line="227" w:lineRule="exact"/>
              <w:ind w:left="1234"/>
              <w:jc w:val="left"/>
              <w:rPr>
                <w:sz w:val="20"/>
              </w:rPr>
            </w:pPr>
            <w:r>
              <w:rPr>
                <w:sz w:val="20"/>
                <w:u w:val="single"/>
              </w:rPr>
              <w:t>$122,514</w:t>
            </w:r>
          </w:p>
        </w:tc>
        <w:tc>
          <w:tcPr>
            <w:tcW w:w="1440" w:type="dxa"/>
          </w:tcPr>
          <w:p>
            <w:pPr>
              <w:pStyle w:val="TableParagraph"/>
              <w:spacing w:line="227" w:lineRule="exact"/>
              <w:ind w:left="304"/>
              <w:jc w:val="left"/>
              <w:rPr>
                <w:sz w:val="20"/>
              </w:rPr>
            </w:pPr>
            <w:r>
              <w:rPr>
                <w:sz w:val="20"/>
                <w:u w:val="single"/>
              </w:rPr>
              <w:t>$120,192</w:t>
            </w:r>
          </w:p>
        </w:tc>
        <w:tc>
          <w:tcPr>
            <w:tcW w:w="1185" w:type="dxa"/>
          </w:tcPr>
          <w:p>
            <w:pPr>
              <w:pStyle w:val="TableParagraph"/>
              <w:spacing w:line="227" w:lineRule="exact"/>
              <w:ind w:left="304"/>
              <w:jc w:val="left"/>
              <w:rPr>
                <w:sz w:val="20"/>
              </w:rPr>
            </w:pPr>
            <w:r>
              <w:rPr>
                <w:sz w:val="20"/>
                <w:u w:val="single"/>
              </w:rPr>
              <w:t>$105,353</w:t>
            </w:r>
          </w:p>
        </w:tc>
      </w:tr>
    </w:tbl>
    <w:p>
      <w:pPr>
        <w:pStyle w:val="BodyText"/>
        <w:spacing w:before="5"/>
      </w:pPr>
    </w:p>
    <w:p>
      <w:pPr>
        <w:pStyle w:val="Heading2"/>
        <w:numPr>
          <w:ilvl w:val="0"/>
          <w:numId w:val="3"/>
        </w:numPr>
        <w:tabs>
          <w:tab w:pos="496" w:val="left" w:leader="none"/>
        </w:tabs>
        <w:spacing w:line="240" w:lineRule="auto" w:before="0" w:after="0"/>
        <w:ind w:left="496" w:right="0" w:hanging="336"/>
        <w:jc w:val="left"/>
      </w:pPr>
      <w:r>
        <w:rPr/>
        <w:t>NET INCOME PER COMMON AND COMMON EQUIVALENT</w:t>
      </w:r>
      <w:r>
        <w:rPr>
          <w:spacing w:val="26"/>
        </w:rPr>
        <w:t> </w:t>
      </w:r>
      <w:r>
        <w:rPr/>
        <w:t>SHARE</w:t>
      </w:r>
    </w:p>
    <w:p>
      <w:pPr>
        <w:pStyle w:val="BodyText"/>
        <w:spacing w:before="5"/>
        <w:rPr>
          <w:b/>
        </w:rPr>
      </w:pPr>
    </w:p>
    <w:p>
      <w:pPr>
        <w:pStyle w:val="BodyText"/>
        <w:ind w:left="160" w:right="210"/>
      </w:pPr>
      <w:r>
        <w:rPr/>
        <w:t>Net income per common and common equivalent share is computed based on the weighted average number of common and common equivalent shares outstanding (148,850,512 in 1995, 147,305,374 in 1994, and 147,144,568 in 1993). Fully diluted earnings per share have not been presented as the fully dilutive effect of shares issuable upon the exercise of options under the Company’s Stock Option Plans is not material.</w:t>
      </w:r>
    </w:p>
    <w:p>
      <w:pPr>
        <w:spacing w:after="0"/>
        <w:sectPr>
          <w:pgSz w:w="12240" w:h="15840"/>
          <w:pgMar w:header="0" w:footer="790" w:top="1360" w:bottom="980" w:left="1640" w:right="1680"/>
        </w:sectPr>
      </w:pPr>
    </w:p>
    <w:p>
      <w:pPr>
        <w:spacing w:line="242" w:lineRule="auto" w:before="84"/>
        <w:ind w:left="120" w:right="2579" w:firstLine="0"/>
        <w:jc w:val="left"/>
        <w:rPr>
          <w:sz w:val="20"/>
        </w:rPr>
      </w:pPr>
      <w:r>
        <w:rPr>
          <w:b/>
          <w:sz w:val="20"/>
        </w:rPr>
        <w:t>REPORT OF ERNST &amp; YOUNG LLP INDEPENDENT AUDITORS </w:t>
      </w:r>
      <w:r>
        <w:rPr>
          <w:sz w:val="20"/>
        </w:rPr>
        <w:t>THE BOARD OF DIRECTORS AND SHAREHOLDERS SOUTHWEST AIRLINES CO.</w:t>
      </w:r>
    </w:p>
    <w:p>
      <w:pPr>
        <w:pStyle w:val="BodyText"/>
        <w:spacing w:before="9"/>
        <w:rPr>
          <w:sz w:val="19"/>
        </w:rPr>
      </w:pPr>
    </w:p>
    <w:p>
      <w:pPr>
        <w:pStyle w:val="BodyText"/>
        <w:ind w:left="120" w:right="165"/>
        <w:jc w:val="both"/>
      </w:pPr>
      <w:r>
        <w:rPr/>
        <w:t>We have audited the accompanying consolidated balance sheets of Southwest Airlines Co. as of December 31, 1995 and 1994, and the related consolidated statements of income, stockholders’ equity, and cash flows for each of the three years in the period ended December 31, 1995.</w:t>
      </w:r>
    </w:p>
    <w:p>
      <w:pPr>
        <w:pStyle w:val="BodyText"/>
        <w:ind w:left="120" w:right="815"/>
      </w:pPr>
      <w:r>
        <w:rPr/>
        <w:t>These financial statements are the responsibility of the Company’s management. Our responsibility is to express an opinion on these financial statements based on our audits.</w:t>
      </w:r>
    </w:p>
    <w:p>
      <w:pPr>
        <w:pStyle w:val="BodyText"/>
        <w:spacing w:before="1"/>
      </w:pPr>
    </w:p>
    <w:p>
      <w:pPr>
        <w:pStyle w:val="BodyText"/>
        <w:ind w:left="119" w:right="131"/>
      </w:pPr>
      <w:r>
        <w:rPr/>
        <w:t>We conducted our audits in accordance with generally accepted auditing standards.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pPr>
    </w:p>
    <w:p>
      <w:pPr>
        <w:pStyle w:val="BodyText"/>
        <w:ind w:left="119" w:right="190"/>
      </w:pPr>
      <w:r>
        <w:rPr/>
        <w:t>In our opinion, the financial statements referred to above present fairly, in all material respects, the consolidated financial position of Southwest Airlines Co. at December 31, 1995 and 1994, and the consolidated results of its operations and its cash flows for each of the three years in the period ended December 31, 1995, in conformity with generally accepted accounting principles.</w:t>
      </w:r>
    </w:p>
    <w:p>
      <w:pPr>
        <w:pStyle w:val="BodyText"/>
      </w:pPr>
    </w:p>
    <w:p>
      <w:pPr>
        <w:pStyle w:val="BodyText"/>
        <w:ind w:left="119"/>
      </w:pPr>
      <w:r>
        <w:rPr/>
        <w:t>As discussed in Note 3, during 1993, the Company changed its method of accounting for income taxes and postretirement benefits.</w:t>
      </w:r>
    </w:p>
    <w:p>
      <w:pPr>
        <w:pStyle w:val="BodyText"/>
      </w:pPr>
    </w:p>
    <w:p>
      <w:pPr>
        <w:pStyle w:val="BodyText"/>
        <w:ind w:left="119" w:right="7039"/>
      </w:pPr>
      <w:r>
        <w:rPr/>
        <w:t>Ernst &amp; Young LLP Dallas, Texas January 25, 1996</w:t>
      </w:r>
    </w:p>
    <w:p>
      <w:pPr>
        <w:spacing w:after="0"/>
        <w:sectPr>
          <w:pgSz w:w="12240" w:h="15840"/>
          <w:pgMar w:header="0" w:footer="790" w:top="1360" w:bottom="980" w:left="1680" w:right="1680"/>
        </w:sectPr>
      </w:pPr>
    </w:p>
    <w:p>
      <w:pPr>
        <w:pStyle w:val="Heading2"/>
        <w:spacing w:before="84"/>
        <w:ind w:left="160"/>
      </w:pPr>
      <w:r>
        <w:rPr/>
        <w:t>QUARTERLY FINANCIAL DATA (UNAUDITED)</w:t>
      </w:r>
    </w:p>
    <w:p>
      <w:pPr>
        <w:pStyle w:val="BodyText"/>
        <w:spacing w:before="10"/>
        <w:rPr>
          <w:b/>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96"/>
        <w:gridCol w:w="1637"/>
        <w:gridCol w:w="1430"/>
        <w:gridCol w:w="1454"/>
        <w:gridCol w:w="1265"/>
      </w:tblGrid>
      <w:tr>
        <w:trPr>
          <w:trHeight w:val="458" w:hRule="exact"/>
        </w:trPr>
        <w:tc>
          <w:tcPr>
            <w:tcW w:w="2796" w:type="dxa"/>
          </w:tcPr>
          <w:p>
            <w:pPr>
              <w:pStyle w:val="TableParagraph"/>
              <w:ind w:left="50" w:right="535"/>
              <w:jc w:val="left"/>
              <w:rPr>
                <w:sz w:val="20"/>
              </w:rPr>
            </w:pPr>
            <w:r>
              <w:rPr>
                <w:sz w:val="20"/>
              </w:rPr>
              <w:t>(in thousands except per share amounts)</w:t>
            </w:r>
          </w:p>
        </w:tc>
        <w:tc>
          <w:tcPr>
            <w:tcW w:w="1637" w:type="dxa"/>
          </w:tcPr>
          <w:p>
            <w:pPr>
              <w:pStyle w:val="TableParagraph"/>
              <w:ind w:left="499" w:right="230" w:hanging="346"/>
              <w:jc w:val="left"/>
              <w:rPr>
                <w:sz w:val="20"/>
              </w:rPr>
            </w:pPr>
            <w:r>
              <w:rPr>
                <w:sz w:val="20"/>
              </w:rPr>
              <w:t>Three months ended</w:t>
            </w:r>
          </w:p>
        </w:tc>
        <w:tc>
          <w:tcPr>
            <w:tcW w:w="4149" w:type="dxa"/>
            <w:gridSpan w:val="3"/>
          </w:tcPr>
          <w:p>
            <w:pPr/>
          </w:p>
        </w:tc>
      </w:tr>
      <w:tr>
        <w:trPr>
          <w:trHeight w:val="230" w:hRule="exact"/>
        </w:trPr>
        <w:tc>
          <w:tcPr>
            <w:tcW w:w="2796" w:type="dxa"/>
          </w:tcPr>
          <w:p>
            <w:pPr>
              <w:pStyle w:val="TableParagraph"/>
              <w:spacing w:line="227" w:lineRule="exact"/>
              <w:ind w:left="50"/>
              <w:jc w:val="left"/>
              <w:rPr>
                <w:sz w:val="20"/>
              </w:rPr>
            </w:pPr>
            <w:r>
              <w:rPr>
                <w:sz w:val="20"/>
              </w:rPr>
              <w:t>1995</w:t>
            </w:r>
          </w:p>
        </w:tc>
        <w:tc>
          <w:tcPr>
            <w:tcW w:w="1637" w:type="dxa"/>
          </w:tcPr>
          <w:p>
            <w:pPr>
              <w:pStyle w:val="TableParagraph"/>
              <w:spacing w:line="227" w:lineRule="exact"/>
              <w:ind w:left="355"/>
              <w:jc w:val="left"/>
              <w:rPr>
                <w:sz w:val="20"/>
              </w:rPr>
            </w:pPr>
            <w:r>
              <w:rPr>
                <w:sz w:val="20"/>
              </w:rPr>
              <w:t>March 31</w:t>
            </w:r>
          </w:p>
        </w:tc>
        <w:tc>
          <w:tcPr>
            <w:tcW w:w="1430" w:type="dxa"/>
          </w:tcPr>
          <w:p>
            <w:pPr>
              <w:pStyle w:val="TableParagraph"/>
              <w:spacing w:line="227" w:lineRule="exact"/>
              <w:ind w:left="220"/>
              <w:jc w:val="left"/>
              <w:rPr>
                <w:sz w:val="20"/>
              </w:rPr>
            </w:pPr>
            <w:r>
              <w:rPr>
                <w:sz w:val="20"/>
              </w:rPr>
              <w:t>June 30</w:t>
            </w:r>
          </w:p>
        </w:tc>
        <w:tc>
          <w:tcPr>
            <w:tcW w:w="1454" w:type="dxa"/>
          </w:tcPr>
          <w:p>
            <w:pPr>
              <w:pStyle w:val="TableParagraph"/>
              <w:spacing w:line="227" w:lineRule="exact"/>
              <w:ind w:left="210"/>
              <w:jc w:val="left"/>
              <w:rPr>
                <w:sz w:val="20"/>
              </w:rPr>
            </w:pPr>
            <w:r>
              <w:rPr>
                <w:sz w:val="20"/>
              </w:rPr>
              <w:t>Sept. 30</w:t>
            </w:r>
          </w:p>
        </w:tc>
        <w:tc>
          <w:tcPr>
            <w:tcW w:w="1265" w:type="dxa"/>
          </w:tcPr>
          <w:p>
            <w:pPr>
              <w:pStyle w:val="TableParagraph"/>
              <w:spacing w:line="227" w:lineRule="exact"/>
              <w:ind w:left="225"/>
              <w:jc w:val="left"/>
              <w:rPr>
                <w:sz w:val="20"/>
              </w:rPr>
            </w:pPr>
            <w:r>
              <w:rPr>
                <w:sz w:val="20"/>
              </w:rPr>
              <w:t>Dec. 31</w:t>
            </w:r>
          </w:p>
        </w:tc>
      </w:tr>
      <w:tr>
        <w:trPr>
          <w:trHeight w:val="230" w:hRule="exact"/>
        </w:trPr>
        <w:tc>
          <w:tcPr>
            <w:tcW w:w="2796" w:type="dxa"/>
          </w:tcPr>
          <w:p>
            <w:pPr>
              <w:pStyle w:val="TableParagraph"/>
              <w:spacing w:line="227" w:lineRule="exact"/>
              <w:ind w:left="50"/>
              <w:jc w:val="left"/>
              <w:rPr>
                <w:sz w:val="20"/>
              </w:rPr>
            </w:pPr>
            <w:r>
              <w:rPr>
                <w:sz w:val="20"/>
              </w:rPr>
              <w:t>Operating revenues</w:t>
            </w:r>
          </w:p>
        </w:tc>
        <w:tc>
          <w:tcPr>
            <w:tcW w:w="1637" w:type="dxa"/>
          </w:tcPr>
          <w:p>
            <w:pPr>
              <w:pStyle w:val="TableParagraph"/>
              <w:spacing w:line="227" w:lineRule="exact"/>
              <w:ind w:right="218"/>
              <w:rPr>
                <w:sz w:val="20"/>
              </w:rPr>
            </w:pPr>
            <w:r>
              <w:rPr>
                <w:sz w:val="20"/>
              </w:rPr>
              <w:t>$620,999</w:t>
            </w:r>
          </w:p>
        </w:tc>
        <w:tc>
          <w:tcPr>
            <w:tcW w:w="1430" w:type="dxa"/>
          </w:tcPr>
          <w:p>
            <w:pPr>
              <w:pStyle w:val="TableParagraph"/>
              <w:spacing w:line="227" w:lineRule="exact"/>
              <w:ind w:right="209"/>
              <w:rPr>
                <w:sz w:val="20"/>
              </w:rPr>
            </w:pPr>
            <w:r>
              <w:rPr>
                <w:sz w:val="20"/>
              </w:rPr>
              <w:t>$738,205</w:t>
            </w:r>
          </w:p>
        </w:tc>
        <w:tc>
          <w:tcPr>
            <w:tcW w:w="1454" w:type="dxa"/>
          </w:tcPr>
          <w:p>
            <w:pPr>
              <w:pStyle w:val="TableParagraph"/>
              <w:spacing w:line="227" w:lineRule="exact"/>
              <w:ind w:right="223"/>
              <w:rPr>
                <w:sz w:val="20"/>
              </w:rPr>
            </w:pPr>
            <w:r>
              <w:rPr>
                <w:sz w:val="20"/>
              </w:rPr>
              <w:t>$764,975</w:t>
            </w:r>
          </w:p>
        </w:tc>
        <w:tc>
          <w:tcPr>
            <w:tcW w:w="1265" w:type="dxa"/>
          </w:tcPr>
          <w:p>
            <w:pPr>
              <w:pStyle w:val="TableParagraph"/>
              <w:spacing w:line="227" w:lineRule="exact"/>
              <w:ind w:right="48"/>
              <w:rPr>
                <w:sz w:val="20"/>
              </w:rPr>
            </w:pPr>
            <w:r>
              <w:rPr>
                <w:sz w:val="20"/>
              </w:rPr>
              <w:t>$748,572</w:t>
            </w:r>
          </w:p>
        </w:tc>
      </w:tr>
      <w:tr>
        <w:trPr>
          <w:trHeight w:val="230" w:hRule="exact"/>
        </w:trPr>
        <w:tc>
          <w:tcPr>
            <w:tcW w:w="2796" w:type="dxa"/>
          </w:tcPr>
          <w:p>
            <w:pPr>
              <w:pStyle w:val="TableParagraph"/>
              <w:spacing w:line="227" w:lineRule="exact"/>
              <w:ind w:left="50"/>
              <w:jc w:val="left"/>
              <w:rPr>
                <w:sz w:val="20"/>
              </w:rPr>
            </w:pPr>
            <w:r>
              <w:rPr>
                <w:sz w:val="20"/>
              </w:rPr>
              <w:t>Operating income</w:t>
            </w:r>
          </w:p>
        </w:tc>
        <w:tc>
          <w:tcPr>
            <w:tcW w:w="1637" w:type="dxa"/>
          </w:tcPr>
          <w:p>
            <w:pPr>
              <w:pStyle w:val="TableParagraph"/>
              <w:spacing w:line="227" w:lineRule="exact"/>
              <w:ind w:right="218"/>
              <w:rPr>
                <w:sz w:val="20"/>
              </w:rPr>
            </w:pPr>
            <w:r>
              <w:rPr>
                <w:sz w:val="20"/>
              </w:rPr>
              <w:t>23,409</w:t>
            </w:r>
          </w:p>
        </w:tc>
        <w:tc>
          <w:tcPr>
            <w:tcW w:w="1430" w:type="dxa"/>
          </w:tcPr>
          <w:p>
            <w:pPr>
              <w:pStyle w:val="TableParagraph"/>
              <w:spacing w:line="227" w:lineRule="exact"/>
              <w:ind w:right="210"/>
              <w:rPr>
                <w:sz w:val="20"/>
              </w:rPr>
            </w:pPr>
            <w:r>
              <w:rPr>
                <w:sz w:val="20"/>
              </w:rPr>
              <w:t>103,425</w:t>
            </w:r>
          </w:p>
        </w:tc>
        <w:tc>
          <w:tcPr>
            <w:tcW w:w="1454" w:type="dxa"/>
          </w:tcPr>
          <w:p>
            <w:pPr>
              <w:pStyle w:val="TableParagraph"/>
              <w:spacing w:line="227" w:lineRule="exact"/>
              <w:ind w:right="223"/>
              <w:rPr>
                <w:sz w:val="20"/>
              </w:rPr>
            </w:pPr>
            <w:r>
              <w:rPr>
                <w:sz w:val="20"/>
              </w:rPr>
              <w:t>114,098</w:t>
            </w:r>
          </w:p>
        </w:tc>
        <w:tc>
          <w:tcPr>
            <w:tcW w:w="1265" w:type="dxa"/>
          </w:tcPr>
          <w:p>
            <w:pPr>
              <w:pStyle w:val="TableParagraph"/>
              <w:spacing w:line="227" w:lineRule="exact"/>
              <w:ind w:right="48"/>
              <w:rPr>
                <w:sz w:val="20"/>
              </w:rPr>
            </w:pPr>
            <w:r>
              <w:rPr>
                <w:sz w:val="20"/>
              </w:rPr>
              <w:t>72,599</w:t>
            </w:r>
          </w:p>
        </w:tc>
      </w:tr>
      <w:tr>
        <w:trPr>
          <w:trHeight w:val="230" w:hRule="exact"/>
        </w:trPr>
        <w:tc>
          <w:tcPr>
            <w:tcW w:w="2796" w:type="dxa"/>
          </w:tcPr>
          <w:p>
            <w:pPr>
              <w:pStyle w:val="TableParagraph"/>
              <w:spacing w:line="227" w:lineRule="exact"/>
              <w:ind w:left="50"/>
              <w:jc w:val="left"/>
              <w:rPr>
                <w:sz w:val="20"/>
              </w:rPr>
            </w:pPr>
            <w:r>
              <w:rPr>
                <w:sz w:val="20"/>
              </w:rPr>
              <w:t>Income before income taxes</w:t>
            </w:r>
          </w:p>
        </w:tc>
        <w:tc>
          <w:tcPr>
            <w:tcW w:w="1637" w:type="dxa"/>
          </w:tcPr>
          <w:p>
            <w:pPr>
              <w:pStyle w:val="TableParagraph"/>
              <w:spacing w:line="227" w:lineRule="exact"/>
              <w:ind w:right="218"/>
              <w:rPr>
                <w:sz w:val="20"/>
              </w:rPr>
            </w:pPr>
            <w:r>
              <w:rPr>
                <w:sz w:val="20"/>
              </w:rPr>
              <w:t>20,034</w:t>
            </w:r>
          </w:p>
        </w:tc>
        <w:tc>
          <w:tcPr>
            <w:tcW w:w="1430" w:type="dxa"/>
          </w:tcPr>
          <w:p>
            <w:pPr>
              <w:pStyle w:val="TableParagraph"/>
              <w:spacing w:line="227" w:lineRule="exact"/>
              <w:ind w:right="210"/>
              <w:rPr>
                <w:sz w:val="20"/>
              </w:rPr>
            </w:pPr>
            <w:r>
              <w:rPr>
                <w:sz w:val="20"/>
              </w:rPr>
              <w:t>100,801</w:t>
            </w:r>
          </w:p>
        </w:tc>
        <w:tc>
          <w:tcPr>
            <w:tcW w:w="1454" w:type="dxa"/>
          </w:tcPr>
          <w:p>
            <w:pPr>
              <w:pStyle w:val="TableParagraph"/>
              <w:spacing w:line="227" w:lineRule="exact"/>
              <w:ind w:right="223"/>
              <w:rPr>
                <w:sz w:val="20"/>
              </w:rPr>
            </w:pPr>
            <w:r>
              <w:rPr>
                <w:sz w:val="20"/>
              </w:rPr>
              <w:t>114,215</w:t>
            </w:r>
          </w:p>
        </w:tc>
        <w:tc>
          <w:tcPr>
            <w:tcW w:w="1265" w:type="dxa"/>
          </w:tcPr>
          <w:p>
            <w:pPr>
              <w:pStyle w:val="TableParagraph"/>
              <w:spacing w:line="227" w:lineRule="exact"/>
              <w:ind w:right="48"/>
              <w:rPr>
                <w:sz w:val="20"/>
              </w:rPr>
            </w:pPr>
            <w:r>
              <w:rPr>
                <w:sz w:val="20"/>
              </w:rPr>
              <w:t>70,090</w:t>
            </w:r>
          </w:p>
        </w:tc>
      </w:tr>
      <w:tr>
        <w:trPr>
          <w:trHeight w:val="230" w:hRule="exact"/>
        </w:trPr>
        <w:tc>
          <w:tcPr>
            <w:tcW w:w="2796" w:type="dxa"/>
          </w:tcPr>
          <w:p>
            <w:pPr>
              <w:pStyle w:val="TableParagraph"/>
              <w:spacing w:line="227" w:lineRule="exact"/>
              <w:ind w:left="50"/>
              <w:jc w:val="left"/>
              <w:rPr>
                <w:sz w:val="20"/>
              </w:rPr>
            </w:pPr>
            <w:r>
              <w:rPr>
                <w:sz w:val="20"/>
              </w:rPr>
              <w:t>Net income</w:t>
            </w:r>
          </w:p>
        </w:tc>
        <w:tc>
          <w:tcPr>
            <w:tcW w:w="1637" w:type="dxa"/>
          </w:tcPr>
          <w:p>
            <w:pPr>
              <w:pStyle w:val="TableParagraph"/>
              <w:spacing w:line="227" w:lineRule="exact"/>
              <w:ind w:right="218"/>
              <w:rPr>
                <w:sz w:val="20"/>
              </w:rPr>
            </w:pPr>
            <w:r>
              <w:rPr>
                <w:sz w:val="20"/>
              </w:rPr>
              <w:t>11,826</w:t>
            </w:r>
          </w:p>
        </w:tc>
        <w:tc>
          <w:tcPr>
            <w:tcW w:w="1430" w:type="dxa"/>
          </w:tcPr>
          <w:p>
            <w:pPr>
              <w:pStyle w:val="TableParagraph"/>
              <w:spacing w:line="227" w:lineRule="exact"/>
              <w:ind w:right="209"/>
              <w:rPr>
                <w:sz w:val="20"/>
              </w:rPr>
            </w:pPr>
            <w:r>
              <w:rPr>
                <w:sz w:val="20"/>
              </w:rPr>
              <w:t>59,724</w:t>
            </w:r>
          </w:p>
        </w:tc>
        <w:tc>
          <w:tcPr>
            <w:tcW w:w="1454" w:type="dxa"/>
          </w:tcPr>
          <w:p>
            <w:pPr>
              <w:pStyle w:val="TableParagraph"/>
              <w:spacing w:line="227" w:lineRule="exact"/>
              <w:ind w:right="223"/>
              <w:rPr>
                <w:sz w:val="20"/>
              </w:rPr>
            </w:pPr>
            <w:r>
              <w:rPr>
                <w:sz w:val="20"/>
              </w:rPr>
              <w:t>67,717</w:t>
            </w:r>
          </w:p>
        </w:tc>
        <w:tc>
          <w:tcPr>
            <w:tcW w:w="1265" w:type="dxa"/>
          </w:tcPr>
          <w:p>
            <w:pPr>
              <w:pStyle w:val="TableParagraph"/>
              <w:spacing w:line="227" w:lineRule="exact"/>
              <w:ind w:right="48"/>
              <w:rPr>
                <w:sz w:val="20"/>
              </w:rPr>
            </w:pPr>
            <w:r>
              <w:rPr>
                <w:sz w:val="20"/>
              </w:rPr>
              <w:t>43,359</w:t>
            </w:r>
          </w:p>
        </w:tc>
      </w:tr>
      <w:tr>
        <w:trPr>
          <w:trHeight w:val="576" w:hRule="exact"/>
        </w:trPr>
        <w:tc>
          <w:tcPr>
            <w:tcW w:w="2796" w:type="dxa"/>
          </w:tcPr>
          <w:p>
            <w:pPr>
              <w:pStyle w:val="TableParagraph"/>
              <w:ind w:left="50"/>
              <w:jc w:val="left"/>
              <w:rPr>
                <w:sz w:val="20"/>
              </w:rPr>
            </w:pPr>
            <w:r>
              <w:rPr>
                <w:sz w:val="20"/>
              </w:rPr>
              <w:t>Net income per common and common equivalent share</w:t>
            </w:r>
          </w:p>
        </w:tc>
        <w:tc>
          <w:tcPr>
            <w:tcW w:w="1637" w:type="dxa"/>
          </w:tcPr>
          <w:p>
            <w:pPr>
              <w:pStyle w:val="TableParagraph"/>
              <w:spacing w:line="227" w:lineRule="exact"/>
              <w:ind w:right="219"/>
              <w:rPr>
                <w:sz w:val="20"/>
              </w:rPr>
            </w:pPr>
            <w:r>
              <w:rPr>
                <w:sz w:val="20"/>
              </w:rPr>
              <w:t>.08</w:t>
            </w:r>
          </w:p>
        </w:tc>
        <w:tc>
          <w:tcPr>
            <w:tcW w:w="1430" w:type="dxa"/>
          </w:tcPr>
          <w:p>
            <w:pPr>
              <w:pStyle w:val="TableParagraph"/>
              <w:spacing w:line="227" w:lineRule="exact"/>
              <w:ind w:right="210"/>
              <w:rPr>
                <w:sz w:val="20"/>
              </w:rPr>
            </w:pPr>
            <w:r>
              <w:rPr>
                <w:sz w:val="20"/>
              </w:rPr>
              <w:t>.41</w:t>
            </w:r>
          </w:p>
        </w:tc>
        <w:tc>
          <w:tcPr>
            <w:tcW w:w="1454" w:type="dxa"/>
          </w:tcPr>
          <w:p>
            <w:pPr>
              <w:pStyle w:val="TableParagraph"/>
              <w:spacing w:line="227" w:lineRule="exact"/>
              <w:ind w:right="224"/>
              <w:rPr>
                <w:sz w:val="20"/>
              </w:rPr>
            </w:pPr>
            <w:r>
              <w:rPr>
                <w:sz w:val="20"/>
              </w:rPr>
              <w:t>.45</w:t>
            </w:r>
          </w:p>
        </w:tc>
        <w:tc>
          <w:tcPr>
            <w:tcW w:w="1265" w:type="dxa"/>
          </w:tcPr>
          <w:p>
            <w:pPr>
              <w:pStyle w:val="TableParagraph"/>
              <w:spacing w:line="227" w:lineRule="exact"/>
              <w:ind w:right="49"/>
              <w:rPr>
                <w:sz w:val="20"/>
              </w:rPr>
            </w:pPr>
            <w:r>
              <w:rPr>
                <w:sz w:val="20"/>
              </w:rPr>
              <w:t>.29</w:t>
            </w:r>
          </w:p>
        </w:tc>
      </w:tr>
      <w:tr>
        <w:trPr>
          <w:trHeight w:val="806" w:hRule="exact"/>
        </w:trPr>
        <w:tc>
          <w:tcPr>
            <w:tcW w:w="2796" w:type="dxa"/>
          </w:tcPr>
          <w:p>
            <w:pPr>
              <w:pStyle w:val="TableParagraph"/>
              <w:jc w:val="left"/>
              <w:rPr>
                <w:b/>
                <w:sz w:val="22"/>
              </w:rPr>
            </w:pPr>
          </w:p>
          <w:p>
            <w:pPr>
              <w:pStyle w:val="TableParagraph"/>
              <w:spacing w:before="10"/>
              <w:jc w:val="left"/>
              <w:rPr>
                <w:b/>
                <w:sz w:val="27"/>
              </w:rPr>
            </w:pPr>
          </w:p>
          <w:p>
            <w:pPr>
              <w:pStyle w:val="TableParagraph"/>
              <w:ind w:left="50"/>
              <w:jc w:val="left"/>
              <w:rPr>
                <w:sz w:val="20"/>
              </w:rPr>
            </w:pPr>
            <w:r>
              <w:rPr>
                <w:sz w:val="20"/>
              </w:rPr>
              <w:t>1994</w:t>
            </w:r>
          </w:p>
        </w:tc>
        <w:tc>
          <w:tcPr>
            <w:tcW w:w="1637" w:type="dxa"/>
          </w:tcPr>
          <w:p>
            <w:pPr>
              <w:pStyle w:val="TableParagraph"/>
              <w:spacing w:before="112"/>
              <w:ind w:left="153" w:right="241"/>
              <w:jc w:val="center"/>
              <w:rPr>
                <w:sz w:val="20"/>
              </w:rPr>
            </w:pPr>
            <w:r>
              <w:rPr>
                <w:sz w:val="20"/>
              </w:rPr>
              <w:t>Three months ended</w:t>
            </w:r>
          </w:p>
          <w:p>
            <w:pPr>
              <w:pStyle w:val="TableParagraph"/>
              <w:ind w:left="152" w:right="241"/>
              <w:jc w:val="center"/>
              <w:rPr>
                <w:sz w:val="20"/>
              </w:rPr>
            </w:pPr>
            <w:r>
              <w:rPr>
                <w:sz w:val="20"/>
              </w:rPr>
              <w:t>March 31</w:t>
            </w:r>
          </w:p>
        </w:tc>
        <w:tc>
          <w:tcPr>
            <w:tcW w:w="1430" w:type="dxa"/>
          </w:tcPr>
          <w:p>
            <w:pPr>
              <w:pStyle w:val="TableParagraph"/>
              <w:jc w:val="left"/>
              <w:rPr>
                <w:b/>
                <w:sz w:val="22"/>
              </w:rPr>
            </w:pPr>
          </w:p>
          <w:p>
            <w:pPr>
              <w:pStyle w:val="TableParagraph"/>
              <w:spacing w:before="10"/>
              <w:jc w:val="left"/>
              <w:rPr>
                <w:b/>
                <w:sz w:val="27"/>
              </w:rPr>
            </w:pPr>
          </w:p>
          <w:p>
            <w:pPr>
              <w:pStyle w:val="TableParagraph"/>
              <w:ind w:left="220"/>
              <w:jc w:val="left"/>
              <w:rPr>
                <w:sz w:val="20"/>
              </w:rPr>
            </w:pPr>
            <w:r>
              <w:rPr>
                <w:sz w:val="20"/>
              </w:rPr>
              <w:t>June 30</w:t>
            </w:r>
          </w:p>
        </w:tc>
        <w:tc>
          <w:tcPr>
            <w:tcW w:w="1454" w:type="dxa"/>
          </w:tcPr>
          <w:p>
            <w:pPr>
              <w:pStyle w:val="TableParagraph"/>
              <w:jc w:val="left"/>
              <w:rPr>
                <w:b/>
                <w:sz w:val="22"/>
              </w:rPr>
            </w:pPr>
          </w:p>
          <w:p>
            <w:pPr>
              <w:pStyle w:val="TableParagraph"/>
              <w:spacing w:before="10"/>
              <w:jc w:val="left"/>
              <w:rPr>
                <w:b/>
                <w:sz w:val="27"/>
              </w:rPr>
            </w:pPr>
          </w:p>
          <w:p>
            <w:pPr>
              <w:pStyle w:val="TableParagraph"/>
              <w:ind w:left="210"/>
              <w:jc w:val="left"/>
              <w:rPr>
                <w:sz w:val="20"/>
              </w:rPr>
            </w:pPr>
            <w:r>
              <w:rPr>
                <w:sz w:val="20"/>
              </w:rPr>
              <w:t>Sept. 30</w:t>
            </w:r>
          </w:p>
        </w:tc>
        <w:tc>
          <w:tcPr>
            <w:tcW w:w="1265" w:type="dxa"/>
          </w:tcPr>
          <w:p>
            <w:pPr>
              <w:pStyle w:val="TableParagraph"/>
              <w:jc w:val="left"/>
              <w:rPr>
                <w:b/>
                <w:sz w:val="22"/>
              </w:rPr>
            </w:pPr>
          </w:p>
          <w:p>
            <w:pPr>
              <w:pStyle w:val="TableParagraph"/>
              <w:spacing w:before="10"/>
              <w:jc w:val="left"/>
              <w:rPr>
                <w:b/>
                <w:sz w:val="27"/>
              </w:rPr>
            </w:pPr>
          </w:p>
          <w:p>
            <w:pPr>
              <w:pStyle w:val="TableParagraph"/>
              <w:ind w:left="225"/>
              <w:jc w:val="left"/>
              <w:rPr>
                <w:sz w:val="20"/>
              </w:rPr>
            </w:pPr>
            <w:r>
              <w:rPr>
                <w:sz w:val="20"/>
              </w:rPr>
              <w:t>Dec. 31</w:t>
            </w:r>
          </w:p>
        </w:tc>
      </w:tr>
      <w:tr>
        <w:trPr>
          <w:trHeight w:val="230" w:hRule="exact"/>
        </w:trPr>
        <w:tc>
          <w:tcPr>
            <w:tcW w:w="2796" w:type="dxa"/>
          </w:tcPr>
          <w:p>
            <w:pPr>
              <w:pStyle w:val="TableParagraph"/>
              <w:spacing w:line="227" w:lineRule="exact"/>
              <w:ind w:left="50"/>
              <w:jc w:val="left"/>
              <w:rPr>
                <w:sz w:val="20"/>
              </w:rPr>
            </w:pPr>
            <w:r>
              <w:rPr>
                <w:sz w:val="20"/>
              </w:rPr>
              <w:t>Operating revenues</w:t>
            </w:r>
          </w:p>
        </w:tc>
        <w:tc>
          <w:tcPr>
            <w:tcW w:w="1637" w:type="dxa"/>
          </w:tcPr>
          <w:p>
            <w:pPr>
              <w:pStyle w:val="TableParagraph"/>
              <w:spacing w:line="227" w:lineRule="exact"/>
              <w:ind w:right="218"/>
              <w:rPr>
                <w:sz w:val="20"/>
              </w:rPr>
            </w:pPr>
            <w:r>
              <w:rPr>
                <w:sz w:val="20"/>
              </w:rPr>
              <w:t>$619,412</w:t>
            </w:r>
          </w:p>
        </w:tc>
        <w:tc>
          <w:tcPr>
            <w:tcW w:w="1430" w:type="dxa"/>
          </w:tcPr>
          <w:p>
            <w:pPr>
              <w:pStyle w:val="TableParagraph"/>
              <w:spacing w:line="227" w:lineRule="exact"/>
              <w:ind w:right="209"/>
              <w:rPr>
                <w:sz w:val="20"/>
              </w:rPr>
            </w:pPr>
            <w:r>
              <w:rPr>
                <w:sz w:val="20"/>
              </w:rPr>
              <w:t>$661,056</w:t>
            </w:r>
          </w:p>
        </w:tc>
        <w:tc>
          <w:tcPr>
            <w:tcW w:w="1454" w:type="dxa"/>
          </w:tcPr>
          <w:p>
            <w:pPr>
              <w:pStyle w:val="TableParagraph"/>
              <w:spacing w:line="227" w:lineRule="exact"/>
              <w:ind w:right="223"/>
              <w:rPr>
                <w:sz w:val="20"/>
              </w:rPr>
            </w:pPr>
            <w:r>
              <w:rPr>
                <w:sz w:val="20"/>
              </w:rPr>
              <w:t>$685,289</w:t>
            </w:r>
          </w:p>
        </w:tc>
        <w:tc>
          <w:tcPr>
            <w:tcW w:w="1265" w:type="dxa"/>
          </w:tcPr>
          <w:p>
            <w:pPr>
              <w:pStyle w:val="TableParagraph"/>
              <w:spacing w:line="227" w:lineRule="exact"/>
              <w:ind w:right="48"/>
              <w:rPr>
                <w:sz w:val="20"/>
              </w:rPr>
            </w:pPr>
            <w:r>
              <w:rPr>
                <w:sz w:val="20"/>
              </w:rPr>
              <w:t>$626,176</w:t>
            </w:r>
          </w:p>
        </w:tc>
      </w:tr>
      <w:tr>
        <w:trPr>
          <w:trHeight w:val="230" w:hRule="exact"/>
        </w:trPr>
        <w:tc>
          <w:tcPr>
            <w:tcW w:w="2796" w:type="dxa"/>
          </w:tcPr>
          <w:p>
            <w:pPr>
              <w:pStyle w:val="TableParagraph"/>
              <w:spacing w:line="227" w:lineRule="exact"/>
              <w:ind w:left="50"/>
              <w:jc w:val="left"/>
              <w:rPr>
                <w:sz w:val="20"/>
              </w:rPr>
            </w:pPr>
            <w:r>
              <w:rPr>
                <w:sz w:val="20"/>
              </w:rPr>
              <w:t>Operating income</w:t>
            </w:r>
          </w:p>
        </w:tc>
        <w:tc>
          <w:tcPr>
            <w:tcW w:w="1637" w:type="dxa"/>
          </w:tcPr>
          <w:p>
            <w:pPr>
              <w:pStyle w:val="TableParagraph"/>
              <w:spacing w:line="227" w:lineRule="exact"/>
              <w:ind w:right="218"/>
              <w:rPr>
                <w:sz w:val="20"/>
              </w:rPr>
            </w:pPr>
            <w:r>
              <w:rPr>
                <w:sz w:val="20"/>
              </w:rPr>
              <w:t>76,046</w:t>
            </w:r>
          </w:p>
        </w:tc>
        <w:tc>
          <w:tcPr>
            <w:tcW w:w="1430" w:type="dxa"/>
          </w:tcPr>
          <w:p>
            <w:pPr>
              <w:pStyle w:val="TableParagraph"/>
              <w:spacing w:line="227" w:lineRule="exact"/>
              <w:ind w:right="210"/>
              <w:rPr>
                <w:sz w:val="20"/>
              </w:rPr>
            </w:pPr>
            <w:r>
              <w:rPr>
                <w:sz w:val="20"/>
              </w:rPr>
              <w:t>101,834</w:t>
            </w:r>
          </w:p>
        </w:tc>
        <w:tc>
          <w:tcPr>
            <w:tcW w:w="1454" w:type="dxa"/>
          </w:tcPr>
          <w:p>
            <w:pPr>
              <w:pStyle w:val="TableParagraph"/>
              <w:spacing w:line="227" w:lineRule="exact"/>
              <w:ind w:right="223"/>
              <w:rPr>
                <w:sz w:val="20"/>
              </w:rPr>
            </w:pPr>
            <w:r>
              <w:rPr>
                <w:sz w:val="20"/>
              </w:rPr>
              <w:t>101,710</w:t>
            </w:r>
          </w:p>
        </w:tc>
        <w:tc>
          <w:tcPr>
            <w:tcW w:w="1265" w:type="dxa"/>
          </w:tcPr>
          <w:p>
            <w:pPr>
              <w:pStyle w:val="TableParagraph"/>
              <w:spacing w:line="227" w:lineRule="exact"/>
              <w:ind w:right="48"/>
              <w:rPr>
                <w:sz w:val="20"/>
              </w:rPr>
            </w:pPr>
            <w:r>
              <w:rPr>
                <w:sz w:val="20"/>
              </w:rPr>
              <w:t>37,119</w:t>
            </w:r>
          </w:p>
        </w:tc>
      </w:tr>
      <w:tr>
        <w:trPr>
          <w:trHeight w:val="230" w:hRule="exact"/>
        </w:trPr>
        <w:tc>
          <w:tcPr>
            <w:tcW w:w="2796" w:type="dxa"/>
          </w:tcPr>
          <w:p>
            <w:pPr>
              <w:pStyle w:val="TableParagraph"/>
              <w:spacing w:line="227" w:lineRule="exact"/>
              <w:ind w:left="50"/>
              <w:jc w:val="left"/>
              <w:rPr>
                <w:sz w:val="20"/>
              </w:rPr>
            </w:pPr>
            <w:r>
              <w:rPr>
                <w:sz w:val="20"/>
              </w:rPr>
              <w:t>Income before income taxes</w:t>
            </w:r>
          </w:p>
        </w:tc>
        <w:tc>
          <w:tcPr>
            <w:tcW w:w="1637" w:type="dxa"/>
          </w:tcPr>
          <w:p>
            <w:pPr>
              <w:pStyle w:val="TableParagraph"/>
              <w:spacing w:line="227" w:lineRule="exact"/>
              <w:ind w:right="218"/>
              <w:rPr>
                <w:sz w:val="20"/>
              </w:rPr>
            </w:pPr>
            <w:r>
              <w:rPr>
                <w:sz w:val="20"/>
              </w:rPr>
              <w:t>69,538</w:t>
            </w:r>
          </w:p>
        </w:tc>
        <w:tc>
          <w:tcPr>
            <w:tcW w:w="1430" w:type="dxa"/>
          </w:tcPr>
          <w:p>
            <w:pPr>
              <w:pStyle w:val="TableParagraph"/>
              <w:spacing w:line="227" w:lineRule="exact"/>
              <w:ind w:right="209"/>
              <w:rPr>
                <w:sz w:val="20"/>
              </w:rPr>
            </w:pPr>
            <w:r>
              <w:rPr>
                <w:sz w:val="20"/>
              </w:rPr>
              <w:t>97,156</w:t>
            </w:r>
          </w:p>
        </w:tc>
        <w:tc>
          <w:tcPr>
            <w:tcW w:w="1454" w:type="dxa"/>
          </w:tcPr>
          <w:p>
            <w:pPr>
              <w:pStyle w:val="TableParagraph"/>
              <w:spacing w:line="227" w:lineRule="exact"/>
              <w:ind w:right="223"/>
              <w:rPr>
                <w:sz w:val="20"/>
              </w:rPr>
            </w:pPr>
            <w:r>
              <w:rPr>
                <w:sz w:val="20"/>
              </w:rPr>
              <w:t>97,128</w:t>
            </w:r>
          </w:p>
        </w:tc>
        <w:tc>
          <w:tcPr>
            <w:tcW w:w="1265" w:type="dxa"/>
          </w:tcPr>
          <w:p>
            <w:pPr>
              <w:pStyle w:val="TableParagraph"/>
              <w:spacing w:line="227" w:lineRule="exact"/>
              <w:ind w:right="48"/>
              <w:rPr>
                <w:sz w:val="20"/>
              </w:rPr>
            </w:pPr>
            <w:r>
              <w:rPr>
                <w:sz w:val="20"/>
              </w:rPr>
              <w:t>35,701</w:t>
            </w:r>
          </w:p>
        </w:tc>
      </w:tr>
      <w:tr>
        <w:trPr>
          <w:trHeight w:val="230" w:hRule="exact"/>
        </w:trPr>
        <w:tc>
          <w:tcPr>
            <w:tcW w:w="2796" w:type="dxa"/>
          </w:tcPr>
          <w:p>
            <w:pPr>
              <w:pStyle w:val="TableParagraph"/>
              <w:spacing w:line="227" w:lineRule="exact"/>
              <w:ind w:left="50"/>
              <w:jc w:val="left"/>
              <w:rPr>
                <w:sz w:val="20"/>
              </w:rPr>
            </w:pPr>
            <w:r>
              <w:rPr>
                <w:sz w:val="20"/>
              </w:rPr>
              <w:t>Net income</w:t>
            </w:r>
          </w:p>
        </w:tc>
        <w:tc>
          <w:tcPr>
            <w:tcW w:w="1637" w:type="dxa"/>
          </w:tcPr>
          <w:p>
            <w:pPr>
              <w:pStyle w:val="TableParagraph"/>
              <w:spacing w:line="227" w:lineRule="exact"/>
              <w:ind w:right="218"/>
              <w:rPr>
                <w:sz w:val="20"/>
              </w:rPr>
            </w:pPr>
            <w:r>
              <w:rPr>
                <w:sz w:val="20"/>
              </w:rPr>
              <w:t>41,847</w:t>
            </w:r>
          </w:p>
        </w:tc>
        <w:tc>
          <w:tcPr>
            <w:tcW w:w="1430" w:type="dxa"/>
          </w:tcPr>
          <w:p>
            <w:pPr>
              <w:pStyle w:val="TableParagraph"/>
              <w:spacing w:line="227" w:lineRule="exact"/>
              <w:ind w:right="209"/>
              <w:rPr>
                <w:sz w:val="20"/>
              </w:rPr>
            </w:pPr>
            <w:r>
              <w:rPr>
                <w:sz w:val="20"/>
              </w:rPr>
              <w:t>58,522</w:t>
            </w:r>
          </w:p>
        </w:tc>
        <w:tc>
          <w:tcPr>
            <w:tcW w:w="1454" w:type="dxa"/>
          </w:tcPr>
          <w:p>
            <w:pPr>
              <w:pStyle w:val="TableParagraph"/>
              <w:spacing w:line="227" w:lineRule="exact"/>
              <w:ind w:right="223"/>
              <w:rPr>
                <w:sz w:val="20"/>
              </w:rPr>
            </w:pPr>
            <w:r>
              <w:rPr>
                <w:sz w:val="20"/>
              </w:rPr>
              <w:t>58,619</w:t>
            </w:r>
          </w:p>
        </w:tc>
        <w:tc>
          <w:tcPr>
            <w:tcW w:w="1265" w:type="dxa"/>
          </w:tcPr>
          <w:p>
            <w:pPr>
              <w:pStyle w:val="TableParagraph"/>
              <w:spacing w:line="227" w:lineRule="exact"/>
              <w:ind w:right="48"/>
              <w:rPr>
                <w:sz w:val="20"/>
              </w:rPr>
            </w:pPr>
            <w:r>
              <w:rPr>
                <w:sz w:val="20"/>
              </w:rPr>
              <w:t>20,343</w:t>
            </w:r>
          </w:p>
        </w:tc>
      </w:tr>
      <w:tr>
        <w:trPr>
          <w:trHeight w:val="458" w:hRule="exact"/>
        </w:trPr>
        <w:tc>
          <w:tcPr>
            <w:tcW w:w="2796" w:type="dxa"/>
          </w:tcPr>
          <w:p>
            <w:pPr>
              <w:pStyle w:val="TableParagraph"/>
              <w:ind w:left="50"/>
              <w:jc w:val="left"/>
              <w:rPr>
                <w:sz w:val="20"/>
              </w:rPr>
            </w:pPr>
            <w:r>
              <w:rPr>
                <w:sz w:val="20"/>
              </w:rPr>
              <w:t>Net income per common and common equivalent share</w:t>
            </w:r>
          </w:p>
        </w:tc>
        <w:tc>
          <w:tcPr>
            <w:tcW w:w="1637" w:type="dxa"/>
          </w:tcPr>
          <w:p>
            <w:pPr>
              <w:pStyle w:val="TableParagraph"/>
              <w:spacing w:line="227" w:lineRule="exact"/>
              <w:ind w:right="219"/>
              <w:rPr>
                <w:sz w:val="20"/>
              </w:rPr>
            </w:pPr>
            <w:r>
              <w:rPr>
                <w:sz w:val="20"/>
              </w:rPr>
              <w:t>.28</w:t>
            </w:r>
          </w:p>
        </w:tc>
        <w:tc>
          <w:tcPr>
            <w:tcW w:w="1430" w:type="dxa"/>
          </w:tcPr>
          <w:p>
            <w:pPr>
              <w:pStyle w:val="TableParagraph"/>
              <w:spacing w:line="227" w:lineRule="exact"/>
              <w:ind w:right="210"/>
              <w:rPr>
                <w:sz w:val="20"/>
              </w:rPr>
            </w:pPr>
            <w:r>
              <w:rPr>
                <w:sz w:val="20"/>
              </w:rPr>
              <w:t>.40</w:t>
            </w:r>
          </w:p>
        </w:tc>
        <w:tc>
          <w:tcPr>
            <w:tcW w:w="1454" w:type="dxa"/>
          </w:tcPr>
          <w:p>
            <w:pPr>
              <w:pStyle w:val="TableParagraph"/>
              <w:spacing w:line="227" w:lineRule="exact"/>
              <w:ind w:right="224"/>
              <w:rPr>
                <w:sz w:val="20"/>
              </w:rPr>
            </w:pPr>
            <w:r>
              <w:rPr>
                <w:sz w:val="20"/>
              </w:rPr>
              <w:t>.40</w:t>
            </w:r>
          </w:p>
        </w:tc>
        <w:tc>
          <w:tcPr>
            <w:tcW w:w="1265" w:type="dxa"/>
          </w:tcPr>
          <w:p>
            <w:pPr>
              <w:pStyle w:val="TableParagraph"/>
              <w:spacing w:line="227" w:lineRule="exact"/>
              <w:ind w:right="49"/>
              <w:rPr>
                <w:sz w:val="20"/>
              </w:rPr>
            </w:pPr>
            <w:r>
              <w:rPr>
                <w:sz w:val="20"/>
              </w:rPr>
              <w:t>.14</w:t>
            </w:r>
          </w:p>
        </w:tc>
      </w:tr>
    </w:tbl>
    <w:p>
      <w:pPr>
        <w:pStyle w:val="BodyText"/>
        <w:spacing w:before="5"/>
        <w:rPr>
          <w:b/>
        </w:rPr>
      </w:pPr>
    </w:p>
    <w:p>
      <w:pPr>
        <w:spacing w:before="0"/>
        <w:ind w:left="159" w:right="0" w:firstLine="0"/>
        <w:jc w:val="left"/>
        <w:rPr>
          <w:b/>
          <w:sz w:val="20"/>
        </w:rPr>
      </w:pPr>
      <w:bookmarkStart w:name="_TOC_250002" w:id="3"/>
      <w:bookmarkEnd w:id="3"/>
      <w:r>
        <w:rPr>
          <w:b/>
          <w:sz w:val="20"/>
        </w:rPr>
        <w:t>COMMON STOCK PRICE RANGES AND DIVIDENDS</w:t>
      </w:r>
    </w:p>
    <w:p>
      <w:pPr>
        <w:pStyle w:val="BodyText"/>
        <w:spacing w:before="5"/>
        <w:rPr>
          <w:b/>
        </w:rPr>
      </w:pPr>
    </w:p>
    <w:p>
      <w:pPr>
        <w:pStyle w:val="BodyText"/>
        <w:ind w:left="159"/>
      </w:pPr>
      <w:r>
        <w:rPr/>
        <w:t>Southwest’s common stock is listed on the New York Stock Exchange and is traded under the symbol LUV. The high and low sales prices of the common stock on the Composite Tape and the quarterly dividends per share were:</w:t>
      </w:r>
    </w:p>
    <w:p>
      <w:pPr>
        <w:pStyle w:val="BodyText"/>
        <w:spacing w:before="5"/>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42"/>
        <w:gridCol w:w="3105"/>
        <w:gridCol w:w="1454"/>
        <w:gridCol w:w="1181"/>
      </w:tblGrid>
      <w:tr>
        <w:trPr>
          <w:trHeight w:val="228" w:hRule="exact"/>
        </w:trPr>
        <w:tc>
          <w:tcPr>
            <w:tcW w:w="2842" w:type="dxa"/>
          </w:tcPr>
          <w:p>
            <w:pPr>
              <w:pStyle w:val="TableParagraph"/>
              <w:spacing w:line="225" w:lineRule="exact"/>
              <w:ind w:left="50"/>
              <w:jc w:val="left"/>
              <w:rPr>
                <w:sz w:val="20"/>
              </w:rPr>
            </w:pPr>
            <w:r>
              <w:rPr>
                <w:sz w:val="20"/>
              </w:rPr>
              <w:t>Period</w:t>
            </w:r>
          </w:p>
        </w:tc>
        <w:tc>
          <w:tcPr>
            <w:tcW w:w="3105" w:type="dxa"/>
          </w:tcPr>
          <w:p>
            <w:pPr>
              <w:pStyle w:val="TableParagraph"/>
              <w:spacing w:line="225" w:lineRule="exact"/>
              <w:ind w:left="1724"/>
              <w:jc w:val="left"/>
              <w:rPr>
                <w:sz w:val="20"/>
              </w:rPr>
            </w:pPr>
            <w:r>
              <w:rPr>
                <w:sz w:val="20"/>
              </w:rPr>
              <w:t>Dividends</w:t>
            </w:r>
          </w:p>
        </w:tc>
        <w:tc>
          <w:tcPr>
            <w:tcW w:w="1454" w:type="dxa"/>
          </w:tcPr>
          <w:p>
            <w:pPr>
              <w:pStyle w:val="TableParagraph"/>
              <w:spacing w:line="225" w:lineRule="exact"/>
              <w:ind w:left="294"/>
              <w:jc w:val="left"/>
              <w:rPr>
                <w:sz w:val="20"/>
              </w:rPr>
            </w:pPr>
            <w:r>
              <w:rPr>
                <w:sz w:val="20"/>
              </w:rPr>
              <w:t>High</w:t>
            </w:r>
          </w:p>
        </w:tc>
        <w:tc>
          <w:tcPr>
            <w:tcW w:w="1181" w:type="dxa"/>
          </w:tcPr>
          <w:p>
            <w:pPr>
              <w:pStyle w:val="TableParagraph"/>
              <w:spacing w:line="225" w:lineRule="exact"/>
              <w:ind w:left="309"/>
              <w:jc w:val="left"/>
              <w:rPr>
                <w:sz w:val="20"/>
              </w:rPr>
            </w:pPr>
            <w:r>
              <w:rPr>
                <w:sz w:val="20"/>
              </w:rPr>
              <w:t>Low</w:t>
            </w:r>
          </w:p>
        </w:tc>
      </w:tr>
      <w:tr>
        <w:trPr>
          <w:trHeight w:val="230" w:hRule="exact"/>
        </w:trPr>
        <w:tc>
          <w:tcPr>
            <w:tcW w:w="2842" w:type="dxa"/>
          </w:tcPr>
          <w:p>
            <w:pPr>
              <w:pStyle w:val="TableParagraph"/>
              <w:spacing w:line="227" w:lineRule="exact"/>
              <w:ind w:left="50"/>
              <w:jc w:val="left"/>
              <w:rPr>
                <w:sz w:val="20"/>
              </w:rPr>
            </w:pPr>
            <w:r>
              <w:rPr>
                <w:sz w:val="20"/>
              </w:rPr>
              <w:t>1995</w:t>
            </w:r>
          </w:p>
        </w:tc>
        <w:tc>
          <w:tcPr>
            <w:tcW w:w="3105" w:type="dxa"/>
          </w:tcPr>
          <w:p>
            <w:pPr/>
          </w:p>
        </w:tc>
        <w:tc>
          <w:tcPr>
            <w:tcW w:w="1454" w:type="dxa"/>
          </w:tcPr>
          <w:p>
            <w:pPr/>
          </w:p>
        </w:tc>
        <w:tc>
          <w:tcPr>
            <w:tcW w:w="1181" w:type="dxa"/>
          </w:tcPr>
          <w:p>
            <w:pPr/>
          </w:p>
        </w:tc>
      </w:tr>
      <w:tr>
        <w:trPr>
          <w:trHeight w:val="230" w:hRule="exact"/>
        </w:trPr>
        <w:tc>
          <w:tcPr>
            <w:tcW w:w="2842" w:type="dxa"/>
          </w:tcPr>
          <w:p>
            <w:pPr>
              <w:pStyle w:val="TableParagraph"/>
              <w:spacing w:line="227" w:lineRule="exact"/>
              <w:ind w:left="50"/>
              <w:jc w:val="left"/>
              <w:rPr>
                <w:sz w:val="20"/>
              </w:rPr>
            </w:pPr>
            <w:r>
              <w:rPr>
                <w:sz w:val="20"/>
              </w:rPr>
              <w:t>1st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$19.63</w:t>
            </w:r>
          </w:p>
        </w:tc>
        <w:tc>
          <w:tcPr>
            <w:tcW w:w="1181" w:type="dxa"/>
          </w:tcPr>
          <w:p>
            <w:pPr>
              <w:pStyle w:val="TableParagraph"/>
              <w:spacing w:line="227" w:lineRule="exact"/>
              <w:ind w:right="48"/>
              <w:rPr>
                <w:sz w:val="20"/>
              </w:rPr>
            </w:pPr>
            <w:r>
              <w:rPr>
                <w:sz w:val="20"/>
              </w:rPr>
              <w:t>$16.38</w:t>
            </w:r>
          </w:p>
        </w:tc>
      </w:tr>
      <w:tr>
        <w:trPr>
          <w:trHeight w:val="230" w:hRule="exact"/>
        </w:trPr>
        <w:tc>
          <w:tcPr>
            <w:tcW w:w="2842" w:type="dxa"/>
          </w:tcPr>
          <w:p>
            <w:pPr>
              <w:pStyle w:val="TableParagraph"/>
              <w:spacing w:line="227" w:lineRule="exact"/>
              <w:ind w:left="50"/>
              <w:jc w:val="left"/>
              <w:rPr>
                <w:sz w:val="20"/>
              </w:rPr>
            </w:pPr>
            <w:r>
              <w:rPr>
                <w:sz w:val="20"/>
              </w:rPr>
              <w:t>2nd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24.75</w:t>
            </w:r>
          </w:p>
        </w:tc>
        <w:tc>
          <w:tcPr>
            <w:tcW w:w="1181" w:type="dxa"/>
          </w:tcPr>
          <w:p>
            <w:pPr>
              <w:pStyle w:val="TableParagraph"/>
              <w:spacing w:line="227" w:lineRule="exact"/>
              <w:ind w:right="48"/>
              <w:rPr>
                <w:sz w:val="20"/>
              </w:rPr>
            </w:pPr>
            <w:r>
              <w:rPr>
                <w:sz w:val="20"/>
              </w:rPr>
              <w:t>17.63</w:t>
            </w:r>
          </w:p>
        </w:tc>
      </w:tr>
      <w:tr>
        <w:trPr>
          <w:trHeight w:val="230" w:hRule="exact"/>
        </w:trPr>
        <w:tc>
          <w:tcPr>
            <w:tcW w:w="2842" w:type="dxa"/>
          </w:tcPr>
          <w:p>
            <w:pPr>
              <w:pStyle w:val="TableParagraph"/>
              <w:spacing w:line="227" w:lineRule="exact"/>
              <w:ind w:left="50"/>
              <w:jc w:val="left"/>
              <w:rPr>
                <w:sz w:val="20"/>
              </w:rPr>
            </w:pPr>
            <w:r>
              <w:rPr>
                <w:sz w:val="20"/>
              </w:rPr>
              <w:t>3rd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28.38</w:t>
            </w:r>
          </w:p>
        </w:tc>
        <w:tc>
          <w:tcPr>
            <w:tcW w:w="1181" w:type="dxa"/>
          </w:tcPr>
          <w:p>
            <w:pPr>
              <w:pStyle w:val="TableParagraph"/>
              <w:spacing w:line="227" w:lineRule="exact"/>
              <w:ind w:right="48"/>
              <w:rPr>
                <w:sz w:val="20"/>
              </w:rPr>
            </w:pPr>
            <w:r>
              <w:rPr>
                <w:sz w:val="20"/>
              </w:rPr>
              <w:t>23.63</w:t>
            </w:r>
          </w:p>
        </w:tc>
      </w:tr>
      <w:tr>
        <w:trPr>
          <w:trHeight w:val="230" w:hRule="exact"/>
        </w:trPr>
        <w:tc>
          <w:tcPr>
            <w:tcW w:w="2842" w:type="dxa"/>
          </w:tcPr>
          <w:p>
            <w:pPr>
              <w:pStyle w:val="TableParagraph"/>
              <w:spacing w:line="227" w:lineRule="exact"/>
              <w:ind w:left="50"/>
              <w:jc w:val="left"/>
              <w:rPr>
                <w:sz w:val="20"/>
              </w:rPr>
            </w:pPr>
            <w:r>
              <w:rPr>
                <w:sz w:val="20"/>
              </w:rPr>
              <w:t>4th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26.88</w:t>
            </w:r>
          </w:p>
        </w:tc>
        <w:tc>
          <w:tcPr>
            <w:tcW w:w="1181" w:type="dxa"/>
          </w:tcPr>
          <w:p>
            <w:pPr>
              <w:pStyle w:val="TableParagraph"/>
              <w:spacing w:line="227" w:lineRule="exact"/>
              <w:ind w:right="48"/>
              <w:rPr>
                <w:sz w:val="20"/>
              </w:rPr>
            </w:pPr>
            <w:r>
              <w:rPr>
                <w:sz w:val="20"/>
              </w:rPr>
              <w:t>19.75</w:t>
            </w:r>
          </w:p>
        </w:tc>
      </w:tr>
      <w:tr>
        <w:trPr>
          <w:trHeight w:val="230" w:hRule="exact"/>
        </w:trPr>
        <w:tc>
          <w:tcPr>
            <w:tcW w:w="2842" w:type="dxa"/>
          </w:tcPr>
          <w:p>
            <w:pPr>
              <w:pStyle w:val="TableParagraph"/>
              <w:spacing w:line="227" w:lineRule="exact"/>
              <w:ind w:left="50"/>
              <w:jc w:val="left"/>
              <w:rPr>
                <w:sz w:val="20"/>
              </w:rPr>
            </w:pPr>
            <w:r>
              <w:rPr>
                <w:sz w:val="20"/>
              </w:rPr>
              <w:t>1994</w:t>
            </w:r>
          </w:p>
        </w:tc>
        <w:tc>
          <w:tcPr>
            <w:tcW w:w="3105" w:type="dxa"/>
          </w:tcPr>
          <w:p>
            <w:pPr/>
          </w:p>
        </w:tc>
        <w:tc>
          <w:tcPr>
            <w:tcW w:w="1454" w:type="dxa"/>
          </w:tcPr>
          <w:p>
            <w:pPr/>
          </w:p>
        </w:tc>
        <w:tc>
          <w:tcPr>
            <w:tcW w:w="1181" w:type="dxa"/>
          </w:tcPr>
          <w:p>
            <w:pPr/>
          </w:p>
        </w:tc>
      </w:tr>
      <w:tr>
        <w:trPr>
          <w:trHeight w:val="230" w:hRule="exact"/>
        </w:trPr>
        <w:tc>
          <w:tcPr>
            <w:tcW w:w="2842" w:type="dxa"/>
          </w:tcPr>
          <w:p>
            <w:pPr>
              <w:pStyle w:val="TableParagraph"/>
              <w:spacing w:line="227" w:lineRule="exact"/>
              <w:ind w:left="50"/>
              <w:jc w:val="left"/>
              <w:rPr>
                <w:sz w:val="20"/>
              </w:rPr>
            </w:pPr>
            <w:r>
              <w:rPr>
                <w:sz w:val="20"/>
              </w:rPr>
              <w:t>1st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$39.00</w:t>
            </w:r>
          </w:p>
        </w:tc>
        <w:tc>
          <w:tcPr>
            <w:tcW w:w="1181" w:type="dxa"/>
          </w:tcPr>
          <w:p>
            <w:pPr>
              <w:pStyle w:val="TableParagraph"/>
              <w:spacing w:line="227" w:lineRule="exact"/>
              <w:ind w:right="48"/>
              <w:rPr>
                <w:sz w:val="20"/>
              </w:rPr>
            </w:pPr>
            <w:r>
              <w:rPr>
                <w:sz w:val="20"/>
              </w:rPr>
              <w:t>$31.25</w:t>
            </w:r>
          </w:p>
        </w:tc>
      </w:tr>
      <w:tr>
        <w:trPr>
          <w:trHeight w:val="230" w:hRule="exact"/>
        </w:trPr>
        <w:tc>
          <w:tcPr>
            <w:tcW w:w="2842" w:type="dxa"/>
          </w:tcPr>
          <w:p>
            <w:pPr>
              <w:pStyle w:val="TableParagraph"/>
              <w:spacing w:line="227" w:lineRule="exact"/>
              <w:ind w:left="50"/>
              <w:jc w:val="left"/>
              <w:rPr>
                <w:sz w:val="20"/>
              </w:rPr>
            </w:pPr>
            <w:r>
              <w:rPr>
                <w:sz w:val="20"/>
              </w:rPr>
              <w:t>2nd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34.38</w:t>
            </w:r>
          </w:p>
        </w:tc>
        <w:tc>
          <w:tcPr>
            <w:tcW w:w="1181" w:type="dxa"/>
          </w:tcPr>
          <w:p>
            <w:pPr>
              <w:pStyle w:val="TableParagraph"/>
              <w:spacing w:line="227" w:lineRule="exact"/>
              <w:ind w:right="48"/>
              <w:rPr>
                <w:sz w:val="20"/>
              </w:rPr>
            </w:pPr>
            <w:r>
              <w:rPr>
                <w:sz w:val="20"/>
              </w:rPr>
              <w:t>24.13</w:t>
            </w:r>
          </w:p>
        </w:tc>
      </w:tr>
      <w:tr>
        <w:trPr>
          <w:trHeight w:val="230" w:hRule="exact"/>
        </w:trPr>
        <w:tc>
          <w:tcPr>
            <w:tcW w:w="2842" w:type="dxa"/>
          </w:tcPr>
          <w:p>
            <w:pPr>
              <w:pStyle w:val="TableParagraph"/>
              <w:spacing w:line="227" w:lineRule="exact"/>
              <w:ind w:left="50"/>
              <w:jc w:val="left"/>
              <w:rPr>
                <w:sz w:val="20"/>
              </w:rPr>
            </w:pPr>
            <w:r>
              <w:rPr>
                <w:sz w:val="20"/>
              </w:rPr>
              <w:t>3rd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29.63</w:t>
            </w:r>
          </w:p>
        </w:tc>
        <w:tc>
          <w:tcPr>
            <w:tcW w:w="1181" w:type="dxa"/>
          </w:tcPr>
          <w:p>
            <w:pPr>
              <w:pStyle w:val="TableParagraph"/>
              <w:spacing w:line="227" w:lineRule="exact"/>
              <w:ind w:right="48"/>
              <w:rPr>
                <w:sz w:val="20"/>
              </w:rPr>
            </w:pPr>
            <w:r>
              <w:rPr>
                <w:sz w:val="20"/>
              </w:rPr>
              <w:t>21.63</w:t>
            </w:r>
          </w:p>
        </w:tc>
      </w:tr>
      <w:tr>
        <w:trPr>
          <w:trHeight w:val="228" w:hRule="exact"/>
        </w:trPr>
        <w:tc>
          <w:tcPr>
            <w:tcW w:w="2842" w:type="dxa"/>
          </w:tcPr>
          <w:p>
            <w:pPr>
              <w:pStyle w:val="TableParagraph"/>
              <w:spacing w:line="227" w:lineRule="exact"/>
              <w:ind w:left="50"/>
              <w:jc w:val="left"/>
              <w:rPr>
                <w:sz w:val="20"/>
              </w:rPr>
            </w:pPr>
            <w:r>
              <w:rPr>
                <w:sz w:val="20"/>
              </w:rPr>
              <w:t>4th Quarter</w:t>
            </w:r>
          </w:p>
        </w:tc>
        <w:tc>
          <w:tcPr>
            <w:tcW w:w="3105" w:type="dxa"/>
          </w:tcPr>
          <w:p>
            <w:pPr>
              <w:pStyle w:val="TableParagraph"/>
              <w:spacing w:line="227" w:lineRule="exact"/>
              <w:ind w:right="294"/>
              <w:rPr>
                <w:sz w:val="20"/>
              </w:rPr>
            </w:pPr>
            <w:r>
              <w:rPr>
                <w:sz w:val="20"/>
              </w:rPr>
              <w:t>.01</w:t>
            </w:r>
          </w:p>
        </w:tc>
        <w:tc>
          <w:tcPr>
            <w:tcW w:w="1454" w:type="dxa"/>
          </w:tcPr>
          <w:p>
            <w:pPr>
              <w:pStyle w:val="TableParagraph"/>
              <w:spacing w:line="227" w:lineRule="exact"/>
              <w:ind w:right="307"/>
              <w:rPr>
                <w:sz w:val="20"/>
              </w:rPr>
            </w:pPr>
            <w:r>
              <w:rPr>
                <w:sz w:val="20"/>
              </w:rPr>
              <w:t>23.63</w:t>
            </w:r>
          </w:p>
        </w:tc>
        <w:tc>
          <w:tcPr>
            <w:tcW w:w="1181" w:type="dxa"/>
          </w:tcPr>
          <w:p>
            <w:pPr>
              <w:pStyle w:val="TableParagraph"/>
              <w:spacing w:line="227" w:lineRule="exact"/>
              <w:ind w:right="48"/>
              <w:rPr>
                <w:sz w:val="20"/>
              </w:rPr>
            </w:pPr>
            <w:r>
              <w:rPr>
                <w:sz w:val="20"/>
              </w:rPr>
              <w:t>15.50</w:t>
            </w:r>
          </w:p>
        </w:tc>
      </w:tr>
    </w:tbl>
    <w:p>
      <w:pPr>
        <w:spacing w:after="0" w:line="227" w:lineRule="exact"/>
        <w:rPr>
          <w:sz w:val="20"/>
        </w:rPr>
        <w:sectPr>
          <w:footerReference w:type="default" r:id="rId12"/>
          <w:pgSz w:w="12240" w:h="15840"/>
          <w:pgMar w:footer="790" w:header="0" w:top="1360" w:bottom="980" w:left="1640" w:right="1680"/>
        </w:sectPr>
      </w:pPr>
    </w:p>
    <w:p>
      <w:pPr>
        <w:pStyle w:val="BodyText"/>
      </w:pPr>
    </w:p>
    <w:p>
      <w:pPr>
        <w:pStyle w:val="BodyText"/>
        <w:spacing w:before="11"/>
        <w:rPr>
          <w:sz w:val="23"/>
        </w:rPr>
      </w:pPr>
    </w:p>
    <w:p>
      <w:pPr>
        <w:pStyle w:val="Heading1"/>
        <w:spacing w:before="92"/>
        <w:ind w:left="160"/>
      </w:pPr>
      <w:bookmarkStart w:name="_TOC_250001" w:id="4"/>
      <w:bookmarkEnd w:id="4"/>
      <w:r>
        <w:rPr/>
        <w:t>Ten Year Summary</w:t>
      </w:r>
    </w:p>
    <w:p>
      <w:pPr>
        <w:pStyle w:val="BodyText"/>
        <w:spacing w:before="10"/>
        <w:rPr>
          <w:b/>
          <w:sz w:val="26"/>
        </w:rPr>
      </w:pPr>
    </w:p>
    <w:p>
      <w:pPr>
        <w:spacing w:before="0" w:after="17"/>
        <w:ind w:left="160" w:right="0" w:firstLine="0"/>
        <w:jc w:val="left"/>
        <w:rPr>
          <w:b/>
          <w:sz w:val="24"/>
        </w:rPr>
      </w:pPr>
      <w:r>
        <w:rPr>
          <w:b/>
          <w:sz w:val="24"/>
        </w:rPr>
        <w:t>Selected Consolidated Financial Data (1)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4"/>
        <w:gridCol w:w="1131"/>
        <w:gridCol w:w="1442"/>
        <w:gridCol w:w="1426"/>
        <w:gridCol w:w="1114"/>
        <w:gridCol w:w="1109"/>
        <w:gridCol w:w="1090"/>
        <w:gridCol w:w="793"/>
      </w:tblGrid>
      <w:tr>
        <w:trPr>
          <w:trHeight w:val="182" w:hRule="exact"/>
        </w:trPr>
        <w:tc>
          <w:tcPr>
            <w:tcW w:w="3164" w:type="dxa"/>
          </w:tcPr>
          <w:p>
            <w:pPr>
              <w:pStyle w:val="TableParagraph"/>
              <w:spacing w:line="177" w:lineRule="exact"/>
              <w:ind w:left="94"/>
              <w:jc w:val="left"/>
              <w:rPr>
                <w:sz w:val="16"/>
              </w:rPr>
            </w:pPr>
            <w:r>
              <w:rPr>
                <w:sz w:val="16"/>
              </w:rPr>
              <w:t>(in thousands except per share amounts)</w:t>
            </w:r>
          </w:p>
        </w:tc>
        <w:tc>
          <w:tcPr>
            <w:tcW w:w="1131" w:type="dxa"/>
          </w:tcPr>
          <w:p>
            <w:pPr>
              <w:pStyle w:val="TableParagraph"/>
              <w:spacing w:line="177" w:lineRule="exact"/>
              <w:ind w:left="375"/>
              <w:jc w:val="left"/>
              <w:rPr>
                <w:sz w:val="16"/>
              </w:rPr>
            </w:pPr>
            <w:r>
              <w:rPr>
                <w:sz w:val="16"/>
              </w:rPr>
              <w:t>1995</w:t>
            </w:r>
          </w:p>
        </w:tc>
        <w:tc>
          <w:tcPr>
            <w:tcW w:w="1442" w:type="dxa"/>
          </w:tcPr>
          <w:p>
            <w:pPr>
              <w:pStyle w:val="TableParagraph"/>
              <w:spacing w:line="177" w:lineRule="exact"/>
              <w:ind w:left="468"/>
              <w:jc w:val="left"/>
              <w:rPr>
                <w:sz w:val="16"/>
              </w:rPr>
            </w:pPr>
            <w:r>
              <w:rPr>
                <w:sz w:val="16"/>
              </w:rPr>
              <w:t>1994</w:t>
            </w:r>
          </w:p>
        </w:tc>
        <w:tc>
          <w:tcPr>
            <w:tcW w:w="1426" w:type="dxa"/>
          </w:tcPr>
          <w:p>
            <w:pPr>
              <w:pStyle w:val="TableParagraph"/>
              <w:spacing w:line="177" w:lineRule="exact"/>
              <w:ind w:left="467"/>
              <w:jc w:val="left"/>
              <w:rPr>
                <w:sz w:val="16"/>
              </w:rPr>
            </w:pPr>
            <w:r>
              <w:rPr>
                <w:sz w:val="16"/>
              </w:rPr>
              <w:t>1993</w:t>
            </w:r>
          </w:p>
        </w:tc>
        <w:tc>
          <w:tcPr>
            <w:tcW w:w="1114" w:type="dxa"/>
          </w:tcPr>
          <w:p>
            <w:pPr>
              <w:pStyle w:val="TableParagraph"/>
              <w:spacing w:line="177" w:lineRule="exact"/>
              <w:ind w:left="318"/>
              <w:jc w:val="left"/>
              <w:rPr>
                <w:sz w:val="16"/>
              </w:rPr>
            </w:pPr>
            <w:r>
              <w:rPr>
                <w:sz w:val="16"/>
              </w:rPr>
              <w:t>1992</w:t>
            </w:r>
          </w:p>
        </w:tc>
        <w:tc>
          <w:tcPr>
            <w:tcW w:w="1109" w:type="dxa"/>
          </w:tcPr>
          <w:p>
            <w:pPr>
              <w:pStyle w:val="TableParagraph"/>
              <w:spacing w:line="177" w:lineRule="exact"/>
              <w:ind w:left="312"/>
              <w:jc w:val="left"/>
              <w:rPr>
                <w:sz w:val="16"/>
              </w:rPr>
            </w:pPr>
            <w:r>
              <w:rPr>
                <w:sz w:val="16"/>
              </w:rPr>
              <w:t>1991</w:t>
            </w:r>
          </w:p>
        </w:tc>
        <w:tc>
          <w:tcPr>
            <w:tcW w:w="1090" w:type="dxa"/>
          </w:tcPr>
          <w:p>
            <w:pPr>
              <w:pStyle w:val="TableParagraph"/>
              <w:spacing w:line="177" w:lineRule="exact"/>
              <w:ind w:left="312"/>
              <w:jc w:val="left"/>
              <w:rPr>
                <w:sz w:val="16"/>
              </w:rPr>
            </w:pPr>
            <w:r>
              <w:rPr>
                <w:sz w:val="16"/>
              </w:rPr>
              <w:t>1990</w:t>
            </w:r>
          </w:p>
        </w:tc>
        <w:tc>
          <w:tcPr>
            <w:tcW w:w="793" w:type="dxa"/>
          </w:tcPr>
          <w:p>
            <w:pPr>
              <w:pStyle w:val="TableParagraph"/>
              <w:spacing w:line="177" w:lineRule="exact"/>
              <w:ind w:right="104"/>
              <w:rPr>
                <w:sz w:val="16"/>
              </w:rPr>
            </w:pPr>
            <w:r>
              <w:rPr>
                <w:w w:val="95"/>
                <w:sz w:val="16"/>
              </w:rPr>
              <w:t>1989</w:t>
            </w:r>
          </w:p>
        </w:tc>
      </w:tr>
      <w:tr>
        <w:trPr>
          <w:trHeight w:val="187" w:hRule="exact"/>
        </w:trPr>
        <w:tc>
          <w:tcPr>
            <w:tcW w:w="3164" w:type="dxa"/>
          </w:tcPr>
          <w:p>
            <w:pPr>
              <w:pStyle w:val="TableParagraph"/>
              <w:spacing w:line="182" w:lineRule="exact"/>
              <w:ind w:left="50"/>
              <w:jc w:val="left"/>
              <w:rPr>
                <w:sz w:val="16"/>
              </w:rPr>
            </w:pPr>
            <w:r>
              <w:rPr>
                <w:sz w:val="16"/>
              </w:rPr>
              <w:t>Operating revenues:</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Passenger</w:t>
            </w:r>
          </w:p>
        </w:tc>
        <w:tc>
          <w:tcPr>
            <w:tcW w:w="1131" w:type="dxa"/>
          </w:tcPr>
          <w:p>
            <w:pPr>
              <w:pStyle w:val="TableParagraph"/>
              <w:spacing w:line="182" w:lineRule="exact"/>
              <w:ind w:right="154"/>
              <w:rPr>
                <w:sz w:val="16"/>
              </w:rPr>
            </w:pPr>
            <w:r>
              <w:rPr>
                <w:sz w:val="16"/>
              </w:rPr>
              <w:t>$2,760,756</w:t>
            </w:r>
          </w:p>
        </w:tc>
        <w:tc>
          <w:tcPr>
            <w:tcW w:w="1442" w:type="dxa"/>
          </w:tcPr>
          <w:p>
            <w:pPr>
              <w:pStyle w:val="TableParagraph"/>
              <w:spacing w:line="182" w:lineRule="exact"/>
              <w:ind w:right="161"/>
              <w:rPr>
                <w:sz w:val="16"/>
              </w:rPr>
            </w:pPr>
            <w:r>
              <w:rPr>
                <w:sz w:val="16"/>
              </w:rPr>
              <w:t>$2,497,765</w:t>
            </w:r>
          </w:p>
        </w:tc>
        <w:tc>
          <w:tcPr>
            <w:tcW w:w="1426" w:type="dxa"/>
          </w:tcPr>
          <w:p>
            <w:pPr>
              <w:pStyle w:val="TableParagraph"/>
              <w:spacing w:line="182" w:lineRule="exact"/>
              <w:ind w:right="147"/>
              <w:rPr>
                <w:sz w:val="16"/>
              </w:rPr>
            </w:pPr>
            <w:r>
              <w:rPr>
                <w:sz w:val="16"/>
              </w:rPr>
              <w:t>$1,144,421</w:t>
            </w:r>
          </w:p>
        </w:tc>
        <w:tc>
          <w:tcPr>
            <w:tcW w:w="1114" w:type="dxa"/>
          </w:tcPr>
          <w:p>
            <w:pPr>
              <w:pStyle w:val="TableParagraph"/>
              <w:spacing w:line="182" w:lineRule="exact"/>
              <w:ind w:right="156"/>
              <w:rPr>
                <w:sz w:val="16"/>
              </w:rPr>
            </w:pPr>
            <w:r>
              <w:rPr>
                <w:w w:val="95"/>
                <w:sz w:val="16"/>
              </w:rPr>
              <w:t>$973,568</w:t>
            </w:r>
          </w:p>
        </w:tc>
        <w:tc>
          <w:tcPr>
            <w:tcW w:w="1109" w:type="dxa"/>
          </w:tcPr>
          <w:p>
            <w:pPr>
              <w:pStyle w:val="TableParagraph"/>
              <w:spacing w:line="182" w:lineRule="exact"/>
              <w:ind w:right="152"/>
              <w:rPr>
                <w:sz w:val="16"/>
              </w:rPr>
            </w:pPr>
            <w:r>
              <w:rPr>
                <w:sz w:val="16"/>
              </w:rPr>
              <w:t>$1,267,897</w:t>
            </w:r>
          </w:p>
        </w:tc>
        <w:tc>
          <w:tcPr>
            <w:tcW w:w="1090" w:type="dxa"/>
          </w:tcPr>
          <w:p>
            <w:pPr>
              <w:pStyle w:val="TableParagraph"/>
              <w:spacing w:line="182" w:lineRule="exact"/>
              <w:ind w:right="133"/>
              <w:rPr>
                <w:sz w:val="16"/>
              </w:rPr>
            </w:pPr>
            <w:r>
              <w:rPr>
                <w:sz w:val="16"/>
              </w:rPr>
              <w:t>$1,144,421</w:t>
            </w:r>
          </w:p>
        </w:tc>
        <w:tc>
          <w:tcPr>
            <w:tcW w:w="793" w:type="dxa"/>
          </w:tcPr>
          <w:p>
            <w:pPr>
              <w:pStyle w:val="TableParagraph"/>
              <w:spacing w:line="182" w:lineRule="exact"/>
              <w:ind w:right="88"/>
              <w:rPr>
                <w:sz w:val="16"/>
              </w:rPr>
            </w:pPr>
            <w:r>
              <w:rPr>
                <w:w w:val="95"/>
                <w:sz w:val="16"/>
              </w:rPr>
              <w:t>$973,</w:t>
            </w:r>
          </w:p>
        </w:tc>
      </w:tr>
      <w:tr>
        <w:trPr>
          <w:trHeight w:val="187" w:hRule="exact"/>
        </w:trPr>
        <w:tc>
          <w:tcPr>
            <w:tcW w:w="3164" w:type="dxa"/>
          </w:tcPr>
          <w:p>
            <w:pPr>
              <w:pStyle w:val="TableParagraph"/>
              <w:spacing w:line="182" w:lineRule="exact"/>
              <w:ind w:left="50"/>
              <w:jc w:val="left"/>
              <w:rPr>
                <w:sz w:val="16"/>
              </w:rPr>
            </w:pPr>
            <w:r>
              <w:rPr>
                <w:sz w:val="16"/>
              </w:rPr>
              <w:t>Freight</w:t>
            </w:r>
          </w:p>
        </w:tc>
        <w:tc>
          <w:tcPr>
            <w:tcW w:w="1131" w:type="dxa"/>
          </w:tcPr>
          <w:p>
            <w:pPr>
              <w:pStyle w:val="TableParagraph"/>
              <w:spacing w:line="182" w:lineRule="exact"/>
              <w:ind w:right="163"/>
              <w:rPr>
                <w:sz w:val="16"/>
              </w:rPr>
            </w:pPr>
            <w:r>
              <w:rPr>
                <w:w w:val="95"/>
                <w:sz w:val="16"/>
              </w:rPr>
              <w:t>65,825</w:t>
            </w:r>
          </w:p>
        </w:tc>
        <w:tc>
          <w:tcPr>
            <w:tcW w:w="1442" w:type="dxa"/>
          </w:tcPr>
          <w:p>
            <w:pPr>
              <w:pStyle w:val="TableParagraph"/>
              <w:spacing w:line="182" w:lineRule="exact"/>
              <w:ind w:right="170"/>
              <w:rPr>
                <w:sz w:val="16"/>
              </w:rPr>
            </w:pPr>
            <w:r>
              <w:rPr>
                <w:w w:val="95"/>
                <w:sz w:val="16"/>
              </w:rPr>
              <w:t>54,419</w:t>
            </w:r>
          </w:p>
        </w:tc>
        <w:tc>
          <w:tcPr>
            <w:tcW w:w="1426" w:type="dxa"/>
          </w:tcPr>
          <w:p>
            <w:pPr>
              <w:pStyle w:val="TableParagraph"/>
              <w:spacing w:line="182" w:lineRule="exact"/>
              <w:ind w:right="155"/>
              <w:rPr>
                <w:sz w:val="16"/>
              </w:rPr>
            </w:pPr>
            <w:r>
              <w:rPr>
                <w:w w:val="95"/>
                <w:sz w:val="16"/>
              </w:rPr>
              <w:t>42,897</w:t>
            </w:r>
          </w:p>
        </w:tc>
        <w:tc>
          <w:tcPr>
            <w:tcW w:w="1114" w:type="dxa"/>
          </w:tcPr>
          <w:p>
            <w:pPr>
              <w:pStyle w:val="TableParagraph"/>
              <w:spacing w:line="182" w:lineRule="exact"/>
              <w:ind w:right="161"/>
              <w:rPr>
                <w:sz w:val="16"/>
              </w:rPr>
            </w:pPr>
            <w:r>
              <w:rPr>
                <w:w w:val="95"/>
                <w:sz w:val="16"/>
              </w:rPr>
              <w:t>33,088</w:t>
            </w:r>
          </w:p>
        </w:tc>
        <w:tc>
          <w:tcPr>
            <w:tcW w:w="1109" w:type="dxa"/>
          </w:tcPr>
          <w:p>
            <w:pPr>
              <w:pStyle w:val="TableParagraph"/>
              <w:spacing w:line="182" w:lineRule="exact"/>
              <w:ind w:right="161"/>
              <w:rPr>
                <w:sz w:val="16"/>
              </w:rPr>
            </w:pPr>
            <w:r>
              <w:rPr>
                <w:w w:val="95"/>
                <w:sz w:val="16"/>
              </w:rPr>
              <w:t>26,428</w:t>
            </w:r>
          </w:p>
        </w:tc>
        <w:tc>
          <w:tcPr>
            <w:tcW w:w="1090" w:type="dxa"/>
          </w:tcPr>
          <w:p>
            <w:pPr>
              <w:pStyle w:val="TableParagraph"/>
              <w:spacing w:line="182" w:lineRule="exact"/>
              <w:ind w:right="142"/>
              <w:rPr>
                <w:sz w:val="16"/>
              </w:rPr>
            </w:pPr>
            <w:r>
              <w:rPr>
                <w:w w:val="95"/>
                <w:sz w:val="16"/>
              </w:rPr>
              <w:t>22,196</w:t>
            </w:r>
          </w:p>
        </w:tc>
        <w:tc>
          <w:tcPr>
            <w:tcW w:w="793" w:type="dxa"/>
          </w:tcPr>
          <w:p>
            <w:pPr>
              <w:pStyle w:val="TableParagraph"/>
              <w:spacing w:line="182" w:lineRule="exact"/>
              <w:ind w:right="93"/>
              <w:rPr>
                <w:sz w:val="16"/>
              </w:rPr>
            </w:pPr>
            <w:r>
              <w:rPr>
                <w:w w:val="95"/>
                <w:sz w:val="16"/>
              </w:rPr>
              <w:t>18,</w:t>
            </w:r>
          </w:p>
        </w:tc>
      </w:tr>
      <w:tr>
        <w:trPr>
          <w:trHeight w:val="187" w:hRule="exact"/>
        </w:trPr>
        <w:tc>
          <w:tcPr>
            <w:tcW w:w="3164" w:type="dxa"/>
          </w:tcPr>
          <w:p>
            <w:pPr>
              <w:pStyle w:val="TableParagraph"/>
              <w:spacing w:line="182" w:lineRule="exact"/>
              <w:ind w:left="50"/>
              <w:jc w:val="left"/>
              <w:rPr>
                <w:sz w:val="16"/>
              </w:rPr>
            </w:pPr>
            <w:r>
              <w:rPr>
                <w:sz w:val="16"/>
              </w:rPr>
              <w:t>Charter and other</w:t>
            </w:r>
          </w:p>
        </w:tc>
        <w:tc>
          <w:tcPr>
            <w:tcW w:w="1131" w:type="dxa"/>
          </w:tcPr>
          <w:p>
            <w:pPr>
              <w:pStyle w:val="TableParagraph"/>
              <w:spacing w:line="182" w:lineRule="exact"/>
              <w:ind w:right="163"/>
              <w:rPr>
                <w:sz w:val="16"/>
              </w:rPr>
            </w:pPr>
            <w:r>
              <w:rPr>
                <w:w w:val="95"/>
                <w:sz w:val="16"/>
              </w:rPr>
              <w:t>46,170</w:t>
            </w:r>
          </w:p>
        </w:tc>
        <w:tc>
          <w:tcPr>
            <w:tcW w:w="1442" w:type="dxa"/>
          </w:tcPr>
          <w:p>
            <w:pPr>
              <w:pStyle w:val="TableParagraph"/>
              <w:spacing w:line="182" w:lineRule="exact"/>
              <w:ind w:right="170"/>
              <w:rPr>
                <w:sz w:val="16"/>
              </w:rPr>
            </w:pPr>
            <w:r>
              <w:rPr>
                <w:w w:val="95"/>
                <w:sz w:val="16"/>
              </w:rPr>
              <w:t>39,749</w:t>
            </w:r>
          </w:p>
        </w:tc>
        <w:tc>
          <w:tcPr>
            <w:tcW w:w="1426" w:type="dxa"/>
          </w:tcPr>
          <w:p>
            <w:pPr>
              <w:pStyle w:val="TableParagraph"/>
              <w:spacing w:line="182" w:lineRule="exact"/>
              <w:ind w:right="155"/>
              <w:rPr>
                <w:sz w:val="16"/>
              </w:rPr>
            </w:pPr>
            <w:r>
              <w:rPr>
                <w:w w:val="95"/>
                <w:sz w:val="16"/>
              </w:rPr>
              <w:t>37,434</w:t>
            </w:r>
          </w:p>
        </w:tc>
        <w:tc>
          <w:tcPr>
            <w:tcW w:w="1114" w:type="dxa"/>
          </w:tcPr>
          <w:p>
            <w:pPr>
              <w:pStyle w:val="TableParagraph"/>
              <w:spacing w:line="182" w:lineRule="exact"/>
              <w:ind w:right="158"/>
              <w:rPr>
                <w:sz w:val="16"/>
              </w:rPr>
            </w:pPr>
            <w:r>
              <w:rPr>
                <w:w w:val="95"/>
                <w:sz w:val="16"/>
              </w:rPr>
              <w:t>146,063</w:t>
            </w:r>
          </w:p>
        </w:tc>
        <w:tc>
          <w:tcPr>
            <w:tcW w:w="1109" w:type="dxa"/>
          </w:tcPr>
          <w:p>
            <w:pPr>
              <w:pStyle w:val="TableParagraph"/>
              <w:spacing w:line="182" w:lineRule="exact"/>
              <w:ind w:right="161"/>
              <w:rPr>
                <w:sz w:val="16"/>
              </w:rPr>
            </w:pPr>
            <w:r>
              <w:rPr>
                <w:w w:val="95"/>
                <w:sz w:val="16"/>
              </w:rPr>
              <w:t>84,961</w:t>
            </w:r>
          </w:p>
        </w:tc>
        <w:tc>
          <w:tcPr>
            <w:tcW w:w="1090" w:type="dxa"/>
          </w:tcPr>
          <w:p>
            <w:pPr>
              <w:pStyle w:val="TableParagraph"/>
              <w:spacing w:line="182" w:lineRule="exact"/>
              <w:ind w:right="142"/>
              <w:rPr>
                <w:sz w:val="16"/>
              </w:rPr>
            </w:pPr>
            <w:r>
              <w:rPr>
                <w:w w:val="95"/>
                <w:sz w:val="16"/>
              </w:rPr>
              <w:t>70,659</w:t>
            </w:r>
          </w:p>
        </w:tc>
        <w:tc>
          <w:tcPr>
            <w:tcW w:w="793" w:type="dxa"/>
          </w:tcPr>
          <w:p>
            <w:pPr>
              <w:pStyle w:val="TableParagraph"/>
              <w:spacing w:line="182" w:lineRule="exact"/>
              <w:ind w:right="93"/>
              <w:rPr>
                <w:sz w:val="16"/>
              </w:rPr>
            </w:pPr>
            <w:r>
              <w:rPr>
                <w:w w:val="95"/>
                <w:sz w:val="16"/>
              </w:rPr>
              <w:t>65,</w:t>
            </w:r>
          </w:p>
        </w:tc>
      </w:tr>
      <w:tr>
        <w:trPr>
          <w:trHeight w:val="187" w:hRule="exact"/>
        </w:trPr>
        <w:tc>
          <w:tcPr>
            <w:tcW w:w="3164" w:type="dxa"/>
          </w:tcPr>
          <w:p>
            <w:pPr>
              <w:pStyle w:val="TableParagraph"/>
              <w:spacing w:line="182" w:lineRule="exact"/>
              <w:ind w:left="50"/>
              <w:jc w:val="left"/>
              <w:rPr>
                <w:sz w:val="16"/>
              </w:rPr>
            </w:pPr>
            <w:r>
              <w:rPr>
                <w:sz w:val="16"/>
              </w:rPr>
              <w:t>Total operating revenues</w:t>
            </w:r>
          </w:p>
        </w:tc>
        <w:tc>
          <w:tcPr>
            <w:tcW w:w="1131" w:type="dxa"/>
          </w:tcPr>
          <w:p>
            <w:pPr>
              <w:pStyle w:val="TableParagraph"/>
              <w:spacing w:line="182" w:lineRule="exact"/>
              <w:ind w:right="157"/>
              <w:rPr>
                <w:sz w:val="16"/>
              </w:rPr>
            </w:pPr>
            <w:r>
              <w:rPr>
                <w:w w:val="95"/>
                <w:sz w:val="16"/>
              </w:rPr>
              <w:t>2,872,751</w:t>
            </w:r>
          </w:p>
        </w:tc>
        <w:tc>
          <w:tcPr>
            <w:tcW w:w="1442" w:type="dxa"/>
          </w:tcPr>
          <w:p>
            <w:pPr>
              <w:pStyle w:val="TableParagraph"/>
              <w:spacing w:line="182" w:lineRule="exact"/>
              <w:ind w:right="163"/>
              <w:rPr>
                <w:sz w:val="16"/>
              </w:rPr>
            </w:pPr>
            <w:r>
              <w:rPr>
                <w:w w:val="95"/>
                <w:sz w:val="16"/>
              </w:rPr>
              <w:t>2,591,933</w:t>
            </w:r>
          </w:p>
        </w:tc>
        <w:tc>
          <w:tcPr>
            <w:tcW w:w="1426" w:type="dxa"/>
          </w:tcPr>
          <w:p>
            <w:pPr>
              <w:pStyle w:val="TableParagraph"/>
              <w:spacing w:line="182" w:lineRule="exact"/>
              <w:ind w:right="149"/>
              <w:rPr>
                <w:sz w:val="16"/>
              </w:rPr>
            </w:pPr>
            <w:r>
              <w:rPr>
                <w:w w:val="95"/>
                <w:sz w:val="16"/>
              </w:rPr>
              <w:t>2,296,673</w:t>
            </w:r>
          </w:p>
        </w:tc>
        <w:tc>
          <w:tcPr>
            <w:tcW w:w="1114" w:type="dxa"/>
          </w:tcPr>
          <w:p>
            <w:pPr>
              <w:pStyle w:val="TableParagraph"/>
              <w:spacing w:line="182" w:lineRule="exact"/>
              <w:ind w:right="154"/>
              <w:rPr>
                <w:sz w:val="16"/>
              </w:rPr>
            </w:pPr>
            <w:r>
              <w:rPr>
                <w:w w:val="95"/>
                <w:sz w:val="16"/>
              </w:rPr>
              <w:t>1,802,979</w:t>
            </w:r>
          </w:p>
        </w:tc>
        <w:tc>
          <w:tcPr>
            <w:tcW w:w="1109" w:type="dxa"/>
          </w:tcPr>
          <w:p>
            <w:pPr>
              <w:pStyle w:val="TableParagraph"/>
              <w:spacing w:line="182" w:lineRule="exact"/>
              <w:ind w:right="154"/>
              <w:rPr>
                <w:sz w:val="16"/>
              </w:rPr>
            </w:pPr>
            <w:r>
              <w:rPr>
                <w:w w:val="95"/>
                <w:sz w:val="16"/>
              </w:rPr>
              <w:t>1,379,286</w:t>
            </w:r>
          </w:p>
        </w:tc>
        <w:tc>
          <w:tcPr>
            <w:tcW w:w="1090" w:type="dxa"/>
          </w:tcPr>
          <w:p>
            <w:pPr>
              <w:pStyle w:val="TableParagraph"/>
              <w:spacing w:line="182" w:lineRule="exact"/>
              <w:ind w:right="135"/>
              <w:rPr>
                <w:sz w:val="16"/>
              </w:rPr>
            </w:pPr>
            <w:r>
              <w:rPr>
                <w:w w:val="95"/>
                <w:sz w:val="16"/>
              </w:rPr>
              <w:t>1,237,276</w:t>
            </w:r>
          </w:p>
        </w:tc>
        <w:tc>
          <w:tcPr>
            <w:tcW w:w="793" w:type="dxa"/>
          </w:tcPr>
          <w:p>
            <w:pPr>
              <w:pStyle w:val="TableParagraph"/>
              <w:spacing w:line="182" w:lineRule="exact"/>
              <w:ind w:right="86"/>
              <w:rPr>
                <w:sz w:val="16"/>
              </w:rPr>
            </w:pPr>
            <w:r>
              <w:rPr>
                <w:w w:val="95"/>
                <w:sz w:val="16"/>
              </w:rPr>
              <w:t>1,057,</w:t>
            </w:r>
          </w:p>
        </w:tc>
      </w:tr>
      <w:tr>
        <w:trPr>
          <w:trHeight w:val="187" w:hRule="exact"/>
        </w:trPr>
        <w:tc>
          <w:tcPr>
            <w:tcW w:w="3164" w:type="dxa"/>
          </w:tcPr>
          <w:p>
            <w:pPr>
              <w:pStyle w:val="TableParagraph"/>
              <w:spacing w:line="182" w:lineRule="exact"/>
              <w:ind w:left="50"/>
              <w:jc w:val="left"/>
              <w:rPr>
                <w:sz w:val="16"/>
              </w:rPr>
            </w:pPr>
            <w:r>
              <w:rPr>
                <w:sz w:val="16"/>
              </w:rPr>
              <w:t>Operating expenses</w:t>
            </w:r>
          </w:p>
        </w:tc>
        <w:tc>
          <w:tcPr>
            <w:tcW w:w="1131" w:type="dxa"/>
          </w:tcPr>
          <w:p>
            <w:pPr>
              <w:pStyle w:val="TableParagraph"/>
              <w:spacing w:line="182" w:lineRule="exact"/>
              <w:ind w:right="157"/>
              <w:rPr>
                <w:sz w:val="16"/>
              </w:rPr>
            </w:pPr>
            <w:r>
              <w:rPr>
                <w:w w:val="95"/>
                <w:sz w:val="16"/>
              </w:rPr>
              <w:t>2,559,220</w:t>
            </w:r>
          </w:p>
        </w:tc>
        <w:tc>
          <w:tcPr>
            <w:tcW w:w="1442" w:type="dxa"/>
          </w:tcPr>
          <w:p>
            <w:pPr>
              <w:pStyle w:val="TableParagraph"/>
              <w:spacing w:line="182" w:lineRule="exact"/>
              <w:ind w:right="163"/>
              <w:rPr>
                <w:sz w:val="16"/>
              </w:rPr>
            </w:pPr>
            <w:r>
              <w:rPr>
                <w:w w:val="95"/>
                <w:sz w:val="16"/>
              </w:rPr>
              <w:t>2,275,224</w:t>
            </w:r>
          </w:p>
        </w:tc>
        <w:tc>
          <w:tcPr>
            <w:tcW w:w="1426" w:type="dxa"/>
          </w:tcPr>
          <w:p>
            <w:pPr>
              <w:pStyle w:val="TableParagraph"/>
              <w:spacing w:line="182" w:lineRule="exact"/>
              <w:ind w:right="149"/>
              <w:rPr>
                <w:sz w:val="16"/>
              </w:rPr>
            </w:pPr>
            <w:r>
              <w:rPr>
                <w:w w:val="95"/>
                <w:sz w:val="16"/>
              </w:rPr>
              <w:t>2,004,700</w:t>
            </w:r>
          </w:p>
        </w:tc>
        <w:tc>
          <w:tcPr>
            <w:tcW w:w="1114" w:type="dxa"/>
          </w:tcPr>
          <w:p>
            <w:pPr>
              <w:pStyle w:val="TableParagraph"/>
              <w:spacing w:line="182" w:lineRule="exact"/>
              <w:ind w:right="154"/>
              <w:rPr>
                <w:sz w:val="16"/>
              </w:rPr>
            </w:pPr>
            <w:r>
              <w:rPr>
                <w:w w:val="95"/>
                <w:sz w:val="16"/>
              </w:rPr>
              <w:t>1,609,175</w:t>
            </w:r>
          </w:p>
        </w:tc>
        <w:tc>
          <w:tcPr>
            <w:tcW w:w="1109" w:type="dxa"/>
          </w:tcPr>
          <w:p>
            <w:pPr>
              <w:pStyle w:val="TableParagraph"/>
              <w:spacing w:line="182" w:lineRule="exact"/>
              <w:ind w:right="154"/>
              <w:rPr>
                <w:sz w:val="16"/>
              </w:rPr>
            </w:pPr>
            <w:r>
              <w:rPr>
                <w:w w:val="95"/>
                <w:sz w:val="16"/>
              </w:rPr>
              <w:t>1,306,675</w:t>
            </w:r>
          </w:p>
        </w:tc>
        <w:tc>
          <w:tcPr>
            <w:tcW w:w="1090" w:type="dxa"/>
          </w:tcPr>
          <w:p>
            <w:pPr>
              <w:pStyle w:val="TableParagraph"/>
              <w:spacing w:line="182" w:lineRule="exact"/>
              <w:ind w:right="135"/>
              <w:rPr>
                <w:sz w:val="16"/>
              </w:rPr>
            </w:pPr>
            <w:r>
              <w:rPr>
                <w:w w:val="95"/>
                <w:sz w:val="16"/>
              </w:rPr>
              <w:t>1,150,015</w:t>
            </w:r>
          </w:p>
        </w:tc>
        <w:tc>
          <w:tcPr>
            <w:tcW w:w="793" w:type="dxa"/>
          </w:tcPr>
          <w:p>
            <w:pPr>
              <w:pStyle w:val="TableParagraph"/>
              <w:spacing w:line="182" w:lineRule="exact"/>
              <w:ind w:right="90"/>
              <w:rPr>
                <w:sz w:val="16"/>
              </w:rPr>
            </w:pPr>
            <w:r>
              <w:rPr>
                <w:w w:val="95"/>
                <w:sz w:val="16"/>
              </w:rPr>
              <w:t>955,</w:t>
            </w:r>
          </w:p>
        </w:tc>
      </w:tr>
      <w:tr>
        <w:trPr>
          <w:trHeight w:val="187" w:hRule="exact"/>
        </w:trPr>
        <w:tc>
          <w:tcPr>
            <w:tcW w:w="3164" w:type="dxa"/>
          </w:tcPr>
          <w:p>
            <w:pPr>
              <w:pStyle w:val="TableParagraph"/>
              <w:spacing w:line="182" w:lineRule="exact"/>
              <w:ind w:left="50"/>
              <w:jc w:val="left"/>
              <w:rPr>
                <w:sz w:val="16"/>
              </w:rPr>
            </w:pPr>
            <w:r>
              <w:rPr>
                <w:sz w:val="16"/>
              </w:rPr>
              <w:t>Operating income</w:t>
            </w:r>
          </w:p>
        </w:tc>
        <w:tc>
          <w:tcPr>
            <w:tcW w:w="1131" w:type="dxa"/>
          </w:tcPr>
          <w:p>
            <w:pPr>
              <w:pStyle w:val="TableParagraph"/>
              <w:spacing w:line="182" w:lineRule="exact"/>
              <w:ind w:right="161"/>
              <w:rPr>
                <w:sz w:val="16"/>
              </w:rPr>
            </w:pPr>
            <w:r>
              <w:rPr>
                <w:w w:val="95"/>
                <w:sz w:val="16"/>
              </w:rPr>
              <w:t>313,531</w:t>
            </w:r>
          </w:p>
        </w:tc>
        <w:tc>
          <w:tcPr>
            <w:tcW w:w="1442" w:type="dxa"/>
          </w:tcPr>
          <w:p>
            <w:pPr>
              <w:pStyle w:val="TableParagraph"/>
              <w:spacing w:line="182" w:lineRule="exact"/>
              <w:ind w:right="167"/>
              <w:rPr>
                <w:sz w:val="16"/>
              </w:rPr>
            </w:pPr>
            <w:r>
              <w:rPr>
                <w:w w:val="95"/>
                <w:sz w:val="16"/>
              </w:rPr>
              <w:t>316,709</w:t>
            </w:r>
          </w:p>
        </w:tc>
        <w:tc>
          <w:tcPr>
            <w:tcW w:w="1426" w:type="dxa"/>
          </w:tcPr>
          <w:p>
            <w:pPr>
              <w:pStyle w:val="TableParagraph"/>
              <w:spacing w:line="182" w:lineRule="exact"/>
              <w:ind w:right="153"/>
              <w:rPr>
                <w:sz w:val="16"/>
              </w:rPr>
            </w:pPr>
            <w:r>
              <w:rPr>
                <w:w w:val="95"/>
                <w:sz w:val="16"/>
              </w:rPr>
              <w:t>291,973</w:t>
            </w:r>
          </w:p>
        </w:tc>
        <w:tc>
          <w:tcPr>
            <w:tcW w:w="1114" w:type="dxa"/>
          </w:tcPr>
          <w:p>
            <w:pPr>
              <w:pStyle w:val="TableParagraph"/>
              <w:spacing w:line="182" w:lineRule="exact"/>
              <w:ind w:right="158"/>
              <w:rPr>
                <w:sz w:val="16"/>
              </w:rPr>
            </w:pPr>
            <w:r>
              <w:rPr>
                <w:w w:val="95"/>
                <w:sz w:val="16"/>
              </w:rPr>
              <w:t>193,804</w:t>
            </w:r>
          </w:p>
        </w:tc>
        <w:tc>
          <w:tcPr>
            <w:tcW w:w="1109" w:type="dxa"/>
          </w:tcPr>
          <w:p>
            <w:pPr>
              <w:pStyle w:val="TableParagraph"/>
              <w:spacing w:line="182" w:lineRule="exact"/>
              <w:ind w:right="161"/>
              <w:rPr>
                <w:sz w:val="16"/>
              </w:rPr>
            </w:pPr>
            <w:r>
              <w:rPr>
                <w:w w:val="95"/>
                <w:sz w:val="16"/>
              </w:rPr>
              <w:t>72,611</w:t>
            </w:r>
          </w:p>
        </w:tc>
        <w:tc>
          <w:tcPr>
            <w:tcW w:w="1090" w:type="dxa"/>
          </w:tcPr>
          <w:p>
            <w:pPr>
              <w:pStyle w:val="TableParagraph"/>
              <w:spacing w:line="182" w:lineRule="exact"/>
              <w:ind w:right="142"/>
              <w:rPr>
                <w:sz w:val="16"/>
              </w:rPr>
            </w:pPr>
            <w:r>
              <w:rPr>
                <w:w w:val="95"/>
                <w:sz w:val="16"/>
              </w:rPr>
              <w:t>87,261</w:t>
            </w:r>
          </w:p>
        </w:tc>
        <w:tc>
          <w:tcPr>
            <w:tcW w:w="793" w:type="dxa"/>
          </w:tcPr>
          <w:p>
            <w:pPr>
              <w:pStyle w:val="TableParagraph"/>
              <w:spacing w:line="182" w:lineRule="exact"/>
              <w:ind w:right="90"/>
              <w:rPr>
                <w:sz w:val="16"/>
              </w:rPr>
            </w:pPr>
            <w:r>
              <w:rPr>
                <w:w w:val="95"/>
                <w:sz w:val="16"/>
              </w:rPr>
              <w:t>102,</w:t>
            </w:r>
          </w:p>
        </w:tc>
      </w:tr>
      <w:tr>
        <w:trPr>
          <w:trHeight w:val="187" w:hRule="exact"/>
        </w:trPr>
        <w:tc>
          <w:tcPr>
            <w:tcW w:w="3164" w:type="dxa"/>
          </w:tcPr>
          <w:p>
            <w:pPr>
              <w:pStyle w:val="TableParagraph"/>
              <w:spacing w:line="182" w:lineRule="exact"/>
              <w:ind w:left="50"/>
              <w:jc w:val="left"/>
              <w:rPr>
                <w:sz w:val="16"/>
              </w:rPr>
            </w:pPr>
            <w:r>
              <w:rPr>
                <w:sz w:val="16"/>
              </w:rPr>
              <w:t>Other expenses (income), net</w:t>
            </w:r>
          </w:p>
        </w:tc>
        <w:tc>
          <w:tcPr>
            <w:tcW w:w="1131" w:type="dxa"/>
          </w:tcPr>
          <w:p>
            <w:pPr>
              <w:pStyle w:val="TableParagraph"/>
              <w:spacing w:line="182" w:lineRule="exact"/>
              <w:ind w:right="166"/>
              <w:rPr>
                <w:sz w:val="16"/>
              </w:rPr>
            </w:pPr>
            <w:r>
              <w:rPr>
                <w:w w:val="95"/>
                <w:sz w:val="16"/>
              </w:rPr>
              <w:t>8,391</w:t>
            </w:r>
          </w:p>
        </w:tc>
        <w:tc>
          <w:tcPr>
            <w:tcW w:w="1442" w:type="dxa"/>
          </w:tcPr>
          <w:p>
            <w:pPr>
              <w:pStyle w:val="TableParagraph"/>
              <w:spacing w:line="182" w:lineRule="exact"/>
              <w:ind w:right="170"/>
              <w:rPr>
                <w:sz w:val="16"/>
              </w:rPr>
            </w:pPr>
            <w:r>
              <w:rPr>
                <w:w w:val="95"/>
                <w:sz w:val="16"/>
              </w:rPr>
              <w:t>17,186</w:t>
            </w:r>
          </w:p>
        </w:tc>
        <w:tc>
          <w:tcPr>
            <w:tcW w:w="1426" w:type="dxa"/>
          </w:tcPr>
          <w:p>
            <w:pPr>
              <w:pStyle w:val="TableParagraph"/>
              <w:spacing w:line="182" w:lineRule="exact"/>
              <w:ind w:right="155"/>
              <w:rPr>
                <w:sz w:val="16"/>
              </w:rPr>
            </w:pPr>
            <w:r>
              <w:rPr>
                <w:w w:val="95"/>
                <w:sz w:val="16"/>
              </w:rPr>
              <w:t>32,336</w:t>
            </w:r>
          </w:p>
        </w:tc>
        <w:tc>
          <w:tcPr>
            <w:tcW w:w="1114" w:type="dxa"/>
          </w:tcPr>
          <w:p>
            <w:pPr>
              <w:pStyle w:val="TableParagraph"/>
              <w:spacing w:line="182" w:lineRule="exact"/>
              <w:ind w:right="161"/>
              <w:rPr>
                <w:sz w:val="16"/>
              </w:rPr>
            </w:pPr>
            <w:r>
              <w:rPr>
                <w:w w:val="95"/>
                <w:sz w:val="16"/>
              </w:rPr>
              <w:t>36,361</w:t>
            </w:r>
          </w:p>
        </w:tc>
        <w:tc>
          <w:tcPr>
            <w:tcW w:w="1109" w:type="dxa"/>
          </w:tcPr>
          <w:p>
            <w:pPr>
              <w:pStyle w:val="TableParagraph"/>
              <w:spacing w:line="182" w:lineRule="exact"/>
              <w:ind w:right="161"/>
              <w:rPr>
                <w:sz w:val="16"/>
              </w:rPr>
            </w:pPr>
            <w:r>
              <w:rPr>
                <w:w w:val="95"/>
                <w:sz w:val="16"/>
              </w:rPr>
              <w:t>18,725</w:t>
            </w:r>
          </w:p>
        </w:tc>
        <w:tc>
          <w:tcPr>
            <w:tcW w:w="1090" w:type="dxa"/>
          </w:tcPr>
          <w:p>
            <w:pPr>
              <w:pStyle w:val="TableParagraph"/>
              <w:spacing w:line="182" w:lineRule="exact"/>
              <w:ind w:right="134"/>
              <w:rPr>
                <w:sz w:val="16"/>
              </w:rPr>
            </w:pPr>
            <w:r>
              <w:rPr>
                <w:sz w:val="16"/>
              </w:rPr>
              <w:t>(6,827) (6)</w:t>
            </w:r>
          </w:p>
        </w:tc>
        <w:tc>
          <w:tcPr>
            <w:tcW w:w="793" w:type="dxa"/>
          </w:tcPr>
          <w:p>
            <w:pPr>
              <w:pStyle w:val="TableParagraph"/>
              <w:spacing w:line="182" w:lineRule="exact"/>
              <w:ind w:right="48"/>
              <w:rPr>
                <w:sz w:val="16"/>
              </w:rPr>
            </w:pPr>
            <w:r>
              <w:rPr>
                <w:sz w:val="16"/>
              </w:rPr>
              <w:t>(13,696)</w:t>
            </w:r>
          </w:p>
        </w:tc>
      </w:tr>
      <w:tr>
        <w:trPr>
          <w:trHeight w:val="187" w:hRule="exact"/>
        </w:trPr>
        <w:tc>
          <w:tcPr>
            <w:tcW w:w="3164" w:type="dxa"/>
          </w:tcPr>
          <w:p>
            <w:pPr>
              <w:pStyle w:val="TableParagraph"/>
              <w:spacing w:line="182" w:lineRule="exact"/>
              <w:ind w:left="50"/>
              <w:jc w:val="left"/>
              <w:rPr>
                <w:sz w:val="16"/>
              </w:rPr>
            </w:pPr>
            <w:r>
              <w:rPr>
                <w:sz w:val="16"/>
              </w:rPr>
              <w:t>Income before income taxes</w:t>
            </w:r>
          </w:p>
        </w:tc>
        <w:tc>
          <w:tcPr>
            <w:tcW w:w="1131" w:type="dxa"/>
          </w:tcPr>
          <w:p>
            <w:pPr>
              <w:pStyle w:val="TableParagraph"/>
              <w:spacing w:line="182" w:lineRule="exact"/>
              <w:ind w:right="161"/>
              <w:rPr>
                <w:sz w:val="16"/>
              </w:rPr>
            </w:pPr>
            <w:r>
              <w:rPr>
                <w:sz w:val="16"/>
              </w:rPr>
              <w:t>305,140</w:t>
            </w:r>
          </w:p>
        </w:tc>
        <w:tc>
          <w:tcPr>
            <w:tcW w:w="1442" w:type="dxa"/>
          </w:tcPr>
          <w:p>
            <w:pPr>
              <w:pStyle w:val="TableParagraph"/>
              <w:spacing w:line="182" w:lineRule="exact"/>
              <w:ind w:right="167"/>
              <w:rPr>
                <w:sz w:val="16"/>
              </w:rPr>
            </w:pPr>
            <w:r>
              <w:rPr>
                <w:sz w:val="16"/>
              </w:rPr>
              <w:t>299,523</w:t>
            </w:r>
          </w:p>
        </w:tc>
        <w:tc>
          <w:tcPr>
            <w:tcW w:w="1426" w:type="dxa"/>
          </w:tcPr>
          <w:p>
            <w:pPr>
              <w:pStyle w:val="TableParagraph"/>
              <w:spacing w:line="182" w:lineRule="exact"/>
              <w:ind w:right="153"/>
              <w:rPr>
                <w:sz w:val="16"/>
              </w:rPr>
            </w:pPr>
            <w:r>
              <w:rPr>
                <w:sz w:val="16"/>
              </w:rPr>
              <w:t>259,637</w:t>
            </w:r>
          </w:p>
        </w:tc>
        <w:tc>
          <w:tcPr>
            <w:tcW w:w="1114" w:type="dxa"/>
          </w:tcPr>
          <w:p>
            <w:pPr>
              <w:pStyle w:val="TableParagraph"/>
              <w:spacing w:line="182" w:lineRule="exact"/>
              <w:ind w:right="158"/>
              <w:rPr>
                <w:sz w:val="16"/>
              </w:rPr>
            </w:pPr>
            <w:r>
              <w:rPr>
                <w:sz w:val="16"/>
              </w:rPr>
              <w:t>157,443</w:t>
            </w:r>
          </w:p>
        </w:tc>
        <w:tc>
          <w:tcPr>
            <w:tcW w:w="1109" w:type="dxa"/>
          </w:tcPr>
          <w:p>
            <w:pPr>
              <w:pStyle w:val="TableParagraph"/>
              <w:spacing w:line="182" w:lineRule="exact"/>
              <w:ind w:right="161"/>
              <w:rPr>
                <w:sz w:val="16"/>
              </w:rPr>
            </w:pPr>
            <w:r>
              <w:rPr>
                <w:w w:val="95"/>
                <w:sz w:val="16"/>
              </w:rPr>
              <w:t>53,886</w:t>
            </w:r>
          </w:p>
        </w:tc>
        <w:tc>
          <w:tcPr>
            <w:tcW w:w="1090" w:type="dxa"/>
          </w:tcPr>
          <w:p>
            <w:pPr>
              <w:pStyle w:val="TableParagraph"/>
              <w:spacing w:line="182" w:lineRule="exact"/>
              <w:ind w:right="142"/>
              <w:rPr>
                <w:sz w:val="16"/>
              </w:rPr>
            </w:pPr>
            <w:r>
              <w:rPr>
                <w:w w:val="95"/>
                <w:sz w:val="16"/>
              </w:rPr>
              <w:t>80,434</w:t>
            </w:r>
          </w:p>
        </w:tc>
        <w:tc>
          <w:tcPr>
            <w:tcW w:w="793" w:type="dxa"/>
          </w:tcPr>
          <w:p>
            <w:pPr>
              <w:pStyle w:val="TableParagraph"/>
              <w:spacing w:line="182" w:lineRule="exact"/>
              <w:ind w:right="90"/>
              <w:rPr>
                <w:sz w:val="16"/>
              </w:rPr>
            </w:pPr>
            <w:r>
              <w:rPr>
                <w:w w:val="95"/>
                <w:sz w:val="16"/>
              </w:rPr>
              <w:t>115,</w:t>
            </w:r>
          </w:p>
        </w:tc>
      </w:tr>
      <w:tr>
        <w:trPr>
          <w:trHeight w:val="187" w:hRule="exact"/>
        </w:trPr>
        <w:tc>
          <w:tcPr>
            <w:tcW w:w="3164" w:type="dxa"/>
          </w:tcPr>
          <w:p>
            <w:pPr>
              <w:pStyle w:val="TableParagraph"/>
              <w:spacing w:line="182" w:lineRule="exact"/>
              <w:ind w:left="50"/>
              <w:jc w:val="left"/>
              <w:rPr>
                <w:sz w:val="16"/>
              </w:rPr>
            </w:pPr>
            <w:r>
              <w:rPr>
                <w:sz w:val="16"/>
              </w:rPr>
              <w:t>Provision for income taxes (3)</w:t>
            </w:r>
          </w:p>
        </w:tc>
        <w:tc>
          <w:tcPr>
            <w:tcW w:w="1131" w:type="dxa"/>
          </w:tcPr>
          <w:p>
            <w:pPr>
              <w:pStyle w:val="TableParagraph"/>
              <w:spacing w:line="182" w:lineRule="exact"/>
              <w:ind w:right="161"/>
              <w:rPr>
                <w:sz w:val="16"/>
              </w:rPr>
            </w:pPr>
            <w:r>
              <w:rPr>
                <w:sz w:val="16"/>
              </w:rPr>
              <w:t>122,514</w:t>
            </w:r>
          </w:p>
        </w:tc>
        <w:tc>
          <w:tcPr>
            <w:tcW w:w="1442" w:type="dxa"/>
          </w:tcPr>
          <w:p>
            <w:pPr>
              <w:pStyle w:val="TableParagraph"/>
              <w:spacing w:line="182" w:lineRule="exact"/>
              <w:ind w:right="167"/>
              <w:rPr>
                <w:sz w:val="16"/>
              </w:rPr>
            </w:pPr>
            <w:r>
              <w:rPr>
                <w:sz w:val="16"/>
              </w:rPr>
              <w:t>120,192</w:t>
            </w:r>
          </w:p>
        </w:tc>
        <w:tc>
          <w:tcPr>
            <w:tcW w:w="1426" w:type="dxa"/>
          </w:tcPr>
          <w:p>
            <w:pPr>
              <w:pStyle w:val="TableParagraph"/>
              <w:spacing w:line="182" w:lineRule="exact"/>
              <w:ind w:right="153"/>
              <w:rPr>
                <w:sz w:val="16"/>
              </w:rPr>
            </w:pPr>
            <w:r>
              <w:rPr>
                <w:sz w:val="16"/>
              </w:rPr>
              <w:t>105,353</w:t>
            </w:r>
          </w:p>
        </w:tc>
        <w:tc>
          <w:tcPr>
            <w:tcW w:w="1114" w:type="dxa"/>
          </w:tcPr>
          <w:p>
            <w:pPr>
              <w:pStyle w:val="TableParagraph"/>
              <w:spacing w:line="182" w:lineRule="exact"/>
              <w:ind w:right="161"/>
              <w:rPr>
                <w:sz w:val="16"/>
              </w:rPr>
            </w:pPr>
            <w:r>
              <w:rPr>
                <w:w w:val="95"/>
                <w:sz w:val="16"/>
              </w:rPr>
              <w:t>60,058</w:t>
            </w:r>
          </w:p>
        </w:tc>
        <w:tc>
          <w:tcPr>
            <w:tcW w:w="1109" w:type="dxa"/>
          </w:tcPr>
          <w:p>
            <w:pPr>
              <w:pStyle w:val="TableParagraph"/>
              <w:spacing w:line="182" w:lineRule="exact"/>
              <w:ind w:right="161"/>
              <w:rPr>
                <w:sz w:val="16"/>
              </w:rPr>
            </w:pPr>
            <w:r>
              <w:rPr>
                <w:w w:val="95"/>
                <w:sz w:val="16"/>
              </w:rPr>
              <w:t>20,738</w:t>
            </w:r>
          </w:p>
        </w:tc>
        <w:tc>
          <w:tcPr>
            <w:tcW w:w="1090" w:type="dxa"/>
          </w:tcPr>
          <w:p>
            <w:pPr>
              <w:pStyle w:val="TableParagraph"/>
              <w:spacing w:line="182" w:lineRule="exact"/>
              <w:ind w:right="142"/>
              <w:rPr>
                <w:sz w:val="16"/>
              </w:rPr>
            </w:pPr>
            <w:r>
              <w:rPr>
                <w:w w:val="95"/>
                <w:sz w:val="16"/>
              </w:rPr>
              <w:t>29,829</w:t>
            </w:r>
          </w:p>
        </w:tc>
        <w:tc>
          <w:tcPr>
            <w:tcW w:w="793" w:type="dxa"/>
          </w:tcPr>
          <w:p>
            <w:pPr>
              <w:pStyle w:val="TableParagraph"/>
              <w:spacing w:line="182" w:lineRule="exact"/>
              <w:ind w:right="93"/>
              <w:rPr>
                <w:sz w:val="16"/>
              </w:rPr>
            </w:pPr>
            <w:r>
              <w:rPr>
                <w:w w:val="95"/>
                <w:sz w:val="16"/>
              </w:rPr>
              <w:t>41,</w:t>
            </w:r>
          </w:p>
        </w:tc>
      </w:tr>
      <w:tr>
        <w:trPr>
          <w:trHeight w:val="187" w:hRule="exact"/>
        </w:trPr>
        <w:tc>
          <w:tcPr>
            <w:tcW w:w="3164" w:type="dxa"/>
          </w:tcPr>
          <w:p>
            <w:pPr>
              <w:pStyle w:val="TableParagraph"/>
              <w:spacing w:line="182" w:lineRule="exact"/>
              <w:ind w:left="50"/>
              <w:jc w:val="left"/>
              <w:rPr>
                <w:sz w:val="16"/>
              </w:rPr>
            </w:pPr>
            <w:r>
              <w:rPr>
                <w:sz w:val="16"/>
              </w:rPr>
              <w:t>Net income (3)</w:t>
            </w:r>
          </w:p>
        </w:tc>
        <w:tc>
          <w:tcPr>
            <w:tcW w:w="1131" w:type="dxa"/>
          </w:tcPr>
          <w:p>
            <w:pPr>
              <w:pStyle w:val="TableParagraph"/>
              <w:spacing w:line="182" w:lineRule="exact"/>
              <w:ind w:right="158"/>
              <w:rPr>
                <w:sz w:val="16"/>
              </w:rPr>
            </w:pPr>
            <w:r>
              <w:rPr>
                <w:sz w:val="16"/>
              </w:rPr>
              <w:t>$182,626</w:t>
            </w:r>
          </w:p>
        </w:tc>
        <w:tc>
          <w:tcPr>
            <w:tcW w:w="1442" w:type="dxa"/>
          </w:tcPr>
          <w:p>
            <w:pPr>
              <w:pStyle w:val="TableParagraph"/>
              <w:spacing w:line="182" w:lineRule="exact"/>
              <w:ind w:right="165"/>
              <w:rPr>
                <w:sz w:val="16"/>
              </w:rPr>
            </w:pPr>
            <w:r>
              <w:rPr>
                <w:sz w:val="16"/>
              </w:rPr>
              <w:t>$179,331</w:t>
            </w:r>
          </w:p>
        </w:tc>
        <w:tc>
          <w:tcPr>
            <w:tcW w:w="1426" w:type="dxa"/>
          </w:tcPr>
          <w:p>
            <w:pPr>
              <w:pStyle w:val="TableParagraph"/>
              <w:spacing w:line="182" w:lineRule="exact"/>
              <w:ind w:right="145"/>
              <w:rPr>
                <w:sz w:val="16"/>
              </w:rPr>
            </w:pPr>
            <w:r>
              <w:rPr>
                <w:sz w:val="16"/>
              </w:rPr>
              <w:t>$154,284 (4)</w:t>
            </w:r>
          </w:p>
        </w:tc>
        <w:tc>
          <w:tcPr>
            <w:tcW w:w="1114" w:type="dxa"/>
          </w:tcPr>
          <w:p>
            <w:pPr>
              <w:pStyle w:val="TableParagraph"/>
              <w:spacing w:line="182" w:lineRule="exact"/>
              <w:ind w:right="152"/>
              <w:rPr>
                <w:sz w:val="16"/>
              </w:rPr>
            </w:pPr>
            <w:r>
              <w:rPr>
                <w:sz w:val="16"/>
              </w:rPr>
              <w:t>$97,385 (5)</w:t>
            </w:r>
          </w:p>
        </w:tc>
        <w:tc>
          <w:tcPr>
            <w:tcW w:w="1109" w:type="dxa"/>
          </w:tcPr>
          <w:p>
            <w:pPr>
              <w:pStyle w:val="TableParagraph"/>
              <w:spacing w:line="182" w:lineRule="exact"/>
              <w:ind w:right="158"/>
              <w:rPr>
                <w:sz w:val="16"/>
              </w:rPr>
            </w:pPr>
            <w:r>
              <w:rPr>
                <w:w w:val="95"/>
                <w:sz w:val="16"/>
              </w:rPr>
              <w:t>$33,148</w:t>
            </w:r>
          </w:p>
        </w:tc>
        <w:tc>
          <w:tcPr>
            <w:tcW w:w="1090" w:type="dxa"/>
          </w:tcPr>
          <w:p>
            <w:pPr>
              <w:pStyle w:val="TableParagraph"/>
              <w:spacing w:line="182" w:lineRule="exact"/>
              <w:ind w:right="139"/>
              <w:rPr>
                <w:sz w:val="16"/>
              </w:rPr>
            </w:pPr>
            <w:r>
              <w:rPr>
                <w:w w:val="95"/>
                <w:sz w:val="16"/>
              </w:rPr>
              <w:t>$50,605</w:t>
            </w:r>
          </w:p>
        </w:tc>
        <w:tc>
          <w:tcPr>
            <w:tcW w:w="793" w:type="dxa"/>
          </w:tcPr>
          <w:p>
            <w:pPr>
              <w:pStyle w:val="TableParagraph"/>
              <w:spacing w:line="182" w:lineRule="exact"/>
              <w:ind w:right="90"/>
              <w:rPr>
                <w:sz w:val="16"/>
              </w:rPr>
            </w:pPr>
            <w:r>
              <w:rPr>
                <w:w w:val="95"/>
                <w:sz w:val="16"/>
              </w:rPr>
              <w:t>$74,</w:t>
            </w:r>
          </w:p>
        </w:tc>
      </w:tr>
      <w:tr>
        <w:trPr>
          <w:trHeight w:val="187" w:hRule="exact"/>
        </w:trPr>
        <w:tc>
          <w:tcPr>
            <w:tcW w:w="3164" w:type="dxa"/>
          </w:tcPr>
          <w:p>
            <w:pPr>
              <w:pStyle w:val="TableParagraph"/>
              <w:spacing w:line="182" w:lineRule="exact"/>
              <w:ind w:left="50"/>
              <w:jc w:val="left"/>
              <w:rPr>
                <w:sz w:val="16"/>
              </w:rPr>
            </w:pPr>
            <w:r>
              <w:rPr>
                <w:sz w:val="16"/>
              </w:rPr>
              <w:t>Income per common and</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common equivalent share (3)</w:t>
            </w:r>
          </w:p>
        </w:tc>
        <w:tc>
          <w:tcPr>
            <w:tcW w:w="1131" w:type="dxa"/>
          </w:tcPr>
          <w:p>
            <w:pPr>
              <w:pStyle w:val="TableParagraph"/>
              <w:spacing w:line="182" w:lineRule="exact"/>
              <w:ind w:right="166"/>
              <w:rPr>
                <w:sz w:val="16"/>
              </w:rPr>
            </w:pPr>
            <w:r>
              <w:rPr>
                <w:w w:val="95"/>
                <w:sz w:val="16"/>
              </w:rPr>
              <w:t>$1.23</w:t>
            </w:r>
          </w:p>
        </w:tc>
        <w:tc>
          <w:tcPr>
            <w:tcW w:w="1442" w:type="dxa"/>
          </w:tcPr>
          <w:p>
            <w:pPr>
              <w:pStyle w:val="TableParagraph"/>
              <w:spacing w:line="182" w:lineRule="exact"/>
              <w:ind w:right="172"/>
              <w:rPr>
                <w:sz w:val="16"/>
              </w:rPr>
            </w:pPr>
            <w:r>
              <w:rPr>
                <w:w w:val="95"/>
                <w:sz w:val="16"/>
              </w:rPr>
              <w:t>$1.22</w:t>
            </w:r>
          </w:p>
        </w:tc>
        <w:tc>
          <w:tcPr>
            <w:tcW w:w="1426" w:type="dxa"/>
          </w:tcPr>
          <w:p>
            <w:pPr>
              <w:pStyle w:val="TableParagraph"/>
              <w:spacing w:line="182" w:lineRule="exact"/>
              <w:ind w:right="152"/>
              <w:rPr>
                <w:sz w:val="16"/>
              </w:rPr>
            </w:pPr>
            <w:r>
              <w:rPr>
                <w:sz w:val="16"/>
              </w:rPr>
              <w:t>$1.05 (4)</w:t>
            </w:r>
          </w:p>
        </w:tc>
        <w:tc>
          <w:tcPr>
            <w:tcW w:w="1114" w:type="dxa"/>
          </w:tcPr>
          <w:p>
            <w:pPr>
              <w:pStyle w:val="TableParagraph"/>
              <w:spacing w:line="182" w:lineRule="exact"/>
              <w:ind w:right="159"/>
              <w:rPr>
                <w:sz w:val="16"/>
              </w:rPr>
            </w:pPr>
            <w:r>
              <w:rPr>
                <w:sz w:val="16"/>
              </w:rPr>
              <w:t>$.68 (5)</w:t>
            </w:r>
          </w:p>
        </w:tc>
        <w:tc>
          <w:tcPr>
            <w:tcW w:w="1109" w:type="dxa"/>
          </w:tcPr>
          <w:p>
            <w:pPr>
              <w:pStyle w:val="TableParagraph"/>
              <w:spacing w:line="182" w:lineRule="exact"/>
              <w:ind w:right="165"/>
              <w:rPr>
                <w:sz w:val="16"/>
              </w:rPr>
            </w:pPr>
            <w:r>
              <w:rPr>
                <w:sz w:val="16"/>
              </w:rPr>
              <w:t>$.25</w:t>
            </w:r>
          </w:p>
        </w:tc>
        <w:tc>
          <w:tcPr>
            <w:tcW w:w="1090" w:type="dxa"/>
          </w:tcPr>
          <w:p>
            <w:pPr>
              <w:pStyle w:val="TableParagraph"/>
              <w:spacing w:line="182" w:lineRule="exact"/>
              <w:ind w:right="146"/>
              <w:rPr>
                <w:sz w:val="16"/>
              </w:rPr>
            </w:pPr>
            <w:r>
              <w:rPr>
                <w:sz w:val="16"/>
              </w:rPr>
              <w:t>$.39</w:t>
            </w:r>
          </w:p>
        </w:tc>
        <w:tc>
          <w:tcPr>
            <w:tcW w:w="793" w:type="dxa"/>
          </w:tcPr>
          <w:p>
            <w:pPr>
              <w:pStyle w:val="TableParagraph"/>
              <w:spacing w:line="182" w:lineRule="exact"/>
              <w:ind w:right="53"/>
              <w:rPr>
                <w:sz w:val="16"/>
              </w:rPr>
            </w:pPr>
            <w:r>
              <w:rPr>
                <w:w w:val="98"/>
                <w:sz w:val="16"/>
              </w:rPr>
              <w:t>$</w:t>
            </w:r>
          </w:p>
        </w:tc>
      </w:tr>
      <w:tr>
        <w:trPr>
          <w:trHeight w:val="187" w:hRule="exact"/>
        </w:trPr>
        <w:tc>
          <w:tcPr>
            <w:tcW w:w="3164" w:type="dxa"/>
          </w:tcPr>
          <w:p>
            <w:pPr>
              <w:pStyle w:val="TableParagraph"/>
              <w:spacing w:line="182" w:lineRule="exact"/>
              <w:ind w:left="50"/>
              <w:jc w:val="left"/>
              <w:rPr>
                <w:sz w:val="16"/>
              </w:rPr>
            </w:pPr>
            <w:r>
              <w:rPr>
                <w:sz w:val="16"/>
              </w:rPr>
              <w:t>Cash dividends per common share</w:t>
            </w:r>
          </w:p>
        </w:tc>
        <w:tc>
          <w:tcPr>
            <w:tcW w:w="1131" w:type="dxa"/>
          </w:tcPr>
          <w:p>
            <w:pPr>
              <w:pStyle w:val="TableParagraph"/>
              <w:spacing w:line="182" w:lineRule="exact"/>
              <w:ind w:right="161"/>
              <w:rPr>
                <w:sz w:val="16"/>
              </w:rPr>
            </w:pPr>
            <w:r>
              <w:rPr>
                <w:w w:val="95"/>
                <w:sz w:val="16"/>
              </w:rPr>
              <w:t>$.04000</w:t>
            </w:r>
          </w:p>
        </w:tc>
        <w:tc>
          <w:tcPr>
            <w:tcW w:w="1442" w:type="dxa"/>
          </w:tcPr>
          <w:p>
            <w:pPr>
              <w:pStyle w:val="TableParagraph"/>
              <w:spacing w:line="182" w:lineRule="exact"/>
              <w:ind w:right="167"/>
              <w:rPr>
                <w:sz w:val="16"/>
              </w:rPr>
            </w:pPr>
            <w:r>
              <w:rPr>
                <w:w w:val="95"/>
                <w:sz w:val="16"/>
              </w:rPr>
              <w:t>$.04000</w:t>
            </w:r>
          </w:p>
        </w:tc>
        <w:tc>
          <w:tcPr>
            <w:tcW w:w="1426" w:type="dxa"/>
          </w:tcPr>
          <w:p>
            <w:pPr>
              <w:pStyle w:val="TableParagraph"/>
              <w:spacing w:line="182" w:lineRule="exact"/>
              <w:ind w:right="153"/>
              <w:rPr>
                <w:sz w:val="16"/>
              </w:rPr>
            </w:pPr>
            <w:r>
              <w:rPr>
                <w:w w:val="95"/>
                <w:sz w:val="16"/>
              </w:rPr>
              <w:t>$.03867</w:t>
            </w:r>
          </w:p>
        </w:tc>
        <w:tc>
          <w:tcPr>
            <w:tcW w:w="1114" w:type="dxa"/>
          </w:tcPr>
          <w:p>
            <w:pPr>
              <w:pStyle w:val="TableParagraph"/>
              <w:spacing w:line="182" w:lineRule="exact"/>
              <w:ind w:right="158"/>
              <w:rPr>
                <w:sz w:val="16"/>
              </w:rPr>
            </w:pPr>
            <w:r>
              <w:rPr>
                <w:w w:val="95"/>
                <w:sz w:val="16"/>
              </w:rPr>
              <w:t>$.03533</w:t>
            </w:r>
          </w:p>
        </w:tc>
        <w:tc>
          <w:tcPr>
            <w:tcW w:w="1109" w:type="dxa"/>
          </w:tcPr>
          <w:p>
            <w:pPr>
              <w:pStyle w:val="TableParagraph"/>
              <w:spacing w:line="182" w:lineRule="exact"/>
              <w:ind w:right="158"/>
              <w:rPr>
                <w:sz w:val="16"/>
              </w:rPr>
            </w:pPr>
            <w:r>
              <w:rPr>
                <w:w w:val="95"/>
                <w:sz w:val="16"/>
              </w:rPr>
              <w:t>$.03333</w:t>
            </w:r>
          </w:p>
        </w:tc>
        <w:tc>
          <w:tcPr>
            <w:tcW w:w="1090" w:type="dxa"/>
          </w:tcPr>
          <w:p>
            <w:pPr>
              <w:pStyle w:val="TableParagraph"/>
              <w:spacing w:line="182" w:lineRule="exact"/>
              <w:ind w:right="139"/>
              <w:rPr>
                <w:sz w:val="16"/>
              </w:rPr>
            </w:pPr>
            <w:r>
              <w:rPr>
                <w:w w:val="95"/>
                <w:sz w:val="16"/>
              </w:rPr>
              <w:t>$.03223</w:t>
            </w:r>
          </w:p>
        </w:tc>
        <w:tc>
          <w:tcPr>
            <w:tcW w:w="793" w:type="dxa"/>
          </w:tcPr>
          <w:p>
            <w:pPr>
              <w:pStyle w:val="TableParagraph"/>
              <w:spacing w:line="182" w:lineRule="exact"/>
              <w:ind w:right="90"/>
              <w:rPr>
                <w:sz w:val="16"/>
              </w:rPr>
            </w:pPr>
            <w:r>
              <w:rPr>
                <w:w w:val="95"/>
                <w:sz w:val="16"/>
              </w:rPr>
              <w:t>$.03</w:t>
            </w:r>
          </w:p>
        </w:tc>
      </w:tr>
      <w:tr>
        <w:trPr>
          <w:trHeight w:val="187" w:hRule="exact"/>
        </w:trPr>
        <w:tc>
          <w:tcPr>
            <w:tcW w:w="3164" w:type="dxa"/>
          </w:tcPr>
          <w:p>
            <w:pPr>
              <w:pStyle w:val="TableParagraph"/>
              <w:spacing w:line="182" w:lineRule="exact"/>
              <w:ind w:left="50"/>
              <w:jc w:val="left"/>
              <w:rPr>
                <w:sz w:val="16"/>
              </w:rPr>
            </w:pPr>
            <w:r>
              <w:rPr>
                <w:sz w:val="16"/>
              </w:rPr>
              <w:t>Total assets</w:t>
            </w:r>
          </w:p>
        </w:tc>
        <w:tc>
          <w:tcPr>
            <w:tcW w:w="1131" w:type="dxa"/>
          </w:tcPr>
          <w:p>
            <w:pPr>
              <w:pStyle w:val="TableParagraph"/>
              <w:spacing w:line="182" w:lineRule="exact"/>
              <w:ind w:right="154"/>
              <w:rPr>
                <w:sz w:val="16"/>
              </w:rPr>
            </w:pPr>
            <w:r>
              <w:rPr>
                <w:w w:val="95"/>
                <w:sz w:val="16"/>
              </w:rPr>
              <w:t>$3,256,122</w:t>
            </w:r>
          </w:p>
        </w:tc>
        <w:tc>
          <w:tcPr>
            <w:tcW w:w="1442" w:type="dxa"/>
          </w:tcPr>
          <w:p>
            <w:pPr>
              <w:pStyle w:val="TableParagraph"/>
              <w:spacing w:line="182" w:lineRule="exact"/>
              <w:ind w:right="161"/>
              <w:rPr>
                <w:sz w:val="16"/>
              </w:rPr>
            </w:pPr>
            <w:r>
              <w:rPr>
                <w:w w:val="95"/>
                <w:sz w:val="16"/>
              </w:rPr>
              <w:t>$2,823,071</w:t>
            </w:r>
          </w:p>
        </w:tc>
        <w:tc>
          <w:tcPr>
            <w:tcW w:w="1426" w:type="dxa"/>
          </w:tcPr>
          <w:p>
            <w:pPr>
              <w:pStyle w:val="TableParagraph"/>
              <w:spacing w:line="182" w:lineRule="exact"/>
              <w:ind w:right="147"/>
              <w:rPr>
                <w:sz w:val="16"/>
              </w:rPr>
            </w:pPr>
            <w:r>
              <w:rPr>
                <w:w w:val="95"/>
                <w:sz w:val="16"/>
              </w:rPr>
              <w:t>$2,576,037</w:t>
            </w:r>
          </w:p>
        </w:tc>
        <w:tc>
          <w:tcPr>
            <w:tcW w:w="1114" w:type="dxa"/>
          </w:tcPr>
          <w:p>
            <w:pPr>
              <w:pStyle w:val="TableParagraph"/>
              <w:spacing w:line="182" w:lineRule="exact"/>
              <w:ind w:right="152"/>
              <w:rPr>
                <w:sz w:val="16"/>
              </w:rPr>
            </w:pPr>
            <w:r>
              <w:rPr>
                <w:w w:val="95"/>
                <w:sz w:val="16"/>
              </w:rPr>
              <w:t>$2,368,856</w:t>
            </w:r>
          </w:p>
        </w:tc>
        <w:tc>
          <w:tcPr>
            <w:tcW w:w="1109" w:type="dxa"/>
          </w:tcPr>
          <w:p>
            <w:pPr>
              <w:pStyle w:val="TableParagraph"/>
              <w:spacing w:line="182" w:lineRule="exact"/>
              <w:ind w:right="152"/>
              <w:rPr>
                <w:sz w:val="16"/>
              </w:rPr>
            </w:pPr>
            <w:r>
              <w:rPr>
                <w:w w:val="95"/>
                <w:sz w:val="16"/>
              </w:rPr>
              <w:t>$1,854,331</w:t>
            </w:r>
          </w:p>
        </w:tc>
        <w:tc>
          <w:tcPr>
            <w:tcW w:w="1090" w:type="dxa"/>
          </w:tcPr>
          <w:p>
            <w:pPr>
              <w:pStyle w:val="TableParagraph"/>
              <w:spacing w:line="182" w:lineRule="exact"/>
              <w:ind w:right="133"/>
              <w:rPr>
                <w:sz w:val="16"/>
              </w:rPr>
            </w:pPr>
            <w:r>
              <w:rPr>
                <w:w w:val="95"/>
                <w:sz w:val="16"/>
              </w:rPr>
              <w:t>$1,480,813</w:t>
            </w:r>
          </w:p>
        </w:tc>
        <w:tc>
          <w:tcPr>
            <w:tcW w:w="793" w:type="dxa"/>
          </w:tcPr>
          <w:p>
            <w:pPr>
              <w:pStyle w:val="TableParagraph"/>
              <w:spacing w:line="182" w:lineRule="exact"/>
              <w:ind w:right="84"/>
              <w:rPr>
                <w:sz w:val="16"/>
              </w:rPr>
            </w:pPr>
            <w:r>
              <w:rPr>
                <w:w w:val="95"/>
                <w:sz w:val="16"/>
              </w:rPr>
              <w:t>$1,423,</w:t>
            </w:r>
          </w:p>
        </w:tc>
      </w:tr>
      <w:tr>
        <w:trPr>
          <w:trHeight w:val="187" w:hRule="exact"/>
        </w:trPr>
        <w:tc>
          <w:tcPr>
            <w:tcW w:w="3164" w:type="dxa"/>
          </w:tcPr>
          <w:p>
            <w:pPr>
              <w:pStyle w:val="TableParagraph"/>
              <w:spacing w:line="182" w:lineRule="exact"/>
              <w:ind w:left="50"/>
              <w:jc w:val="left"/>
              <w:rPr>
                <w:sz w:val="16"/>
              </w:rPr>
            </w:pPr>
            <w:r>
              <w:rPr>
                <w:sz w:val="16"/>
              </w:rPr>
              <w:t>Long-term debt</w:t>
            </w:r>
          </w:p>
        </w:tc>
        <w:tc>
          <w:tcPr>
            <w:tcW w:w="1131" w:type="dxa"/>
          </w:tcPr>
          <w:p>
            <w:pPr>
              <w:pStyle w:val="TableParagraph"/>
              <w:spacing w:line="182" w:lineRule="exact"/>
              <w:ind w:right="158"/>
              <w:rPr>
                <w:sz w:val="16"/>
              </w:rPr>
            </w:pPr>
            <w:r>
              <w:rPr>
                <w:sz w:val="16"/>
              </w:rPr>
              <w:t>$661,010</w:t>
            </w:r>
          </w:p>
        </w:tc>
        <w:tc>
          <w:tcPr>
            <w:tcW w:w="1442" w:type="dxa"/>
          </w:tcPr>
          <w:p>
            <w:pPr>
              <w:pStyle w:val="TableParagraph"/>
              <w:spacing w:line="182" w:lineRule="exact"/>
              <w:ind w:right="165"/>
              <w:rPr>
                <w:sz w:val="16"/>
              </w:rPr>
            </w:pPr>
            <w:r>
              <w:rPr>
                <w:sz w:val="16"/>
              </w:rPr>
              <w:t>$583,071</w:t>
            </w:r>
          </w:p>
        </w:tc>
        <w:tc>
          <w:tcPr>
            <w:tcW w:w="1426" w:type="dxa"/>
          </w:tcPr>
          <w:p>
            <w:pPr>
              <w:pStyle w:val="TableParagraph"/>
              <w:spacing w:line="182" w:lineRule="exact"/>
              <w:ind w:right="151"/>
              <w:rPr>
                <w:sz w:val="16"/>
              </w:rPr>
            </w:pPr>
            <w:r>
              <w:rPr>
                <w:sz w:val="16"/>
              </w:rPr>
              <w:t>$639,136</w:t>
            </w:r>
          </w:p>
        </w:tc>
        <w:tc>
          <w:tcPr>
            <w:tcW w:w="1114" w:type="dxa"/>
          </w:tcPr>
          <w:p>
            <w:pPr>
              <w:pStyle w:val="TableParagraph"/>
              <w:spacing w:line="182" w:lineRule="exact"/>
              <w:ind w:right="156"/>
              <w:rPr>
                <w:sz w:val="16"/>
              </w:rPr>
            </w:pPr>
            <w:r>
              <w:rPr>
                <w:sz w:val="16"/>
              </w:rPr>
              <w:t>$735,754</w:t>
            </w:r>
          </w:p>
        </w:tc>
        <w:tc>
          <w:tcPr>
            <w:tcW w:w="1109" w:type="dxa"/>
          </w:tcPr>
          <w:p>
            <w:pPr>
              <w:pStyle w:val="TableParagraph"/>
              <w:spacing w:line="182" w:lineRule="exact"/>
              <w:ind w:right="156"/>
              <w:rPr>
                <w:sz w:val="16"/>
              </w:rPr>
            </w:pPr>
            <w:r>
              <w:rPr>
                <w:sz w:val="16"/>
              </w:rPr>
              <w:t>$617,434</w:t>
            </w:r>
          </w:p>
        </w:tc>
        <w:tc>
          <w:tcPr>
            <w:tcW w:w="1090" w:type="dxa"/>
          </w:tcPr>
          <w:p>
            <w:pPr>
              <w:pStyle w:val="TableParagraph"/>
              <w:spacing w:line="182" w:lineRule="exact"/>
              <w:ind w:right="137"/>
              <w:rPr>
                <w:sz w:val="16"/>
              </w:rPr>
            </w:pPr>
            <w:r>
              <w:rPr>
                <w:sz w:val="16"/>
              </w:rPr>
              <w:t>$327,553</w:t>
            </w:r>
          </w:p>
        </w:tc>
        <w:tc>
          <w:tcPr>
            <w:tcW w:w="793" w:type="dxa"/>
          </w:tcPr>
          <w:p>
            <w:pPr>
              <w:pStyle w:val="TableParagraph"/>
              <w:spacing w:line="182" w:lineRule="exact"/>
              <w:ind w:right="88"/>
              <w:rPr>
                <w:sz w:val="16"/>
              </w:rPr>
            </w:pPr>
            <w:r>
              <w:rPr>
                <w:w w:val="95"/>
                <w:sz w:val="16"/>
              </w:rPr>
              <w:t>$354,</w:t>
            </w:r>
          </w:p>
        </w:tc>
      </w:tr>
      <w:tr>
        <w:trPr>
          <w:trHeight w:val="187" w:hRule="exact"/>
        </w:trPr>
        <w:tc>
          <w:tcPr>
            <w:tcW w:w="3164" w:type="dxa"/>
          </w:tcPr>
          <w:p>
            <w:pPr>
              <w:pStyle w:val="TableParagraph"/>
              <w:spacing w:line="182" w:lineRule="exact"/>
              <w:ind w:left="50"/>
              <w:jc w:val="left"/>
              <w:rPr>
                <w:sz w:val="16"/>
              </w:rPr>
            </w:pPr>
            <w:r>
              <w:rPr>
                <w:sz w:val="16"/>
              </w:rPr>
              <w:t>Stockholders’ equity</w:t>
            </w:r>
          </w:p>
        </w:tc>
        <w:tc>
          <w:tcPr>
            <w:tcW w:w="1131" w:type="dxa"/>
          </w:tcPr>
          <w:p>
            <w:pPr>
              <w:pStyle w:val="TableParagraph"/>
              <w:spacing w:line="182" w:lineRule="exact"/>
              <w:ind w:right="154"/>
              <w:rPr>
                <w:sz w:val="16"/>
              </w:rPr>
            </w:pPr>
            <w:r>
              <w:rPr>
                <w:w w:val="95"/>
                <w:sz w:val="16"/>
              </w:rPr>
              <w:t>$1,427,318</w:t>
            </w:r>
          </w:p>
        </w:tc>
        <w:tc>
          <w:tcPr>
            <w:tcW w:w="1442" w:type="dxa"/>
          </w:tcPr>
          <w:p>
            <w:pPr>
              <w:pStyle w:val="TableParagraph"/>
              <w:spacing w:line="182" w:lineRule="exact"/>
              <w:ind w:right="161"/>
              <w:rPr>
                <w:sz w:val="16"/>
              </w:rPr>
            </w:pPr>
            <w:r>
              <w:rPr>
                <w:w w:val="95"/>
                <w:sz w:val="16"/>
              </w:rPr>
              <w:t>$1,238,706</w:t>
            </w:r>
          </w:p>
        </w:tc>
        <w:tc>
          <w:tcPr>
            <w:tcW w:w="1426" w:type="dxa"/>
          </w:tcPr>
          <w:p>
            <w:pPr>
              <w:pStyle w:val="TableParagraph"/>
              <w:spacing w:line="182" w:lineRule="exact"/>
              <w:ind w:right="147"/>
              <w:rPr>
                <w:sz w:val="16"/>
              </w:rPr>
            </w:pPr>
            <w:r>
              <w:rPr>
                <w:w w:val="95"/>
                <w:sz w:val="16"/>
              </w:rPr>
              <w:t>$1,054,019</w:t>
            </w:r>
          </w:p>
        </w:tc>
        <w:tc>
          <w:tcPr>
            <w:tcW w:w="1114" w:type="dxa"/>
          </w:tcPr>
          <w:p>
            <w:pPr>
              <w:pStyle w:val="TableParagraph"/>
              <w:spacing w:line="182" w:lineRule="exact"/>
              <w:ind w:right="156"/>
              <w:rPr>
                <w:sz w:val="16"/>
              </w:rPr>
            </w:pPr>
            <w:r>
              <w:rPr>
                <w:sz w:val="16"/>
              </w:rPr>
              <w:t>$879,536</w:t>
            </w:r>
          </w:p>
        </w:tc>
        <w:tc>
          <w:tcPr>
            <w:tcW w:w="1109" w:type="dxa"/>
          </w:tcPr>
          <w:p>
            <w:pPr>
              <w:pStyle w:val="TableParagraph"/>
              <w:spacing w:line="182" w:lineRule="exact"/>
              <w:ind w:right="156"/>
              <w:rPr>
                <w:sz w:val="16"/>
              </w:rPr>
            </w:pPr>
            <w:r>
              <w:rPr>
                <w:sz w:val="16"/>
              </w:rPr>
              <w:t>$635,793</w:t>
            </w:r>
          </w:p>
        </w:tc>
        <w:tc>
          <w:tcPr>
            <w:tcW w:w="1090" w:type="dxa"/>
          </w:tcPr>
          <w:p>
            <w:pPr>
              <w:pStyle w:val="TableParagraph"/>
              <w:spacing w:line="182" w:lineRule="exact"/>
              <w:ind w:right="137"/>
              <w:rPr>
                <w:sz w:val="16"/>
              </w:rPr>
            </w:pPr>
            <w:r>
              <w:rPr>
                <w:sz w:val="16"/>
              </w:rPr>
              <w:t>$607,294</w:t>
            </w:r>
          </w:p>
        </w:tc>
        <w:tc>
          <w:tcPr>
            <w:tcW w:w="793" w:type="dxa"/>
          </w:tcPr>
          <w:p>
            <w:pPr>
              <w:pStyle w:val="TableParagraph"/>
              <w:spacing w:line="182" w:lineRule="exact"/>
              <w:ind w:right="88"/>
              <w:rPr>
                <w:sz w:val="16"/>
              </w:rPr>
            </w:pPr>
            <w:r>
              <w:rPr>
                <w:w w:val="95"/>
                <w:sz w:val="16"/>
              </w:rPr>
              <w:t>$591,</w:t>
            </w:r>
          </w:p>
        </w:tc>
      </w:tr>
      <w:tr>
        <w:trPr>
          <w:trHeight w:val="187" w:hRule="exact"/>
        </w:trPr>
        <w:tc>
          <w:tcPr>
            <w:tcW w:w="3164" w:type="dxa"/>
          </w:tcPr>
          <w:p>
            <w:pPr>
              <w:pStyle w:val="TableParagraph"/>
              <w:spacing w:line="182" w:lineRule="exact"/>
              <w:ind w:left="50"/>
              <w:jc w:val="left"/>
              <w:rPr>
                <w:sz w:val="16"/>
              </w:rPr>
            </w:pPr>
            <w:r>
              <w:rPr>
                <w:sz w:val="16"/>
              </w:rPr>
              <w:t>Consolidated Financial Ratios (1)</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Return on average total assets</w:t>
            </w:r>
          </w:p>
        </w:tc>
        <w:tc>
          <w:tcPr>
            <w:tcW w:w="1131" w:type="dxa"/>
          </w:tcPr>
          <w:p>
            <w:pPr>
              <w:pStyle w:val="TableParagraph"/>
              <w:spacing w:line="182" w:lineRule="exact"/>
              <w:ind w:right="168"/>
              <w:rPr>
                <w:sz w:val="16"/>
              </w:rPr>
            </w:pPr>
            <w:r>
              <w:rPr>
                <w:w w:val="95"/>
                <w:sz w:val="16"/>
              </w:rPr>
              <w:t>6.0%</w:t>
            </w:r>
          </w:p>
        </w:tc>
        <w:tc>
          <w:tcPr>
            <w:tcW w:w="1442" w:type="dxa"/>
          </w:tcPr>
          <w:p>
            <w:pPr>
              <w:pStyle w:val="TableParagraph"/>
              <w:spacing w:line="182" w:lineRule="exact"/>
              <w:ind w:right="175"/>
              <w:rPr>
                <w:sz w:val="16"/>
              </w:rPr>
            </w:pPr>
            <w:r>
              <w:rPr>
                <w:w w:val="95"/>
                <w:sz w:val="16"/>
              </w:rPr>
              <w:t>6.6%</w:t>
            </w:r>
          </w:p>
        </w:tc>
        <w:tc>
          <w:tcPr>
            <w:tcW w:w="1426" w:type="dxa"/>
          </w:tcPr>
          <w:p>
            <w:pPr>
              <w:pStyle w:val="TableParagraph"/>
              <w:spacing w:line="182" w:lineRule="exact"/>
              <w:ind w:right="156"/>
              <w:rPr>
                <w:sz w:val="16"/>
              </w:rPr>
            </w:pPr>
            <w:r>
              <w:rPr>
                <w:sz w:val="16"/>
              </w:rPr>
              <w:t>6.2% (4)</w:t>
            </w:r>
          </w:p>
        </w:tc>
        <w:tc>
          <w:tcPr>
            <w:tcW w:w="1114" w:type="dxa"/>
          </w:tcPr>
          <w:p>
            <w:pPr>
              <w:pStyle w:val="TableParagraph"/>
              <w:spacing w:line="182" w:lineRule="exact"/>
              <w:ind w:right="162"/>
              <w:rPr>
                <w:sz w:val="16"/>
              </w:rPr>
            </w:pPr>
            <w:r>
              <w:rPr>
                <w:sz w:val="16"/>
              </w:rPr>
              <w:t>4.6% (5)</w:t>
            </w:r>
          </w:p>
        </w:tc>
        <w:tc>
          <w:tcPr>
            <w:tcW w:w="1109" w:type="dxa"/>
          </w:tcPr>
          <w:p>
            <w:pPr>
              <w:pStyle w:val="TableParagraph"/>
              <w:spacing w:line="182" w:lineRule="exact"/>
              <w:ind w:right="165"/>
              <w:rPr>
                <w:sz w:val="16"/>
              </w:rPr>
            </w:pPr>
            <w:r>
              <w:rPr>
                <w:w w:val="95"/>
                <w:sz w:val="16"/>
              </w:rPr>
              <w:t>2.0%</w:t>
            </w:r>
          </w:p>
        </w:tc>
        <w:tc>
          <w:tcPr>
            <w:tcW w:w="1090" w:type="dxa"/>
          </w:tcPr>
          <w:p>
            <w:pPr>
              <w:pStyle w:val="TableParagraph"/>
              <w:spacing w:line="182" w:lineRule="exact"/>
              <w:ind w:right="146"/>
              <w:rPr>
                <w:sz w:val="16"/>
              </w:rPr>
            </w:pPr>
            <w:r>
              <w:rPr>
                <w:w w:val="95"/>
                <w:sz w:val="16"/>
              </w:rPr>
              <w:t>3.5%</w:t>
            </w:r>
          </w:p>
        </w:tc>
        <w:tc>
          <w:tcPr>
            <w:tcW w:w="793" w:type="dxa"/>
          </w:tcPr>
          <w:p>
            <w:pPr>
              <w:pStyle w:val="TableParagraph"/>
              <w:spacing w:line="182" w:lineRule="exact"/>
              <w:ind w:right="61"/>
              <w:rPr>
                <w:sz w:val="16"/>
              </w:rPr>
            </w:pPr>
            <w:r>
              <w:rPr>
                <w:sz w:val="16"/>
              </w:rPr>
              <w:t>5.</w:t>
            </w:r>
          </w:p>
        </w:tc>
      </w:tr>
      <w:tr>
        <w:trPr>
          <w:trHeight w:val="187" w:hRule="exact"/>
        </w:trPr>
        <w:tc>
          <w:tcPr>
            <w:tcW w:w="3164" w:type="dxa"/>
          </w:tcPr>
          <w:p>
            <w:pPr>
              <w:pStyle w:val="TableParagraph"/>
              <w:spacing w:line="182" w:lineRule="exact"/>
              <w:ind w:left="50"/>
              <w:jc w:val="left"/>
              <w:rPr>
                <w:sz w:val="16"/>
              </w:rPr>
            </w:pPr>
            <w:r>
              <w:rPr>
                <w:sz w:val="16"/>
              </w:rPr>
              <w:t>Return on average stockholders’ equity</w:t>
            </w:r>
          </w:p>
        </w:tc>
        <w:tc>
          <w:tcPr>
            <w:tcW w:w="1131" w:type="dxa"/>
          </w:tcPr>
          <w:p>
            <w:pPr>
              <w:pStyle w:val="TableParagraph"/>
              <w:spacing w:line="182" w:lineRule="exact"/>
              <w:ind w:right="167"/>
              <w:rPr>
                <w:sz w:val="16"/>
              </w:rPr>
            </w:pPr>
            <w:r>
              <w:rPr>
                <w:sz w:val="16"/>
              </w:rPr>
              <w:t>13.7%</w:t>
            </w:r>
          </w:p>
        </w:tc>
        <w:tc>
          <w:tcPr>
            <w:tcW w:w="1442" w:type="dxa"/>
          </w:tcPr>
          <w:p>
            <w:pPr>
              <w:pStyle w:val="TableParagraph"/>
              <w:spacing w:line="182" w:lineRule="exact"/>
              <w:ind w:right="172"/>
              <w:rPr>
                <w:sz w:val="16"/>
              </w:rPr>
            </w:pPr>
            <w:r>
              <w:rPr>
                <w:sz w:val="16"/>
              </w:rPr>
              <w:t>15.6%</w:t>
            </w:r>
          </w:p>
        </w:tc>
        <w:tc>
          <w:tcPr>
            <w:tcW w:w="1426" w:type="dxa"/>
          </w:tcPr>
          <w:p>
            <w:pPr>
              <w:pStyle w:val="TableParagraph"/>
              <w:spacing w:line="182" w:lineRule="exact"/>
              <w:ind w:right="154"/>
              <w:rPr>
                <w:sz w:val="16"/>
              </w:rPr>
            </w:pPr>
            <w:r>
              <w:rPr>
                <w:sz w:val="16"/>
              </w:rPr>
              <w:t>16.0% (4)</w:t>
            </w:r>
          </w:p>
        </w:tc>
        <w:tc>
          <w:tcPr>
            <w:tcW w:w="1114" w:type="dxa"/>
          </w:tcPr>
          <w:p>
            <w:pPr>
              <w:pStyle w:val="TableParagraph"/>
              <w:spacing w:line="182" w:lineRule="exact"/>
              <w:ind w:right="159"/>
              <w:rPr>
                <w:sz w:val="16"/>
              </w:rPr>
            </w:pPr>
            <w:r>
              <w:rPr>
                <w:sz w:val="16"/>
              </w:rPr>
              <w:t>12.9% (5)</w:t>
            </w:r>
          </w:p>
        </w:tc>
        <w:tc>
          <w:tcPr>
            <w:tcW w:w="1109" w:type="dxa"/>
          </w:tcPr>
          <w:p>
            <w:pPr>
              <w:pStyle w:val="TableParagraph"/>
              <w:spacing w:line="182" w:lineRule="exact"/>
              <w:ind w:right="165"/>
              <w:rPr>
                <w:sz w:val="16"/>
              </w:rPr>
            </w:pPr>
            <w:r>
              <w:rPr>
                <w:w w:val="95"/>
                <w:sz w:val="16"/>
              </w:rPr>
              <w:t>5.3%</w:t>
            </w:r>
          </w:p>
        </w:tc>
        <w:tc>
          <w:tcPr>
            <w:tcW w:w="1090" w:type="dxa"/>
          </w:tcPr>
          <w:p>
            <w:pPr>
              <w:pStyle w:val="TableParagraph"/>
              <w:spacing w:line="182" w:lineRule="exact"/>
              <w:ind w:right="146"/>
              <w:rPr>
                <w:sz w:val="16"/>
              </w:rPr>
            </w:pPr>
            <w:r>
              <w:rPr>
                <w:w w:val="95"/>
                <w:sz w:val="16"/>
              </w:rPr>
              <w:t>8.4%</w:t>
            </w:r>
          </w:p>
        </w:tc>
        <w:tc>
          <w:tcPr>
            <w:tcW w:w="793" w:type="dxa"/>
          </w:tcPr>
          <w:p>
            <w:pPr>
              <w:pStyle w:val="TableParagraph"/>
              <w:spacing w:line="182" w:lineRule="exact"/>
              <w:ind w:right="59"/>
              <w:rPr>
                <w:sz w:val="16"/>
              </w:rPr>
            </w:pPr>
            <w:r>
              <w:rPr>
                <w:w w:val="95"/>
                <w:sz w:val="16"/>
              </w:rPr>
              <w:t>12.</w:t>
            </w:r>
          </w:p>
        </w:tc>
      </w:tr>
      <w:tr>
        <w:trPr>
          <w:trHeight w:val="187" w:hRule="exact"/>
        </w:trPr>
        <w:tc>
          <w:tcPr>
            <w:tcW w:w="3164" w:type="dxa"/>
          </w:tcPr>
          <w:p>
            <w:pPr>
              <w:pStyle w:val="TableParagraph"/>
              <w:spacing w:line="182" w:lineRule="exact"/>
              <w:ind w:left="50"/>
              <w:jc w:val="left"/>
              <w:rPr>
                <w:sz w:val="16"/>
              </w:rPr>
            </w:pPr>
            <w:r>
              <w:rPr>
                <w:sz w:val="16"/>
              </w:rPr>
              <w:t>Debt as a percentage of invested capital</w:t>
            </w:r>
          </w:p>
        </w:tc>
        <w:tc>
          <w:tcPr>
            <w:tcW w:w="1131" w:type="dxa"/>
          </w:tcPr>
          <w:p>
            <w:pPr>
              <w:pStyle w:val="TableParagraph"/>
              <w:spacing w:line="182" w:lineRule="exact"/>
              <w:ind w:right="167"/>
              <w:rPr>
                <w:sz w:val="16"/>
              </w:rPr>
            </w:pPr>
            <w:r>
              <w:rPr>
                <w:sz w:val="16"/>
              </w:rPr>
              <w:t>31.7%</w:t>
            </w:r>
          </w:p>
        </w:tc>
        <w:tc>
          <w:tcPr>
            <w:tcW w:w="1442" w:type="dxa"/>
          </w:tcPr>
          <w:p>
            <w:pPr>
              <w:pStyle w:val="TableParagraph"/>
              <w:spacing w:line="182" w:lineRule="exact"/>
              <w:ind w:right="172"/>
              <w:rPr>
                <w:sz w:val="16"/>
              </w:rPr>
            </w:pPr>
            <w:r>
              <w:rPr>
                <w:sz w:val="16"/>
              </w:rPr>
              <w:t>32.0%</w:t>
            </w:r>
          </w:p>
        </w:tc>
        <w:tc>
          <w:tcPr>
            <w:tcW w:w="1426" w:type="dxa"/>
          </w:tcPr>
          <w:p>
            <w:pPr>
              <w:pStyle w:val="TableParagraph"/>
              <w:spacing w:line="182" w:lineRule="exact"/>
              <w:ind w:right="158"/>
              <w:rPr>
                <w:sz w:val="16"/>
              </w:rPr>
            </w:pPr>
            <w:r>
              <w:rPr>
                <w:sz w:val="16"/>
              </w:rPr>
              <w:t>37.7%</w:t>
            </w:r>
          </w:p>
        </w:tc>
        <w:tc>
          <w:tcPr>
            <w:tcW w:w="1114" w:type="dxa"/>
          </w:tcPr>
          <w:p>
            <w:pPr>
              <w:pStyle w:val="TableParagraph"/>
              <w:spacing w:line="182" w:lineRule="exact"/>
              <w:ind w:right="163"/>
              <w:rPr>
                <w:sz w:val="16"/>
              </w:rPr>
            </w:pPr>
            <w:r>
              <w:rPr>
                <w:sz w:val="16"/>
              </w:rPr>
              <w:t>45.5%</w:t>
            </w:r>
          </w:p>
        </w:tc>
        <w:tc>
          <w:tcPr>
            <w:tcW w:w="1109" w:type="dxa"/>
          </w:tcPr>
          <w:p>
            <w:pPr>
              <w:pStyle w:val="TableParagraph"/>
              <w:spacing w:line="182" w:lineRule="exact"/>
              <w:ind w:right="163"/>
              <w:rPr>
                <w:sz w:val="16"/>
              </w:rPr>
            </w:pPr>
            <w:r>
              <w:rPr>
                <w:sz w:val="16"/>
              </w:rPr>
              <w:t>49.3%</w:t>
            </w:r>
          </w:p>
        </w:tc>
        <w:tc>
          <w:tcPr>
            <w:tcW w:w="1090" w:type="dxa"/>
          </w:tcPr>
          <w:p>
            <w:pPr>
              <w:pStyle w:val="TableParagraph"/>
              <w:spacing w:line="182" w:lineRule="exact"/>
              <w:ind w:right="144"/>
              <w:rPr>
                <w:sz w:val="16"/>
              </w:rPr>
            </w:pPr>
            <w:r>
              <w:rPr>
                <w:sz w:val="16"/>
              </w:rPr>
              <w:t>35.0%</w:t>
            </w:r>
          </w:p>
        </w:tc>
        <w:tc>
          <w:tcPr>
            <w:tcW w:w="793" w:type="dxa"/>
          </w:tcPr>
          <w:p>
            <w:pPr>
              <w:pStyle w:val="TableParagraph"/>
              <w:spacing w:line="182" w:lineRule="exact"/>
              <w:ind w:right="59"/>
              <w:rPr>
                <w:sz w:val="16"/>
              </w:rPr>
            </w:pPr>
            <w:r>
              <w:rPr>
                <w:w w:val="95"/>
                <w:sz w:val="16"/>
              </w:rPr>
              <w:t>37.</w:t>
            </w:r>
          </w:p>
        </w:tc>
      </w:tr>
      <w:tr>
        <w:trPr>
          <w:trHeight w:val="187" w:hRule="exact"/>
        </w:trPr>
        <w:tc>
          <w:tcPr>
            <w:tcW w:w="3164" w:type="dxa"/>
          </w:tcPr>
          <w:p>
            <w:pPr>
              <w:pStyle w:val="TableParagraph"/>
              <w:spacing w:line="182" w:lineRule="exact"/>
              <w:ind w:left="50"/>
              <w:jc w:val="left"/>
              <w:rPr>
                <w:sz w:val="16"/>
              </w:rPr>
            </w:pPr>
            <w:r>
              <w:rPr>
                <w:sz w:val="16"/>
              </w:rPr>
              <w:t>Consolidated Operating Statistics (2)</w:t>
            </w:r>
          </w:p>
        </w:tc>
        <w:tc>
          <w:tcPr>
            <w:tcW w:w="1131" w:type="dxa"/>
          </w:tcPr>
          <w:p>
            <w:pPr/>
          </w:p>
        </w:tc>
        <w:tc>
          <w:tcPr>
            <w:tcW w:w="1442" w:type="dxa"/>
          </w:tcPr>
          <w:p>
            <w:pPr/>
          </w:p>
        </w:tc>
        <w:tc>
          <w:tcPr>
            <w:tcW w:w="1426" w:type="dxa"/>
          </w:tcPr>
          <w:p>
            <w:pPr/>
          </w:p>
        </w:tc>
        <w:tc>
          <w:tcPr>
            <w:tcW w:w="1114" w:type="dxa"/>
          </w:tcPr>
          <w:p>
            <w:pPr/>
          </w:p>
        </w:tc>
        <w:tc>
          <w:tcPr>
            <w:tcW w:w="1109" w:type="dxa"/>
          </w:tcPr>
          <w:p>
            <w:pPr/>
          </w:p>
        </w:tc>
        <w:tc>
          <w:tcPr>
            <w:tcW w:w="1090" w:type="dxa"/>
          </w:tcPr>
          <w:p>
            <w:pP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Revenue passengers carried</w:t>
            </w:r>
          </w:p>
        </w:tc>
        <w:tc>
          <w:tcPr>
            <w:tcW w:w="1131" w:type="dxa"/>
          </w:tcPr>
          <w:p>
            <w:pPr>
              <w:pStyle w:val="TableParagraph"/>
              <w:spacing w:line="182" w:lineRule="exact"/>
              <w:ind w:right="154"/>
              <w:rPr>
                <w:sz w:val="16"/>
              </w:rPr>
            </w:pPr>
            <w:r>
              <w:rPr>
                <w:w w:val="95"/>
                <w:sz w:val="16"/>
              </w:rPr>
              <w:t>44,785,573</w:t>
            </w:r>
          </w:p>
        </w:tc>
        <w:tc>
          <w:tcPr>
            <w:tcW w:w="1442" w:type="dxa"/>
          </w:tcPr>
          <w:p>
            <w:pPr>
              <w:pStyle w:val="TableParagraph"/>
              <w:spacing w:line="182" w:lineRule="exact"/>
              <w:ind w:right="153"/>
              <w:rPr>
                <w:sz w:val="16"/>
              </w:rPr>
            </w:pPr>
            <w:r>
              <w:rPr>
                <w:sz w:val="16"/>
              </w:rPr>
              <w:t>42,742,602 (12)</w:t>
            </w:r>
          </w:p>
        </w:tc>
        <w:tc>
          <w:tcPr>
            <w:tcW w:w="1426" w:type="dxa"/>
          </w:tcPr>
          <w:p>
            <w:pPr>
              <w:pStyle w:val="TableParagraph"/>
              <w:spacing w:line="182" w:lineRule="exact"/>
              <w:ind w:right="138"/>
              <w:rPr>
                <w:sz w:val="16"/>
              </w:rPr>
            </w:pPr>
            <w:r>
              <w:rPr>
                <w:sz w:val="16"/>
              </w:rPr>
              <w:t>36,955,221 (12)</w:t>
            </w:r>
          </w:p>
        </w:tc>
        <w:tc>
          <w:tcPr>
            <w:tcW w:w="1114" w:type="dxa"/>
          </w:tcPr>
          <w:p>
            <w:pPr>
              <w:pStyle w:val="TableParagraph"/>
              <w:spacing w:line="182" w:lineRule="exact"/>
              <w:ind w:right="152"/>
              <w:rPr>
                <w:sz w:val="16"/>
              </w:rPr>
            </w:pPr>
            <w:r>
              <w:rPr>
                <w:w w:val="95"/>
                <w:sz w:val="16"/>
              </w:rPr>
              <w:t>27,839,284</w:t>
            </w:r>
          </w:p>
        </w:tc>
        <w:tc>
          <w:tcPr>
            <w:tcW w:w="1109" w:type="dxa"/>
          </w:tcPr>
          <w:p>
            <w:pPr>
              <w:pStyle w:val="TableParagraph"/>
              <w:spacing w:line="182" w:lineRule="exact"/>
              <w:ind w:right="152"/>
              <w:rPr>
                <w:sz w:val="16"/>
              </w:rPr>
            </w:pPr>
            <w:r>
              <w:rPr>
                <w:w w:val="95"/>
                <w:sz w:val="16"/>
              </w:rPr>
              <w:t>22,669,942</w:t>
            </w:r>
          </w:p>
        </w:tc>
        <w:tc>
          <w:tcPr>
            <w:tcW w:w="1090" w:type="dxa"/>
          </w:tcPr>
          <w:p>
            <w:pPr>
              <w:pStyle w:val="TableParagraph"/>
              <w:spacing w:line="182" w:lineRule="exact"/>
              <w:ind w:right="133"/>
              <w:rPr>
                <w:sz w:val="16"/>
              </w:rPr>
            </w:pPr>
            <w:r>
              <w:rPr>
                <w:w w:val="95"/>
                <w:sz w:val="16"/>
              </w:rPr>
              <w:t>19,830,941</w:t>
            </w:r>
          </w:p>
        </w:tc>
        <w:tc>
          <w:tcPr>
            <w:tcW w:w="793" w:type="dxa"/>
          </w:tcPr>
          <w:p>
            <w:pPr>
              <w:pStyle w:val="TableParagraph"/>
              <w:spacing w:line="182" w:lineRule="exact"/>
              <w:ind w:right="84"/>
              <w:rPr>
                <w:sz w:val="16"/>
              </w:rPr>
            </w:pPr>
            <w:r>
              <w:rPr>
                <w:sz w:val="16"/>
              </w:rPr>
              <w:t>17,958,</w:t>
            </w:r>
          </w:p>
        </w:tc>
      </w:tr>
      <w:tr>
        <w:trPr>
          <w:trHeight w:val="187" w:hRule="exact"/>
        </w:trPr>
        <w:tc>
          <w:tcPr>
            <w:tcW w:w="3164" w:type="dxa"/>
          </w:tcPr>
          <w:p>
            <w:pPr>
              <w:pStyle w:val="TableParagraph"/>
              <w:spacing w:line="182" w:lineRule="exact"/>
              <w:ind w:left="50"/>
              <w:jc w:val="left"/>
              <w:rPr>
                <w:sz w:val="16"/>
              </w:rPr>
            </w:pPr>
            <w:r>
              <w:rPr>
                <w:sz w:val="16"/>
              </w:rPr>
              <w:t>RPMs (000s)</w:t>
            </w:r>
          </w:p>
        </w:tc>
        <w:tc>
          <w:tcPr>
            <w:tcW w:w="1131" w:type="dxa"/>
          </w:tcPr>
          <w:p>
            <w:pPr>
              <w:pStyle w:val="TableParagraph"/>
              <w:spacing w:line="182" w:lineRule="exact"/>
              <w:ind w:right="154"/>
              <w:rPr>
                <w:sz w:val="16"/>
              </w:rPr>
            </w:pPr>
            <w:r>
              <w:rPr>
                <w:w w:val="95"/>
                <w:sz w:val="16"/>
              </w:rPr>
              <w:t>23,327,804</w:t>
            </w:r>
          </w:p>
        </w:tc>
        <w:tc>
          <w:tcPr>
            <w:tcW w:w="1442" w:type="dxa"/>
          </w:tcPr>
          <w:p>
            <w:pPr>
              <w:pStyle w:val="TableParagraph"/>
              <w:spacing w:line="182" w:lineRule="exact"/>
              <w:ind w:right="161"/>
              <w:rPr>
                <w:sz w:val="16"/>
              </w:rPr>
            </w:pPr>
            <w:r>
              <w:rPr>
                <w:w w:val="95"/>
                <w:sz w:val="16"/>
              </w:rPr>
              <w:t>21,611,266</w:t>
            </w:r>
          </w:p>
        </w:tc>
        <w:tc>
          <w:tcPr>
            <w:tcW w:w="1426" w:type="dxa"/>
          </w:tcPr>
          <w:p>
            <w:pPr>
              <w:pStyle w:val="TableParagraph"/>
              <w:spacing w:line="182" w:lineRule="exact"/>
              <w:ind w:right="147"/>
              <w:rPr>
                <w:sz w:val="16"/>
              </w:rPr>
            </w:pPr>
            <w:r>
              <w:rPr>
                <w:w w:val="95"/>
                <w:sz w:val="16"/>
              </w:rPr>
              <w:t>18,827,288</w:t>
            </w:r>
          </w:p>
        </w:tc>
        <w:tc>
          <w:tcPr>
            <w:tcW w:w="1114" w:type="dxa"/>
          </w:tcPr>
          <w:p>
            <w:pPr>
              <w:pStyle w:val="TableParagraph"/>
              <w:spacing w:line="182" w:lineRule="exact"/>
              <w:ind w:right="152"/>
              <w:rPr>
                <w:sz w:val="16"/>
              </w:rPr>
            </w:pPr>
            <w:r>
              <w:rPr>
                <w:w w:val="95"/>
                <w:sz w:val="16"/>
              </w:rPr>
              <w:t>13,787,005</w:t>
            </w:r>
          </w:p>
        </w:tc>
        <w:tc>
          <w:tcPr>
            <w:tcW w:w="1109" w:type="dxa"/>
          </w:tcPr>
          <w:p>
            <w:pPr>
              <w:pStyle w:val="TableParagraph"/>
              <w:spacing w:line="182" w:lineRule="exact"/>
              <w:ind w:right="152"/>
              <w:rPr>
                <w:sz w:val="16"/>
              </w:rPr>
            </w:pPr>
            <w:r>
              <w:rPr>
                <w:w w:val="95"/>
                <w:sz w:val="16"/>
              </w:rPr>
              <w:t>11,296,183</w:t>
            </w:r>
          </w:p>
        </w:tc>
        <w:tc>
          <w:tcPr>
            <w:tcW w:w="1090" w:type="dxa"/>
          </w:tcPr>
          <w:p>
            <w:pPr>
              <w:pStyle w:val="TableParagraph"/>
              <w:spacing w:line="182" w:lineRule="exact"/>
              <w:ind w:right="135"/>
              <w:rPr>
                <w:sz w:val="16"/>
              </w:rPr>
            </w:pPr>
            <w:r>
              <w:rPr>
                <w:w w:val="95"/>
                <w:sz w:val="16"/>
              </w:rPr>
              <w:t>9,958,940</w:t>
            </w:r>
          </w:p>
        </w:tc>
        <w:tc>
          <w:tcPr>
            <w:tcW w:w="793" w:type="dxa"/>
          </w:tcPr>
          <w:p>
            <w:pPr>
              <w:pStyle w:val="TableParagraph"/>
              <w:spacing w:line="182" w:lineRule="exact"/>
              <w:ind w:right="86"/>
              <w:rPr>
                <w:sz w:val="16"/>
              </w:rPr>
            </w:pPr>
            <w:r>
              <w:rPr>
                <w:w w:val="95"/>
                <w:sz w:val="16"/>
              </w:rPr>
              <w:t>9,281,</w:t>
            </w:r>
          </w:p>
        </w:tc>
      </w:tr>
      <w:tr>
        <w:trPr>
          <w:trHeight w:val="187" w:hRule="exact"/>
        </w:trPr>
        <w:tc>
          <w:tcPr>
            <w:tcW w:w="3164" w:type="dxa"/>
          </w:tcPr>
          <w:p>
            <w:pPr>
              <w:pStyle w:val="TableParagraph"/>
              <w:spacing w:line="182" w:lineRule="exact"/>
              <w:ind w:left="50"/>
              <w:jc w:val="left"/>
              <w:rPr>
                <w:sz w:val="16"/>
              </w:rPr>
            </w:pPr>
            <w:r>
              <w:rPr>
                <w:sz w:val="16"/>
              </w:rPr>
              <w:t>ASMs (000s)</w:t>
            </w:r>
          </w:p>
        </w:tc>
        <w:tc>
          <w:tcPr>
            <w:tcW w:w="1131" w:type="dxa"/>
          </w:tcPr>
          <w:p>
            <w:pPr>
              <w:pStyle w:val="TableParagraph"/>
              <w:spacing w:line="182" w:lineRule="exact"/>
              <w:ind w:right="154"/>
              <w:rPr>
                <w:sz w:val="16"/>
              </w:rPr>
            </w:pPr>
            <w:r>
              <w:rPr>
                <w:w w:val="95"/>
                <w:sz w:val="16"/>
              </w:rPr>
              <w:t>36,180,001</w:t>
            </w:r>
          </w:p>
        </w:tc>
        <w:tc>
          <w:tcPr>
            <w:tcW w:w="1442" w:type="dxa"/>
          </w:tcPr>
          <w:p>
            <w:pPr>
              <w:pStyle w:val="TableParagraph"/>
              <w:spacing w:line="182" w:lineRule="exact"/>
              <w:ind w:right="161"/>
              <w:rPr>
                <w:sz w:val="16"/>
              </w:rPr>
            </w:pPr>
            <w:r>
              <w:rPr>
                <w:w w:val="95"/>
                <w:sz w:val="16"/>
              </w:rPr>
              <w:t>32,123,974</w:t>
            </w:r>
          </w:p>
        </w:tc>
        <w:tc>
          <w:tcPr>
            <w:tcW w:w="1426" w:type="dxa"/>
          </w:tcPr>
          <w:p>
            <w:pPr>
              <w:pStyle w:val="TableParagraph"/>
              <w:spacing w:line="182" w:lineRule="exact"/>
              <w:ind w:right="147"/>
              <w:rPr>
                <w:sz w:val="16"/>
              </w:rPr>
            </w:pPr>
            <w:r>
              <w:rPr>
                <w:w w:val="95"/>
                <w:sz w:val="16"/>
              </w:rPr>
              <w:t>27,511,000</w:t>
            </w:r>
          </w:p>
        </w:tc>
        <w:tc>
          <w:tcPr>
            <w:tcW w:w="1114" w:type="dxa"/>
          </w:tcPr>
          <w:p>
            <w:pPr>
              <w:pStyle w:val="TableParagraph"/>
              <w:spacing w:line="182" w:lineRule="exact"/>
              <w:ind w:right="152"/>
              <w:rPr>
                <w:sz w:val="16"/>
              </w:rPr>
            </w:pPr>
            <w:r>
              <w:rPr>
                <w:w w:val="95"/>
                <w:sz w:val="16"/>
              </w:rPr>
              <w:t>21,366,642</w:t>
            </w:r>
          </w:p>
        </w:tc>
        <w:tc>
          <w:tcPr>
            <w:tcW w:w="1109" w:type="dxa"/>
          </w:tcPr>
          <w:p>
            <w:pPr>
              <w:pStyle w:val="TableParagraph"/>
              <w:spacing w:line="182" w:lineRule="exact"/>
              <w:ind w:right="152"/>
              <w:rPr>
                <w:sz w:val="16"/>
              </w:rPr>
            </w:pPr>
            <w:r>
              <w:rPr>
                <w:w w:val="95"/>
                <w:sz w:val="16"/>
              </w:rPr>
              <w:t>18,491,003</w:t>
            </w:r>
          </w:p>
        </w:tc>
        <w:tc>
          <w:tcPr>
            <w:tcW w:w="1090" w:type="dxa"/>
          </w:tcPr>
          <w:p>
            <w:pPr>
              <w:pStyle w:val="TableParagraph"/>
              <w:spacing w:line="182" w:lineRule="exact"/>
              <w:ind w:right="133"/>
              <w:rPr>
                <w:sz w:val="16"/>
              </w:rPr>
            </w:pPr>
            <w:r>
              <w:rPr>
                <w:w w:val="95"/>
                <w:sz w:val="16"/>
              </w:rPr>
              <w:t>16,411,115</w:t>
            </w:r>
          </w:p>
        </w:tc>
        <w:tc>
          <w:tcPr>
            <w:tcW w:w="793" w:type="dxa"/>
          </w:tcPr>
          <w:p>
            <w:pPr>
              <w:pStyle w:val="TableParagraph"/>
              <w:spacing w:line="182" w:lineRule="exact"/>
              <w:ind w:right="84"/>
              <w:rPr>
                <w:sz w:val="16"/>
              </w:rPr>
            </w:pPr>
            <w:r>
              <w:rPr>
                <w:sz w:val="16"/>
              </w:rPr>
              <w:t>14,796,</w:t>
            </w:r>
          </w:p>
        </w:tc>
      </w:tr>
      <w:tr>
        <w:trPr>
          <w:trHeight w:val="187" w:hRule="exact"/>
        </w:trPr>
        <w:tc>
          <w:tcPr>
            <w:tcW w:w="3164" w:type="dxa"/>
          </w:tcPr>
          <w:p>
            <w:pPr>
              <w:pStyle w:val="TableParagraph"/>
              <w:spacing w:line="182" w:lineRule="exact"/>
              <w:ind w:left="50"/>
              <w:jc w:val="left"/>
              <w:rPr>
                <w:sz w:val="16"/>
              </w:rPr>
            </w:pPr>
            <w:r>
              <w:rPr>
                <w:sz w:val="16"/>
              </w:rPr>
              <w:t>Load factor</w:t>
            </w:r>
          </w:p>
        </w:tc>
        <w:tc>
          <w:tcPr>
            <w:tcW w:w="1131" w:type="dxa"/>
          </w:tcPr>
          <w:p>
            <w:pPr>
              <w:pStyle w:val="TableParagraph"/>
              <w:spacing w:line="182" w:lineRule="exact"/>
              <w:ind w:right="167"/>
              <w:rPr>
                <w:sz w:val="16"/>
              </w:rPr>
            </w:pPr>
            <w:r>
              <w:rPr>
                <w:sz w:val="16"/>
              </w:rPr>
              <w:t>64.5%</w:t>
            </w:r>
          </w:p>
        </w:tc>
        <w:tc>
          <w:tcPr>
            <w:tcW w:w="1442" w:type="dxa"/>
          </w:tcPr>
          <w:p>
            <w:pPr>
              <w:pStyle w:val="TableParagraph"/>
              <w:spacing w:line="182" w:lineRule="exact"/>
              <w:ind w:right="172"/>
              <w:rPr>
                <w:sz w:val="16"/>
              </w:rPr>
            </w:pPr>
            <w:r>
              <w:rPr>
                <w:sz w:val="16"/>
              </w:rPr>
              <w:t>67.3%</w:t>
            </w:r>
          </w:p>
        </w:tc>
        <w:tc>
          <w:tcPr>
            <w:tcW w:w="1426" w:type="dxa"/>
          </w:tcPr>
          <w:p>
            <w:pPr>
              <w:pStyle w:val="TableParagraph"/>
              <w:spacing w:line="182" w:lineRule="exact"/>
              <w:ind w:right="158"/>
              <w:rPr>
                <w:sz w:val="16"/>
              </w:rPr>
            </w:pPr>
            <w:r>
              <w:rPr>
                <w:sz w:val="16"/>
              </w:rPr>
              <w:t>68.4%</w:t>
            </w:r>
          </w:p>
        </w:tc>
        <w:tc>
          <w:tcPr>
            <w:tcW w:w="1114" w:type="dxa"/>
          </w:tcPr>
          <w:p>
            <w:pPr>
              <w:pStyle w:val="TableParagraph"/>
              <w:spacing w:line="182" w:lineRule="exact"/>
              <w:ind w:right="163"/>
              <w:rPr>
                <w:sz w:val="16"/>
              </w:rPr>
            </w:pPr>
            <w:r>
              <w:rPr>
                <w:sz w:val="16"/>
              </w:rPr>
              <w:t>64.5%</w:t>
            </w:r>
          </w:p>
        </w:tc>
        <w:tc>
          <w:tcPr>
            <w:tcW w:w="1109" w:type="dxa"/>
          </w:tcPr>
          <w:p>
            <w:pPr>
              <w:pStyle w:val="TableParagraph"/>
              <w:spacing w:line="182" w:lineRule="exact"/>
              <w:ind w:right="163"/>
              <w:rPr>
                <w:sz w:val="16"/>
              </w:rPr>
            </w:pPr>
            <w:r>
              <w:rPr>
                <w:sz w:val="16"/>
              </w:rPr>
              <w:t>61.1%</w:t>
            </w:r>
          </w:p>
        </w:tc>
        <w:tc>
          <w:tcPr>
            <w:tcW w:w="1090" w:type="dxa"/>
          </w:tcPr>
          <w:p>
            <w:pPr>
              <w:pStyle w:val="TableParagraph"/>
              <w:spacing w:line="182" w:lineRule="exact"/>
              <w:ind w:right="144"/>
              <w:rPr>
                <w:sz w:val="16"/>
              </w:rPr>
            </w:pPr>
            <w:r>
              <w:rPr>
                <w:sz w:val="16"/>
              </w:rPr>
              <w:t>60.7%</w:t>
            </w:r>
          </w:p>
        </w:tc>
        <w:tc>
          <w:tcPr>
            <w:tcW w:w="793" w:type="dxa"/>
          </w:tcPr>
          <w:p>
            <w:pPr>
              <w:pStyle w:val="TableParagraph"/>
              <w:spacing w:line="182" w:lineRule="exact"/>
              <w:ind w:right="59"/>
              <w:rPr>
                <w:sz w:val="16"/>
              </w:rPr>
            </w:pPr>
            <w:r>
              <w:rPr>
                <w:w w:val="95"/>
                <w:sz w:val="16"/>
              </w:rPr>
              <w:t>62.</w:t>
            </w:r>
          </w:p>
        </w:tc>
      </w:tr>
      <w:tr>
        <w:trPr>
          <w:trHeight w:val="187" w:hRule="exact"/>
        </w:trPr>
        <w:tc>
          <w:tcPr>
            <w:tcW w:w="3164" w:type="dxa"/>
          </w:tcPr>
          <w:p>
            <w:pPr>
              <w:pStyle w:val="TableParagraph"/>
              <w:spacing w:line="182" w:lineRule="exact"/>
              <w:ind w:left="50"/>
              <w:jc w:val="left"/>
              <w:rPr>
                <w:sz w:val="16"/>
              </w:rPr>
            </w:pPr>
            <w:r>
              <w:rPr>
                <w:sz w:val="16"/>
              </w:rPr>
              <w:t>Average length of passenger haul</w:t>
            </w:r>
          </w:p>
        </w:tc>
        <w:tc>
          <w:tcPr>
            <w:tcW w:w="1131" w:type="dxa"/>
          </w:tcPr>
          <w:p>
            <w:pPr>
              <w:pStyle w:val="TableParagraph"/>
              <w:spacing w:line="182" w:lineRule="exact"/>
              <w:ind w:right="169"/>
              <w:rPr>
                <w:sz w:val="16"/>
              </w:rPr>
            </w:pPr>
            <w:r>
              <w:rPr>
                <w:w w:val="95"/>
                <w:sz w:val="16"/>
              </w:rPr>
              <w:t>521</w:t>
            </w:r>
          </w:p>
        </w:tc>
        <w:tc>
          <w:tcPr>
            <w:tcW w:w="1442" w:type="dxa"/>
          </w:tcPr>
          <w:p>
            <w:pPr>
              <w:pStyle w:val="TableParagraph"/>
              <w:spacing w:line="182" w:lineRule="exact"/>
              <w:ind w:right="176"/>
              <w:rPr>
                <w:sz w:val="16"/>
              </w:rPr>
            </w:pPr>
            <w:r>
              <w:rPr>
                <w:w w:val="95"/>
                <w:sz w:val="16"/>
              </w:rPr>
              <w:t>506</w:t>
            </w:r>
          </w:p>
        </w:tc>
        <w:tc>
          <w:tcPr>
            <w:tcW w:w="1426" w:type="dxa"/>
          </w:tcPr>
          <w:p>
            <w:pPr>
              <w:pStyle w:val="TableParagraph"/>
              <w:spacing w:line="182" w:lineRule="exact"/>
              <w:ind w:right="162"/>
              <w:rPr>
                <w:sz w:val="16"/>
              </w:rPr>
            </w:pPr>
            <w:r>
              <w:rPr>
                <w:w w:val="95"/>
                <w:sz w:val="16"/>
              </w:rPr>
              <w:t>509</w:t>
            </w:r>
          </w:p>
        </w:tc>
        <w:tc>
          <w:tcPr>
            <w:tcW w:w="1114" w:type="dxa"/>
          </w:tcPr>
          <w:p>
            <w:pPr>
              <w:pStyle w:val="TableParagraph"/>
              <w:spacing w:line="182" w:lineRule="exact"/>
              <w:ind w:right="167"/>
              <w:rPr>
                <w:sz w:val="16"/>
              </w:rPr>
            </w:pPr>
            <w:r>
              <w:rPr>
                <w:w w:val="95"/>
                <w:sz w:val="16"/>
              </w:rPr>
              <w:t>495</w:t>
            </w:r>
          </w:p>
        </w:tc>
        <w:tc>
          <w:tcPr>
            <w:tcW w:w="1109" w:type="dxa"/>
          </w:tcPr>
          <w:p>
            <w:pPr>
              <w:pStyle w:val="TableParagraph"/>
              <w:spacing w:line="182" w:lineRule="exact"/>
              <w:ind w:right="167"/>
              <w:rPr>
                <w:sz w:val="16"/>
              </w:rPr>
            </w:pPr>
            <w:r>
              <w:rPr>
                <w:w w:val="95"/>
                <w:sz w:val="16"/>
              </w:rPr>
              <w:t>498</w:t>
            </w:r>
          </w:p>
        </w:tc>
        <w:tc>
          <w:tcPr>
            <w:tcW w:w="1090" w:type="dxa"/>
          </w:tcPr>
          <w:p>
            <w:pPr>
              <w:pStyle w:val="TableParagraph"/>
              <w:spacing w:line="182" w:lineRule="exact"/>
              <w:ind w:right="148"/>
              <w:rPr>
                <w:sz w:val="16"/>
              </w:rPr>
            </w:pPr>
            <w:r>
              <w:rPr>
                <w:w w:val="95"/>
                <w:sz w:val="16"/>
              </w:rPr>
              <w:t>502</w:t>
            </w:r>
          </w:p>
        </w:tc>
        <w:tc>
          <w:tcPr>
            <w:tcW w:w="793" w:type="dxa"/>
          </w:tcPr>
          <w:p>
            <w:pPr/>
          </w:p>
        </w:tc>
      </w:tr>
      <w:tr>
        <w:trPr>
          <w:trHeight w:val="187" w:hRule="exact"/>
        </w:trPr>
        <w:tc>
          <w:tcPr>
            <w:tcW w:w="3164" w:type="dxa"/>
          </w:tcPr>
          <w:p>
            <w:pPr>
              <w:pStyle w:val="TableParagraph"/>
              <w:spacing w:line="182" w:lineRule="exact"/>
              <w:ind w:left="50"/>
              <w:jc w:val="left"/>
              <w:rPr>
                <w:sz w:val="16"/>
              </w:rPr>
            </w:pPr>
            <w:r>
              <w:rPr>
                <w:sz w:val="16"/>
              </w:rPr>
              <w:t>Trips flown</w:t>
            </w:r>
          </w:p>
        </w:tc>
        <w:tc>
          <w:tcPr>
            <w:tcW w:w="1131" w:type="dxa"/>
          </w:tcPr>
          <w:p>
            <w:pPr>
              <w:pStyle w:val="TableParagraph"/>
              <w:spacing w:line="182" w:lineRule="exact"/>
              <w:ind w:right="161"/>
              <w:rPr>
                <w:sz w:val="16"/>
              </w:rPr>
            </w:pPr>
            <w:r>
              <w:rPr>
                <w:sz w:val="16"/>
              </w:rPr>
              <w:t>685,524</w:t>
            </w:r>
          </w:p>
        </w:tc>
        <w:tc>
          <w:tcPr>
            <w:tcW w:w="1442" w:type="dxa"/>
          </w:tcPr>
          <w:p>
            <w:pPr>
              <w:pStyle w:val="TableParagraph"/>
              <w:spacing w:line="182" w:lineRule="exact"/>
              <w:ind w:right="167"/>
              <w:rPr>
                <w:sz w:val="16"/>
              </w:rPr>
            </w:pPr>
            <w:r>
              <w:rPr>
                <w:sz w:val="16"/>
              </w:rPr>
              <w:t>624,476</w:t>
            </w:r>
          </w:p>
        </w:tc>
        <w:tc>
          <w:tcPr>
            <w:tcW w:w="1426" w:type="dxa"/>
          </w:tcPr>
          <w:p>
            <w:pPr>
              <w:pStyle w:val="TableParagraph"/>
              <w:spacing w:line="182" w:lineRule="exact"/>
              <w:ind w:right="153"/>
              <w:rPr>
                <w:sz w:val="16"/>
              </w:rPr>
            </w:pPr>
            <w:r>
              <w:rPr>
                <w:sz w:val="16"/>
              </w:rPr>
              <w:t>546,297</w:t>
            </w:r>
          </w:p>
        </w:tc>
        <w:tc>
          <w:tcPr>
            <w:tcW w:w="1114" w:type="dxa"/>
          </w:tcPr>
          <w:p>
            <w:pPr>
              <w:pStyle w:val="TableParagraph"/>
              <w:spacing w:line="182" w:lineRule="exact"/>
              <w:ind w:right="158"/>
              <w:rPr>
                <w:sz w:val="16"/>
              </w:rPr>
            </w:pPr>
            <w:r>
              <w:rPr>
                <w:sz w:val="16"/>
              </w:rPr>
              <w:t>438,184</w:t>
            </w:r>
          </w:p>
        </w:tc>
        <w:tc>
          <w:tcPr>
            <w:tcW w:w="1109" w:type="dxa"/>
          </w:tcPr>
          <w:p>
            <w:pPr>
              <w:pStyle w:val="TableParagraph"/>
              <w:spacing w:line="182" w:lineRule="exact"/>
              <w:ind w:right="158"/>
              <w:rPr>
                <w:sz w:val="16"/>
              </w:rPr>
            </w:pPr>
            <w:r>
              <w:rPr>
                <w:sz w:val="16"/>
              </w:rPr>
              <w:t>382,752</w:t>
            </w:r>
          </w:p>
        </w:tc>
        <w:tc>
          <w:tcPr>
            <w:tcW w:w="1090" w:type="dxa"/>
          </w:tcPr>
          <w:p>
            <w:pPr>
              <w:pStyle w:val="TableParagraph"/>
              <w:spacing w:line="182" w:lineRule="exact"/>
              <w:ind w:right="139"/>
              <w:rPr>
                <w:sz w:val="16"/>
              </w:rPr>
            </w:pPr>
            <w:r>
              <w:rPr>
                <w:sz w:val="16"/>
              </w:rPr>
              <w:t>338,108</w:t>
            </w:r>
          </w:p>
        </w:tc>
        <w:tc>
          <w:tcPr>
            <w:tcW w:w="793" w:type="dxa"/>
          </w:tcPr>
          <w:p>
            <w:pPr>
              <w:pStyle w:val="TableParagraph"/>
              <w:spacing w:line="182" w:lineRule="exact"/>
              <w:ind w:right="90"/>
              <w:rPr>
                <w:sz w:val="16"/>
              </w:rPr>
            </w:pPr>
            <w:r>
              <w:rPr>
                <w:w w:val="95"/>
                <w:sz w:val="16"/>
              </w:rPr>
              <w:t>304,</w:t>
            </w:r>
          </w:p>
        </w:tc>
      </w:tr>
      <w:tr>
        <w:trPr>
          <w:trHeight w:val="187" w:hRule="exact"/>
        </w:trPr>
        <w:tc>
          <w:tcPr>
            <w:tcW w:w="3164" w:type="dxa"/>
          </w:tcPr>
          <w:p>
            <w:pPr>
              <w:pStyle w:val="TableParagraph"/>
              <w:spacing w:line="182" w:lineRule="exact"/>
              <w:ind w:left="50"/>
              <w:jc w:val="left"/>
              <w:rPr>
                <w:sz w:val="16"/>
              </w:rPr>
            </w:pPr>
            <w:r>
              <w:rPr>
                <w:sz w:val="16"/>
              </w:rPr>
              <w:t>Average passenger fare</w:t>
            </w:r>
          </w:p>
        </w:tc>
        <w:tc>
          <w:tcPr>
            <w:tcW w:w="1131" w:type="dxa"/>
          </w:tcPr>
          <w:p>
            <w:pPr>
              <w:pStyle w:val="TableParagraph"/>
              <w:spacing w:line="182" w:lineRule="exact"/>
              <w:ind w:right="163"/>
              <w:rPr>
                <w:sz w:val="16"/>
              </w:rPr>
            </w:pPr>
            <w:r>
              <w:rPr>
                <w:sz w:val="16"/>
              </w:rPr>
              <w:t>$61.64</w:t>
            </w:r>
          </w:p>
        </w:tc>
        <w:tc>
          <w:tcPr>
            <w:tcW w:w="1442" w:type="dxa"/>
          </w:tcPr>
          <w:p>
            <w:pPr>
              <w:pStyle w:val="TableParagraph"/>
              <w:spacing w:line="182" w:lineRule="exact"/>
              <w:ind w:right="170"/>
              <w:rPr>
                <w:sz w:val="16"/>
              </w:rPr>
            </w:pPr>
            <w:r>
              <w:rPr>
                <w:sz w:val="16"/>
              </w:rPr>
              <w:t>$58.44</w:t>
            </w:r>
          </w:p>
        </w:tc>
        <w:tc>
          <w:tcPr>
            <w:tcW w:w="1426" w:type="dxa"/>
          </w:tcPr>
          <w:p>
            <w:pPr>
              <w:pStyle w:val="TableParagraph"/>
              <w:spacing w:line="182" w:lineRule="exact"/>
              <w:ind w:right="155"/>
              <w:rPr>
                <w:sz w:val="16"/>
              </w:rPr>
            </w:pPr>
            <w:r>
              <w:rPr>
                <w:sz w:val="16"/>
              </w:rPr>
              <w:t>$59.97</w:t>
            </w:r>
          </w:p>
        </w:tc>
        <w:tc>
          <w:tcPr>
            <w:tcW w:w="1114" w:type="dxa"/>
          </w:tcPr>
          <w:p>
            <w:pPr>
              <w:pStyle w:val="TableParagraph"/>
              <w:spacing w:line="182" w:lineRule="exact"/>
              <w:ind w:right="161"/>
              <w:rPr>
                <w:sz w:val="16"/>
              </w:rPr>
            </w:pPr>
            <w:r>
              <w:rPr>
                <w:sz w:val="16"/>
              </w:rPr>
              <w:t>$58.33</w:t>
            </w:r>
          </w:p>
        </w:tc>
        <w:tc>
          <w:tcPr>
            <w:tcW w:w="1109" w:type="dxa"/>
          </w:tcPr>
          <w:p>
            <w:pPr>
              <w:pStyle w:val="TableParagraph"/>
              <w:spacing w:line="182" w:lineRule="exact"/>
              <w:ind w:right="161"/>
              <w:rPr>
                <w:sz w:val="16"/>
              </w:rPr>
            </w:pPr>
            <w:r>
              <w:rPr>
                <w:sz w:val="16"/>
              </w:rPr>
              <w:t>$55.93</w:t>
            </w:r>
          </w:p>
        </w:tc>
        <w:tc>
          <w:tcPr>
            <w:tcW w:w="1090" w:type="dxa"/>
          </w:tcPr>
          <w:p>
            <w:pPr>
              <w:pStyle w:val="TableParagraph"/>
              <w:spacing w:line="182" w:lineRule="exact"/>
              <w:ind w:right="142"/>
              <w:rPr>
                <w:sz w:val="16"/>
              </w:rPr>
            </w:pPr>
            <w:r>
              <w:rPr>
                <w:sz w:val="16"/>
              </w:rPr>
              <w:t>$57.71</w:t>
            </w:r>
          </w:p>
        </w:tc>
        <w:tc>
          <w:tcPr>
            <w:tcW w:w="793" w:type="dxa"/>
          </w:tcPr>
          <w:p>
            <w:pPr>
              <w:pStyle w:val="TableParagraph"/>
              <w:spacing w:line="182" w:lineRule="exact"/>
              <w:ind w:right="49"/>
              <w:rPr>
                <w:sz w:val="16"/>
              </w:rPr>
            </w:pPr>
            <w:r>
              <w:rPr>
                <w:w w:val="95"/>
                <w:sz w:val="16"/>
              </w:rPr>
              <w:t>$54</w:t>
            </w:r>
          </w:p>
        </w:tc>
      </w:tr>
      <w:tr>
        <w:trPr>
          <w:trHeight w:val="187" w:hRule="exact"/>
        </w:trPr>
        <w:tc>
          <w:tcPr>
            <w:tcW w:w="3164" w:type="dxa"/>
          </w:tcPr>
          <w:p>
            <w:pPr>
              <w:pStyle w:val="TableParagraph"/>
              <w:spacing w:line="182" w:lineRule="exact"/>
              <w:ind w:left="50"/>
              <w:jc w:val="left"/>
              <w:rPr>
                <w:sz w:val="16"/>
              </w:rPr>
            </w:pPr>
            <w:r>
              <w:rPr>
                <w:sz w:val="16"/>
              </w:rPr>
              <w:t>Passenger revenue yield per RPM</w:t>
            </w:r>
          </w:p>
        </w:tc>
        <w:tc>
          <w:tcPr>
            <w:tcW w:w="1131" w:type="dxa"/>
          </w:tcPr>
          <w:p>
            <w:pPr>
              <w:pStyle w:val="TableParagraph"/>
              <w:spacing w:line="182" w:lineRule="exact"/>
              <w:ind w:right="163"/>
              <w:rPr>
                <w:sz w:val="16"/>
              </w:rPr>
            </w:pPr>
            <w:r>
              <w:rPr>
                <w:w w:val="95"/>
                <w:sz w:val="16"/>
              </w:rPr>
              <w:t>11.83¢</w:t>
            </w:r>
          </w:p>
        </w:tc>
        <w:tc>
          <w:tcPr>
            <w:tcW w:w="1442" w:type="dxa"/>
          </w:tcPr>
          <w:p>
            <w:pPr>
              <w:pStyle w:val="TableParagraph"/>
              <w:spacing w:line="182" w:lineRule="exact"/>
              <w:ind w:right="170"/>
              <w:rPr>
                <w:sz w:val="16"/>
              </w:rPr>
            </w:pPr>
            <w:r>
              <w:rPr>
                <w:w w:val="95"/>
                <w:sz w:val="16"/>
              </w:rPr>
              <w:t>11.56¢</w:t>
            </w:r>
          </w:p>
        </w:tc>
        <w:tc>
          <w:tcPr>
            <w:tcW w:w="1426" w:type="dxa"/>
          </w:tcPr>
          <w:p>
            <w:pPr>
              <w:pStyle w:val="TableParagraph"/>
              <w:spacing w:line="182" w:lineRule="exact"/>
              <w:ind w:right="155"/>
              <w:rPr>
                <w:sz w:val="16"/>
              </w:rPr>
            </w:pPr>
            <w:r>
              <w:rPr>
                <w:w w:val="95"/>
                <w:sz w:val="16"/>
              </w:rPr>
              <w:t>11.77¢</w:t>
            </w:r>
          </w:p>
        </w:tc>
        <w:tc>
          <w:tcPr>
            <w:tcW w:w="1114" w:type="dxa"/>
          </w:tcPr>
          <w:p>
            <w:pPr>
              <w:pStyle w:val="TableParagraph"/>
              <w:spacing w:line="182" w:lineRule="exact"/>
              <w:ind w:right="161"/>
              <w:rPr>
                <w:sz w:val="16"/>
              </w:rPr>
            </w:pPr>
            <w:r>
              <w:rPr>
                <w:w w:val="95"/>
                <w:sz w:val="16"/>
              </w:rPr>
              <w:t>11.78¢</w:t>
            </w:r>
          </w:p>
        </w:tc>
        <w:tc>
          <w:tcPr>
            <w:tcW w:w="1109" w:type="dxa"/>
          </w:tcPr>
          <w:p>
            <w:pPr>
              <w:pStyle w:val="TableParagraph"/>
              <w:spacing w:line="182" w:lineRule="exact"/>
              <w:ind w:right="161"/>
              <w:rPr>
                <w:sz w:val="16"/>
              </w:rPr>
            </w:pPr>
            <w:r>
              <w:rPr>
                <w:w w:val="95"/>
                <w:sz w:val="16"/>
              </w:rPr>
              <w:t>11.22¢</w:t>
            </w:r>
          </w:p>
        </w:tc>
        <w:tc>
          <w:tcPr>
            <w:tcW w:w="1090" w:type="dxa"/>
          </w:tcPr>
          <w:p>
            <w:pPr>
              <w:pStyle w:val="TableParagraph"/>
              <w:spacing w:line="182" w:lineRule="exact"/>
              <w:ind w:right="142"/>
              <w:rPr>
                <w:sz w:val="16"/>
              </w:rPr>
            </w:pPr>
            <w:r>
              <w:rPr>
                <w:w w:val="95"/>
                <w:sz w:val="16"/>
              </w:rPr>
              <w:t>11.49¢</w:t>
            </w:r>
          </w:p>
        </w:tc>
        <w:tc>
          <w:tcPr>
            <w:tcW w:w="793" w:type="dxa"/>
          </w:tcPr>
          <w:p>
            <w:pPr>
              <w:pStyle w:val="TableParagraph"/>
              <w:spacing w:line="182" w:lineRule="exact"/>
              <w:ind w:right="93"/>
              <w:rPr>
                <w:sz w:val="16"/>
              </w:rPr>
            </w:pPr>
            <w:r>
              <w:rPr>
                <w:w w:val="95"/>
                <w:sz w:val="16"/>
              </w:rPr>
              <w:t>10.</w:t>
            </w:r>
          </w:p>
        </w:tc>
      </w:tr>
      <w:tr>
        <w:trPr>
          <w:trHeight w:val="187" w:hRule="exact"/>
        </w:trPr>
        <w:tc>
          <w:tcPr>
            <w:tcW w:w="3164" w:type="dxa"/>
          </w:tcPr>
          <w:p>
            <w:pPr>
              <w:pStyle w:val="TableParagraph"/>
              <w:spacing w:line="182" w:lineRule="exact"/>
              <w:ind w:left="50"/>
              <w:jc w:val="left"/>
              <w:rPr>
                <w:sz w:val="16"/>
              </w:rPr>
            </w:pPr>
            <w:r>
              <w:rPr>
                <w:sz w:val="16"/>
              </w:rPr>
              <w:t>Operating revenue yield per ASM</w:t>
            </w:r>
          </w:p>
        </w:tc>
        <w:tc>
          <w:tcPr>
            <w:tcW w:w="1131" w:type="dxa"/>
          </w:tcPr>
          <w:p>
            <w:pPr>
              <w:pStyle w:val="TableParagraph"/>
              <w:spacing w:line="182" w:lineRule="exact"/>
              <w:ind w:right="166"/>
              <w:rPr>
                <w:sz w:val="16"/>
              </w:rPr>
            </w:pPr>
            <w:r>
              <w:rPr>
                <w:w w:val="95"/>
                <w:sz w:val="16"/>
              </w:rPr>
              <w:t>7.94¢</w:t>
            </w:r>
          </w:p>
        </w:tc>
        <w:tc>
          <w:tcPr>
            <w:tcW w:w="1442" w:type="dxa"/>
          </w:tcPr>
          <w:p>
            <w:pPr>
              <w:pStyle w:val="TableParagraph"/>
              <w:spacing w:line="182" w:lineRule="exact"/>
              <w:ind w:right="172"/>
              <w:rPr>
                <w:sz w:val="16"/>
              </w:rPr>
            </w:pPr>
            <w:r>
              <w:rPr>
                <w:w w:val="95"/>
                <w:sz w:val="16"/>
              </w:rPr>
              <w:t>8.07¢</w:t>
            </w:r>
          </w:p>
        </w:tc>
        <w:tc>
          <w:tcPr>
            <w:tcW w:w="1426" w:type="dxa"/>
          </w:tcPr>
          <w:p>
            <w:pPr>
              <w:pStyle w:val="TableParagraph"/>
              <w:spacing w:line="182" w:lineRule="exact"/>
              <w:ind w:right="158"/>
              <w:rPr>
                <w:sz w:val="16"/>
              </w:rPr>
            </w:pPr>
            <w:r>
              <w:rPr>
                <w:w w:val="95"/>
                <w:sz w:val="16"/>
              </w:rPr>
              <w:t>8.35¢</w:t>
            </w:r>
          </w:p>
        </w:tc>
        <w:tc>
          <w:tcPr>
            <w:tcW w:w="1114" w:type="dxa"/>
          </w:tcPr>
          <w:p>
            <w:pPr>
              <w:pStyle w:val="TableParagraph"/>
              <w:spacing w:line="182" w:lineRule="exact"/>
              <w:ind w:right="163"/>
              <w:rPr>
                <w:sz w:val="16"/>
              </w:rPr>
            </w:pPr>
            <w:r>
              <w:rPr>
                <w:w w:val="95"/>
                <w:sz w:val="16"/>
              </w:rPr>
              <w:t>7.89¢</w:t>
            </w:r>
          </w:p>
        </w:tc>
        <w:tc>
          <w:tcPr>
            <w:tcW w:w="1109" w:type="dxa"/>
          </w:tcPr>
          <w:p>
            <w:pPr>
              <w:pStyle w:val="TableParagraph"/>
              <w:spacing w:line="182" w:lineRule="exact"/>
              <w:ind w:right="163"/>
              <w:rPr>
                <w:sz w:val="16"/>
              </w:rPr>
            </w:pPr>
            <w:r>
              <w:rPr>
                <w:w w:val="95"/>
                <w:sz w:val="16"/>
              </w:rPr>
              <w:t>7.10¢</w:t>
            </w:r>
          </w:p>
        </w:tc>
        <w:tc>
          <w:tcPr>
            <w:tcW w:w="1090" w:type="dxa"/>
          </w:tcPr>
          <w:p>
            <w:pPr>
              <w:pStyle w:val="TableParagraph"/>
              <w:spacing w:line="182" w:lineRule="exact"/>
              <w:ind w:right="144"/>
              <w:rPr>
                <w:sz w:val="16"/>
              </w:rPr>
            </w:pPr>
            <w:r>
              <w:rPr>
                <w:w w:val="95"/>
                <w:sz w:val="16"/>
              </w:rPr>
              <w:t>7.23¢</w:t>
            </w:r>
          </w:p>
        </w:tc>
        <w:tc>
          <w:tcPr>
            <w:tcW w:w="793" w:type="dxa"/>
          </w:tcPr>
          <w:p>
            <w:pPr>
              <w:pStyle w:val="TableParagraph"/>
              <w:spacing w:line="182" w:lineRule="exact"/>
              <w:ind w:right="95"/>
              <w:rPr>
                <w:sz w:val="16"/>
              </w:rPr>
            </w:pPr>
            <w:r>
              <w:rPr>
                <w:sz w:val="16"/>
              </w:rPr>
              <w:t>6.</w:t>
            </w:r>
          </w:p>
        </w:tc>
      </w:tr>
      <w:tr>
        <w:trPr>
          <w:trHeight w:val="187" w:hRule="exact"/>
        </w:trPr>
        <w:tc>
          <w:tcPr>
            <w:tcW w:w="3164" w:type="dxa"/>
          </w:tcPr>
          <w:p>
            <w:pPr>
              <w:pStyle w:val="TableParagraph"/>
              <w:spacing w:line="182" w:lineRule="exact"/>
              <w:ind w:left="50"/>
              <w:jc w:val="left"/>
              <w:rPr>
                <w:sz w:val="16"/>
              </w:rPr>
            </w:pPr>
            <w:r>
              <w:rPr>
                <w:sz w:val="16"/>
              </w:rPr>
              <w:t>Operating expenses per ASM</w:t>
            </w:r>
          </w:p>
        </w:tc>
        <w:tc>
          <w:tcPr>
            <w:tcW w:w="1131" w:type="dxa"/>
          </w:tcPr>
          <w:p>
            <w:pPr>
              <w:pStyle w:val="TableParagraph"/>
              <w:spacing w:line="182" w:lineRule="exact"/>
              <w:ind w:right="166"/>
              <w:rPr>
                <w:sz w:val="16"/>
              </w:rPr>
            </w:pPr>
            <w:r>
              <w:rPr>
                <w:w w:val="95"/>
                <w:sz w:val="16"/>
              </w:rPr>
              <w:t>7.07¢</w:t>
            </w:r>
          </w:p>
        </w:tc>
        <w:tc>
          <w:tcPr>
            <w:tcW w:w="1442" w:type="dxa"/>
          </w:tcPr>
          <w:p>
            <w:pPr>
              <w:pStyle w:val="TableParagraph"/>
              <w:spacing w:line="182" w:lineRule="exact"/>
              <w:ind w:right="172"/>
              <w:rPr>
                <w:sz w:val="16"/>
              </w:rPr>
            </w:pPr>
            <w:r>
              <w:rPr>
                <w:w w:val="95"/>
                <w:sz w:val="16"/>
              </w:rPr>
              <w:t>7.08¢</w:t>
            </w:r>
          </w:p>
        </w:tc>
        <w:tc>
          <w:tcPr>
            <w:tcW w:w="1426" w:type="dxa"/>
          </w:tcPr>
          <w:p>
            <w:pPr>
              <w:pStyle w:val="TableParagraph"/>
              <w:spacing w:line="182" w:lineRule="exact"/>
              <w:ind w:right="149"/>
              <w:rPr>
                <w:sz w:val="16"/>
              </w:rPr>
            </w:pPr>
            <w:r>
              <w:rPr>
                <w:sz w:val="16"/>
              </w:rPr>
              <w:t>7.25¢ (13)</w:t>
            </w:r>
          </w:p>
        </w:tc>
        <w:tc>
          <w:tcPr>
            <w:tcW w:w="1114" w:type="dxa"/>
          </w:tcPr>
          <w:p>
            <w:pPr>
              <w:pStyle w:val="TableParagraph"/>
              <w:spacing w:line="182" w:lineRule="exact"/>
              <w:ind w:right="163"/>
              <w:rPr>
                <w:sz w:val="16"/>
              </w:rPr>
            </w:pPr>
            <w:r>
              <w:rPr>
                <w:w w:val="95"/>
                <w:sz w:val="16"/>
              </w:rPr>
              <w:t>7.03¢</w:t>
            </w:r>
          </w:p>
        </w:tc>
        <w:tc>
          <w:tcPr>
            <w:tcW w:w="1109" w:type="dxa"/>
          </w:tcPr>
          <w:p>
            <w:pPr>
              <w:pStyle w:val="TableParagraph"/>
              <w:spacing w:line="182" w:lineRule="exact"/>
              <w:ind w:right="163"/>
              <w:rPr>
                <w:sz w:val="16"/>
              </w:rPr>
            </w:pPr>
            <w:r>
              <w:rPr>
                <w:w w:val="95"/>
                <w:sz w:val="16"/>
              </w:rPr>
              <w:t>6.76¢</w:t>
            </w:r>
          </w:p>
        </w:tc>
        <w:tc>
          <w:tcPr>
            <w:tcW w:w="1090" w:type="dxa"/>
          </w:tcPr>
          <w:p>
            <w:pPr>
              <w:pStyle w:val="TableParagraph"/>
              <w:spacing w:line="182" w:lineRule="exact"/>
              <w:ind w:right="144"/>
              <w:rPr>
                <w:sz w:val="16"/>
              </w:rPr>
            </w:pPr>
            <w:r>
              <w:rPr>
                <w:w w:val="95"/>
                <w:sz w:val="16"/>
              </w:rPr>
              <w:t>6.73¢</w:t>
            </w:r>
          </w:p>
        </w:tc>
        <w:tc>
          <w:tcPr>
            <w:tcW w:w="793" w:type="dxa"/>
          </w:tcPr>
          <w:p>
            <w:pPr>
              <w:pStyle w:val="TableParagraph"/>
              <w:spacing w:line="182" w:lineRule="exact"/>
              <w:ind w:right="95"/>
              <w:rPr>
                <w:sz w:val="16"/>
              </w:rPr>
            </w:pPr>
            <w:r>
              <w:rPr>
                <w:sz w:val="16"/>
              </w:rPr>
              <w:t>6.</w:t>
            </w:r>
          </w:p>
        </w:tc>
      </w:tr>
      <w:tr>
        <w:trPr>
          <w:trHeight w:val="187" w:hRule="exact"/>
        </w:trPr>
        <w:tc>
          <w:tcPr>
            <w:tcW w:w="3164" w:type="dxa"/>
          </w:tcPr>
          <w:p>
            <w:pPr>
              <w:pStyle w:val="TableParagraph"/>
              <w:spacing w:line="182" w:lineRule="exact"/>
              <w:ind w:left="50"/>
              <w:jc w:val="left"/>
              <w:rPr>
                <w:sz w:val="16"/>
              </w:rPr>
            </w:pPr>
            <w:r>
              <w:rPr>
                <w:sz w:val="16"/>
              </w:rPr>
              <w:t>Fuel cost per gallon (average)</w:t>
            </w:r>
          </w:p>
        </w:tc>
        <w:tc>
          <w:tcPr>
            <w:tcW w:w="1131" w:type="dxa"/>
          </w:tcPr>
          <w:p>
            <w:pPr>
              <w:pStyle w:val="TableParagraph"/>
              <w:spacing w:line="182" w:lineRule="exact"/>
              <w:ind w:right="163"/>
              <w:rPr>
                <w:sz w:val="16"/>
              </w:rPr>
            </w:pPr>
            <w:r>
              <w:rPr>
                <w:w w:val="95"/>
                <w:sz w:val="16"/>
              </w:rPr>
              <w:t>55.22¢</w:t>
            </w:r>
          </w:p>
        </w:tc>
        <w:tc>
          <w:tcPr>
            <w:tcW w:w="1442" w:type="dxa"/>
          </w:tcPr>
          <w:p>
            <w:pPr>
              <w:pStyle w:val="TableParagraph"/>
              <w:spacing w:line="182" w:lineRule="exact"/>
              <w:ind w:right="170"/>
              <w:rPr>
                <w:sz w:val="16"/>
              </w:rPr>
            </w:pPr>
            <w:r>
              <w:rPr>
                <w:w w:val="95"/>
                <w:sz w:val="16"/>
              </w:rPr>
              <w:t>53.92¢</w:t>
            </w:r>
          </w:p>
        </w:tc>
        <w:tc>
          <w:tcPr>
            <w:tcW w:w="1426" w:type="dxa"/>
          </w:tcPr>
          <w:p>
            <w:pPr>
              <w:pStyle w:val="TableParagraph"/>
              <w:spacing w:line="182" w:lineRule="exact"/>
              <w:ind w:right="155"/>
              <w:rPr>
                <w:sz w:val="16"/>
              </w:rPr>
            </w:pPr>
            <w:r>
              <w:rPr>
                <w:w w:val="95"/>
                <w:sz w:val="16"/>
              </w:rPr>
              <w:t>59.15¢</w:t>
            </w:r>
          </w:p>
        </w:tc>
        <w:tc>
          <w:tcPr>
            <w:tcW w:w="1114" w:type="dxa"/>
          </w:tcPr>
          <w:p>
            <w:pPr>
              <w:pStyle w:val="TableParagraph"/>
              <w:spacing w:line="182" w:lineRule="exact"/>
              <w:ind w:right="161"/>
              <w:rPr>
                <w:sz w:val="16"/>
              </w:rPr>
            </w:pPr>
            <w:r>
              <w:rPr>
                <w:w w:val="95"/>
                <w:sz w:val="16"/>
              </w:rPr>
              <w:t>60.82¢</w:t>
            </w:r>
          </w:p>
        </w:tc>
        <w:tc>
          <w:tcPr>
            <w:tcW w:w="1109" w:type="dxa"/>
          </w:tcPr>
          <w:p>
            <w:pPr>
              <w:pStyle w:val="TableParagraph"/>
              <w:spacing w:line="182" w:lineRule="exact"/>
              <w:ind w:right="161"/>
              <w:rPr>
                <w:sz w:val="16"/>
              </w:rPr>
            </w:pPr>
            <w:r>
              <w:rPr>
                <w:w w:val="95"/>
                <w:sz w:val="16"/>
              </w:rPr>
              <w:t>65.69¢</w:t>
            </w:r>
          </w:p>
        </w:tc>
        <w:tc>
          <w:tcPr>
            <w:tcW w:w="1090" w:type="dxa"/>
          </w:tcPr>
          <w:p>
            <w:pPr>
              <w:pStyle w:val="TableParagraph"/>
              <w:spacing w:line="182" w:lineRule="exact"/>
              <w:ind w:right="142"/>
              <w:rPr>
                <w:sz w:val="16"/>
              </w:rPr>
            </w:pPr>
            <w:r>
              <w:rPr>
                <w:w w:val="95"/>
                <w:sz w:val="16"/>
              </w:rPr>
              <w:t>77.89¢</w:t>
            </w:r>
          </w:p>
        </w:tc>
        <w:tc>
          <w:tcPr>
            <w:tcW w:w="793" w:type="dxa"/>
          </w:tcPr>
          <w:p>
            <w:pPr>
              <w:pStyle w:val="TableParagraph"/>
              <w:spacing w:line="182" w:lineRule="exact"/>
              <w:ind w:right="93"/>
              <w:rPr>
                <w:sz w:val="16"/>
              </w:rPr>
            </w:pPr>
            <w:r>
              <w:rPr>
                <w:w w:val="95"/>
                <w:sz w:val="16"/>
              </w:rPr>
              <w:t>59.</w:t>
            </w:r>
          </w:p>
        </w:tc>
      </w:tr>
      <w:tr>
        <w:trPr>
          <w:trHeight w:val="187" w:hRule="exact"/>
        </w:trPr>
        <w:tc>
          <w:tcPr>
            <w:tcW w:w="3164" w:type="dxa"/>
          </w:tcPr>
          <w:p>
            <w:pPr>
              <w:pStyle w:val="TableParagraph"/>
              <w:spacing w:line="182" w:lineRule="exact"/>
              <w:ind w:left="50"/>
              <w:jc w:val="left"/>
              <w:rPr>
                <w:sz w:val="16"/>
              </w:rPr>
            </w:pPr>
            <w:r>
              <w:rPr>
                <w:sz w:val="16"/>
              </w:rPr>
              <w:t>Number of Employees at yearend</w:t>
            </w:r>
          </w:p>
        </w:tc>
        <w:tc>
          <w:tcPr>
            <w:tcW w:w="1131" w:type="dxa"/>
          </w:tcPr>
          <w:p>
            <w:pPr>
              <w:pStyle w:val="TableParagraph"/>
              <w:spacing w:line="182" w:lineRule="exact"/>
              <w:ind w:right="163"/>
              <w:rPr>
                <w:sz w:val="16"/>
              </w:rPr>
            </w:pPr>
            <w:r>
              <w:rPr>
                <w:w w:val="95"/>
                <w:sz w:val="16"/>
              </w:rPr>
              <w:t>19,933</w:t>
            </w:r>
          </w:p>
        </w:tc>
        <w:tc>
          <w:tcPr>
            <w:tcW w:w="1442" w:type="dxa"/>
          </w:tcPr>
          <w:p>
            <w:pPr>
              <w:pStyle w:val="TableParagraph"/>
              <w:spacing w:line="182" w:lineRule="exact"/>
              <w:ind w:right="170"/>
              <w:rPr>
                <w:sz w:val="16"/>
              </w:rPr>
            </w:pPr>
            <w:r>
              <w:rPr>
                <w:w w:val="95"/>
                <w:sz w:val="16"/>
              </w:rPr>
              <w:t>16,818</w:t>
            </w:r>
          </w:p>
        </w:tc>
        <w:tc>
          <w:tcPr>
            <w:tcW w:w="1426" w:type="dxa"/>
          </w:tcPr>
          <w:p>
            <w:pPr>
              <w:pStyle w:val="TableParagraph"/>
              <w:spacing w:line="182" w:lineRule="exact"/>
              <w:ind w:right="155"/>
              <w:rPr>
                <w:sz w:val="16"/>
              </w:rPr>
            </w:pPr>
            <w:r>
              <w:rPr>
                <w:w w:val="95"/>
                <w:sz w:val="16"/>
              </w:rPr>
              <w:t>15,175</w:t>
            </w:r>
          </w:p>
        </w:tc>
        <w:tc>
          <w:tcPr>
            <w:tcW w:w="1114" w:type="dxa"/>
          </w:tcPr>
          <w:p>
            <w:pPr>
              <w:pStyle w:val="TableParagraph"/>
              <w:spacing w:line="182" w:lineRule="exact"/>
              <w:ind w:right="161"/>
              <w:rPr>
                <w:sz w:val="16"/>
              </w:rPr>
            </w:pPr>
            <w:r>
              <w:rPr>
                <w:w w:val="95"/>
                <w:sz w:val="16"/>
              </w:rPr>
              <w:t>11,397</w:t>
            </w:r>
          </w:p>
        </w:tc>
        <w:tc>
          <w:tcPr>
            <w:tcW w:w="1109" w:type="dxa"/>
          </w:tcPr>
          <w:p>
            <w:pPr>
              <w:pStyle w:val="TableParagraph"/>
              <w:spacing w:line="182" w:lineRule="exact"/>
              <w:ind w:right="163"/>
              <w:rPr>
                <w:sz w:val="16"/>
              </w:rPr>
            </w:pPr>
            <w:r>
              <w:rPr>
                <w:w w:val="95"/>
                <w:sz w:val="16"/>
              </w:rPr>
              <w:t>9,778</w:t>
            </w:r>
          </w:p>
        </w:tc>
        <w:tc>
          <w:tcPr>
            <w:tcW w:w="1090" w:type="dxa"/>
          </w:tcPr>
          <w:p>
            <w:pPr>
              <w:pStyle w:val="TableParagraph"/>
              <w:spacing w:line="182" w:lineRule="exact"/>
              <w:ind w:right="144"/>
              <w:rPr>
                <w:sz w:val="16"/>
              </w:rPr>
            </w:pPr>
            <w:r>
              <w:rPr>
                <w:w w:val="95"/>
                <w:sz w:val="16"/>
              </w:rPr>
              <w:t>8,620</w:t>
            </w:r>
          </w:p>
        </w:tc>
        <w:tc>
          <w:tcPr>
            <w:tcW w:w="793" w:type="dxa"/>
          </w:tcPr>
          <w:p>
            <w:pPr>
              <w:pStyle w:val="TableParagraph"/>
              <w:spacing w:line="182" w:lineRule="exact"/>
              <w:ind w:right="95"/>
              <w:rPr>
                <w:sz w:val="16"/>
              </w:rPr>
            </w:pPr>
            <w:r>
              <w:rPr>
                <w:sz w:val="16"/>
              </w:rPr>
              <w:t>7,</w:t>
            </w:r>
          </w:p>
        </w:tc>
      </w:tr>
      <w:tr>
        <w:trPr>
          <w:trHeight w:val="182" w:hRule="exact"/>
        </w:trPr>
        <w:tc>
          <w:tcPr>
            <w:tcW w:w="3164" w:type="dxa"/>
          </w:tcPr>
          <w:p>
            <w:pPr>
              <w:pStyle w:val="TableParagraph"/>
              <w:spacing w:line="182" w:lineRule="exact"/>
              <w:ind w:left="50"/>
              <w:jc w:val="left"/>
              <w:rPr>
                <w:sz w:val="16"/>
              </w:rPr>
            </w:pPr>
            <w:r>
              <w:rPr>
                <w:sz w:val="16"/>
              </w:rPr>
              <w:t>Size of fleet at yearend (14)</w:t>
            </w:r>
          </w:p>
        </w:tc>
        <w:tc>
          <w:tcPr>
            <w:tcW w:w="1131" w:type="dxa"/>
          </w:tcPr>
          <w:p>
            <w:pPr>
              <w:pStyle w:val="TableParagraph"/>
              <w:spacing w:line="182" w:lineRule="exact"/>
              <w:ind w:right="169"/>
              <w:rPr>
                <w:sz w:val="16"/>
              </w:rPr>
            </w:pPr>
            <w:r>
              <w:rPr>
                <w:w w:val="95"/>
                <w:sz w:val="16"/>
              </w:rPr>
              <w:t>224</w:t>
            </w:r>
          </w:p>
        </w:tc>
        <w:tc>
          <w:tcPr>
            <w:tcW w:w="1442" w:type="dxa"/>
          </w:tcPr>
          <w:p>
            <w:pPr>
              <w:pStyle w:val="TableParagraph"/>
              <w:spacing w:line="182" w:lineRule="exact"/>
              <w:ind w:right="176"/>
              <w:rPr>
                <w:sz w:val="16"/>
              </w:rPr>
            </w:pPr>
            <w:r>
              <w:rPr>
                <w:w w:val="95"/>
                <w:sz w:val="16"/>
              </w:rPr>
              <w:t>199</w:t>
            </w:r>
          </w:p>
        </w:tc>
        <w:tc>
          <w:tcPr>
            <w:tcW w:w="1426" w:type="dxa"/>
          </w:tcPr>
          <w:p>
            <w:pPr>
              <w:pStyle w:val="TableParagraph"/>
              <w:spacing w:line="182" w:lineRule="exact"/>
              <w:ind w:right="162"/>
              <w:rPr>
                <w:sz w:val="16"/>
              </w:rPr>
            </w:pPr>
            <w:r>
              <w:rPr>
                <w:w w:val="95"/>
                <w:sz w:val="16"/>
              </w:rPr>
              <w:t>178</w:t>
            </w:r>
          </w:p>
        </w:tc>
        <w:tc>
          <w:tcPr>
            <w:tcW w:w="1114" w:type="dxa"/>
          </w:tcPr>
          <w:p>
            <w:pPr>
              <w:pStyle w:val="TableParagraph"/>
              <w:spacing w:line="182" w:lineRule="exact"/>
              <w:ind w:right="167"/>
              <w:rPr>
                <w:sz w:val="16"/>
              </w:rPr>
            </w:pPr>
            <w:r>
              <w:rPr>
                <w:w w:val="95"/>
                <w:sz w:val="16"/>
              </w:rPr>
              <w:t>141</w:t>
            </w:r>
          </w:p>
        </w:tc>
        <w:tc>
          <w:tcPr>
            <w:tcW w:w="1109" w:type="dxa"/>
          </w:tcPr>
          <w:p>
            <w:pPr>
              <w:pStyle w:val="TableParagraph"/>
              <w:spacing w:line="182" w:lineRule="exact"/>
              <w:ind w:right="167"/>
              <w:rPr>
                <w:sz w:val="16"/>
              </w:rPr>
            </w:pPr>
            <w:r>
              <w:rPr>
                <w:w w:val="95"/>
                <w:sz w:val="16"/>
              </w:rPr>
              <w:t>124</w:t>
            </w:r>
          </w:p>
        </w:tc>
        <w:tc>
          <w:tcPr>
            <w:tcW w:w="1090" w:type="dxa"/>
          </w:tcPr>
          <w:p>
            <w:pPr>
              <w:pStyle w:val="TableParagraph"/>
              <w:spacing w:line="182" w:lineRule="exact"/>
              <w:ind w:right="148"/>
              <w:rPr>
                <w:sz w:val="16"/>
              </w:rPr>
            </w:pPr>
            <w:r>
              <w:rPr>
                <w:w w:val="95"/>
                <w:sz w:val="16"/>
              </w:rPr>
              <w:t>106</w:t>
            </w:r>
          </w:p>
        </w:tc>
        <w:tc>
          <w:tcPr>
            <w:tcW w:w="793" w:type="dxa"/>
          </w:tcPr>
          <w:p>
            <w:pPr/>
          </w:p>
        </w:tc>
      </w:tr>
    </w:tbl>
    <w:p>
      <w:pPr>
        <w:pStyle w:val="ListParagraph"/>
        <w:numPr>
          <w:ilvl w:val="0"/>
          <w:numId w:val="4"/>
        </w:numPr>
        <w:tabs>
          <w:tab w:pos="446" w:val="left" w:leader="none"/>
        </w:tabs>
        <w:spacing w:line="244" w:lineRule="auto" w:before="190" w:after="0"/>
        <w:ind w:left="160" w:right="200" w:firstLine="0"/>
        <w:jc w:val="left"/>
        <w:rPr>
          <w:sz w:val="16"/>
        </w:rPr>
      </w:pPr>
      <w:r>
        <w:rPr>
          <w:sz w:val="16"/>
        </w:rPr>
        <w:t>The Selected Consolidated Financial Data and Consolidated Financial Ratios for 1992 through 1989 have been restated to include the financial results of restatement</w:t>
      </w:r>
      <w:r>
        <w:rPr>
          <w:spacing w:val="-18"/>
          <w:sz w:val="16"/>
        </w:rPr>
        <w:t> </w:t>
      </w:r>
      <w:r>
        <w:rPr>
          <w:sz w:val="16"/>
        </w:rPr>
        <w:t>purposes</w:t>
      </w:r>
    </w:p>
    <w:p>
      <w:pPr>
        <w:pStyle w:val="ListParagraph"/>
        <w:numPr>
          <w:ilvl w:val="0"/>
          <w:numId w:val="4"/>
        </w:numPr>
        <w:tabs>
          <w:tab w:pos="446" w:val="left" w:leader="none"/>
        </w:tabs>
        <w:spacing w:line="184" w:lineRule="exact" w:before="0" w:after="0"/>
        <w:ind w:left="445" w:right="0" w:hanging="285"/>
        <w:jc w:val="left"/>
        <w:rPr>
          <w:sz w:val="16"/>
        </w:rPr>
      </w:pPr>
      <w:r>
        <w:rPr>
          <w:sz w:val="16"/>
        </w:rPr>
        <w:t>Prior</w:t>
      </w:r>
      <w:r>
        <w:rPr>
          <w:spacing w:val="-2"/>
          <w:sz w:val="16"/>
        </w:rPr>
        <w:t> </w:t>
      </w:r>
      <w:r>
        <w:rPr>
          <w:sz w:val="16"/>
        </w:rPr>
        <w:t>to</w:t>
      </w:r>
      <w:r>
        <w:rPr>
          <w:spacing w:val="-2"/>
          <w:sz w:val="16"/>
        </w:rPr>
        <w:t> </w:t>
      </w:r>
      <w:r>
        <w:rPr>
          <w:sz w:val="16"/>
        </w:rPr>
        <w:t>1993,</w:t>
      </w:r>
      <w:r>
        <w:rPr>
          <w:spacing w:val="-5"/>
          <w:sz w:val="16"/>
        </w:rPr>
        <w:t> </w:t>
      </w:r>
      <w:r>
        <w:rPr>
          <w:sz w:val="16"/>
        </w:rPr>
        <w:t>Morris</w:t>
      </w:r>
      <w:r>
        <w:rPr>
          <w:spacing w:val="-2"/>
          <w:sz w:val="16"/>
        </w:rPr>
        <w:t> </w:t>
      </w:r>
      <w:r>
        <w:rPr>
          <w:sz w:val="16"/>
        </w:rPr>
        <w:t>operated</w:t>
      </w:r>
      <w:r>
        <w:rPr>
          <w:spacing w:val="-6"/>
          <w:sz w:val="16"/>
        </w:rPr>
        <w:t> </w:t>
      </w:r>
      <w:r>
        <w:rPr>
          <w:sz w:val="16"/>
        </w:rPr>
        <w:t>as</w:t>
      </w:r>
      <w:r>
        <w:rPr>
          <w:spacing w:val="-3"/>
          <w:sz w:val="16"/>
        </w:rPr>
        <w:t> </w:t>
      </w:r>
      <w:r>
        <w:rPr>
          <w:sz w:val="16"/>
        </w:rPr>
        <w:t>a</w:t>
      </w:r>
      <w:r>
        <w:rPr>
          <w:spacing w:val="-2"/>
          <w:sz w:val="16"/>
        </w:rPr>
        <w:t> </w:t>
      </w:r>
      <w:r>
        <w:rPr>
          <w:sz w:val="16"/>
        </w:rPr>
        <w:t>charter</w:t>
      </w:r>
      <w:r>
        <w:rPr>
          <w:spacing w:val="1"/>
          <w:sz w:val="16"/>
        </w:rPr>
        <w:t> </w:t>
      </w:r>
      <w:r>
        <w:rPr>
          <w:sz w:val="16"/>
        </w:rPr>
        <w:t>carrier;</w:t>
      </w:r>
      <w:r>
        <w:rPr>
          <w:spacing w:val="-3"/>
          <w:sz w:val="16"/>
        </w:rPr>
        <w:t> </w:t>
      </w:r>
      <w:r>
        <w:rPr>
          <w:sz w:val="16"/>
        </w:rPr>
        <w:t>therefore,</w:t>
      </w:r>
      <w:r>
        <w:rPr>
          <w:spacing w:val="-2"/>
          <w:sz w:val="16"/>
        </w:rPr>
        <w:t> </w:t>
      </w:r>
      <w:r>
        <w:rPr>
          <w:sz w:val="16"/>
        </w:rPr>
        <w:t>no</w:t>
      </w:r>
      <w:r>
        <w:rPr>
          <w:spacing w:val="-2"/>
          <w:sz w:val="16"/>
        </w:rPr>
        <w:t> </w:t>
      </w:r>
      <w:r>
        <w:rPr>
          <w:sz w:val="16"/>
        </w:rPr>
        <w:t>Morris</w:t>
      </w:r>
      <w:r>
        <w:rPr>
          <w:spacing w:val="-2"/>
          <w:sz w:val="16"/>
        </w:rPr>
        <w:t> </w:t>
      </w:r>
      <w:r>
        <w:rPr>
          <w:sz w:val="16"/>
        </w:rPr>
        <w:t>statistics</w:t>
      </w:r>
      <w:r>
        <w:rPr>
          <w:spacing w:val="-2"/>
          <w:sz w:val="16"/>
        </w:rPr>
        <w:t> </w:t>
      </w:r>
      <w:r>
        <w:rPr>
          <w:sz w:val="16"/>
        </w:rPr>
        <w:t>are</w:t>
      </w:r>
      <w:r>
        <w:rPr>
          <w:spacing w:val="-3"/>
          <w:sz w:val="16"/>
        </w:rPr>
        <w:t> </w:t>
      </w:r>
      <w:r>
        <w:rPr>
          <w:sz w:val="16"/>
        </w:rPr>
        <w:t>included</w:t>
      </w:r>
      <w:r>
        <w:rPr>
          <w:spacing w:val="-4"/>
          <w:sz w:val="16"/>
        </w:rPr>
        <w:t> </w:t>
      </w:r>
      <w:r>
        <w:rPr>
          <w:sz w:val="16"/>
        </w:rPr>
        <w:t>for</w:t>
      </w:r>
      <w:r>
        <w:rPr>
          <w:spacing w:val="-2"/>
          <w:sz w:val="16"/>
        </w:rPr>
        <w:t> </w:t>
      </w:r>
      <w:r>
        <w:rPr>
          <w:sz w:val="16"/>
        </w:rPr>
        <w:t>these</w:t>
      </w:r>
      <w:r>
        <w:rPr>
          <w:spacing w:val="-3"/>
          <w:sz w:val="16"/>
        </w:rPr>
        <w:t> </w:t>
      </w:r>
      <w:r>
        <w:rPr>
          <w:sz w:val="16"/>
        </w:rPr>
        <w:t>years</w:t>
      </w:r>
    </w:p>
    <w:p>
      <w:pPr>
        <w:pStyle w:val="ListParagraph"/>
        <w:numPr>
          <w:ilvl w:val="0"/>
          <w:numId w:val="4"/>
        </w:numPr>
        <w:tabs>
          <w:tab w:pos="446" w:val="left" w:leader="none"/>
        </w:tabs>
        <w:spacing w:line="240" w:lineRule="auto" w:before="4" w:after="0"/>
        <w:ind w:left="445" w:right="0" w:hanging="285"/>
        <w:jc w:val="left"/>
        <w:rPr>
          <w:sz w:val="16"/>
        </w:rPr>
      </w:pPr>
      <w:r>
        <w:rPr>
          <w:sz w:val="16"/>
        </w:rPr>
        <w:t>Pro</w:t>
      </w:r>
      <w:r>
        <w:rPr>
          <w:spacing w:val="-1"/>
          <w:sz w:val="16"/>
        </w:rPr>
        <w:t> </w:t>
      </w:r>
      <w:r>
        <w:rPr>
          <w:sz w:val="16"/>
        </w:rPr>
        <w:t>forma</w:t>
      </w:r>
      <w:r>
        <w:rPr>
          <w:spacing w:val="-5"/>
          <w:sz w:val="16"/>
        </w:rPr>
        <w:t> </w:t>
      </w:r>
      <w:r>
        <w:rPr>
          <w:sz w:val="16"/>
        </w:rPr>
        <w:t>for</w:t>
      </w:r>
      <w:r>
        <w:rPr>
          <w:spacing w:val="-5"/>
          <w:sz w:val="16"/>
        </w:rPr>
        <w:t> </w:t>
      </w:r>
      <w:r>
        <w:rPr>
          <w:sz w:val="16"/>
        </w:rPr>
        <w:t>1992</w:t>
      </w:r>
      <w:r>
        <w:rPr>
          <w:spacing w:val="-7"/>
          <w:sz w:val="16"/>
        </w:rPr>
        <w:t> </w:t>
      </w:r>
      <w:r>
        <w:rPr>
          <w:sz w:val="16"/>
        </w:rPr>
        <w:t>through</w:t>
      </w:r>
      <w:r>
        <w:rPr>
          <w:spacing w:val="-5"/>
          <w:sz w:val="16"/>
        </w:rPr>
        <w:t> </w:t>
      </w:r>
      <w:r>
        <w:rPr>
          <w:sz w:val="16"/>
        </w:rPr>
        <w:t>1989</w:t>
      </w:r>
      <w:r>
        <w:rPr>
          <w:spacing w:val="-7"/>
          <w:sz w:val="16"/>
        </w:rPr>
        <w:t> </w:t>
      </w:r>
      <w:r>
        <w:rPr>
          <w:sz w:val="16"/>
        </w:rPr>
        <w:t>assuming</w:t>
      </w:r>
      <w:r>
        <w:rPr>
          <w:spacing w:val="-5"/>
          <w:sz w:val="16"/>
        </w:rPr>
        <w:t> </w:t>
      </w:r>
      <w:r>
        <w:rPr>
          <w:sz w:val="16"/>
        </w:rPr>
        <w:t>Morris,</w:t>
      </w:r>
      <w:r>
        <w:rPr>
          <w:spacing w:val="-5"/>
          <w:sz w:val="16"/>
        </w:rPr>
        <w:t> </w:t>
      </w:r>
      <w:r>
        <w:rPr>
          <w:sz w:val="16"/>
        </w:rPr>
        <w:t>an</w:t>
      </w:r>
      <w:r>
        <w:rPr>
          <w:spacing w:val="-5"/>
          <w:sz w:val="16"/>
        </w:rPr>
        <w:t> </w:t>
      </w:r>
      <w:r>
        <w:rPr>
          <w:sz w:val="16"/>
        </w:rPr>
        <w:t>S-Corporat</w:t>
      </w:r>
      <w:r>
        <w:rPr>
          <w:spacing w:val="-32"/>
          <w:sz w:val="16"/>
        </w:rPr>
        <w:t> </w:t>
      </w:r>
      <w:r>
        <w:rPr>
          <w:sz w:val="16"/>
        </w:rPr>
        <w:t>ion</w:t>
      </w:r>
      <w:r>
        <w:rPr>
          <w:spacing w:val="-5"/>
          <w:sz w:val="16"/>
        </w:rPr>
        <w:t> </w:t>
      </w:r>
      <w:r>
        <w:rPr>
          <w:sz w:val="16"/>
        </w:rPr>
        <w:t>prior</w:t>
      </w:r>
      <w:r>
        <w:rPr>
          <w:spacing w:val="-5"/>
          <w:sz w:val="16"/>
        </w:rPr>
        <w:t> </w:t>
      </w:r>
      <w:r>
        <w:rPr>
          <w:sz w:val="16"/>
        </w:rPr>
        <w:t>to</w:t>
      </w:r>
      <w:r>
        <w:rPr>
          <w:spacing w:val="-5"/>
          <w:sz w:val="16"/>
        </w:rPr>
        <w:t> </w:t>
      </w:r>
      <w:r>
        <w:rPr>
          <w:sz w:val="16"/>
        </w:rPr>
        <w:t>1993,</w:t>
      </w:r>
      <w:r>
        <w:rPr>
          <w:spacing w:val="-8"/>
          <w:sz w:val="16"/>
        </w:rPr>
        <w:t> </w:t>
      </w:r>
      <w:r>
        <w:rPr>
          <w:sz w:val="16"/>
        </w:rPr>
        <w:t>was</w:t>
      </w:r>
      <w:r>
        <w:rPr>
          <w:spacing w:val="-6"/>
          <w:sz w:val="16"/>
        </w:rPr>
        <w:t> </w:t>
      </w:r>
      <w:r>
        <w:rPr>
          <w:sz w:val="16"/>
        </w:rPr>
        <w:t>taxed</w:t>
      </w:r>
      <w:r>
        <w:rPr>
          <w:spacing w:val="-5"/>
          <w:sz w:val="16"/>
        </w:rPr>
        <w:t> </w:t>
      </w:r>
      <w:r>
        <w:rPr>
          <w:sz w:val="16"/>
        </w:rPr>
        <w:t>at</w:t>
      </w:r>
      <w:r>
        <w:rPr>
          <w:spacing w:val="-6"/>
          <w:sz w:val="16"/>
        </w:rPr>
        <w:t> </w:t>
      </w:r>
      <w:r>
        <w:rPr>
          <w:sz w:val="16"/>
        </w:rPr>
        <w:t>statutory</w:t>
      </w:r>
      <w:r>
        <w:rPr>
          <w:spacing w:val="-2"/>
          <w:sz w:val="16"/>
        </w:rPr>
        <w:t> </w:t>
      </w:r>
      <w:r>
        <w:rPr>
          <w:sz w:val="16"/>
        </w:rPr>
        <w:t>rates</w:t>
      </w:r>
    </w:p>
    <w:p>
      <w:pPr>
        <w:pStyle w:val="ListParagraph"/>
        <w:numPr>
          <w:ilvl w:val="0"/>
          <w:numId w:val="4"/>
        </w:numPr>
        <w:tabs>
          <w:tab w:pos="446" w:val="left" w:leader="none"/>
        </w:tabs>
        <w:spacing w:line="240" w:lineRule="auto" w:before="3" w:after="0"/>
        <w:ind w:left="445" w:right="0" w:hanging="285"/>
        <w:jc w:val="left"/>
        <w:rPr>
          <w:sz w:val="16"/>
        </w:rPr>
      </w:pPr>
      <w:r>
        <w:rPr>
          <w:sz w:val="16"/>
        </w:rPr>
        <w:t>Excludes</w:t>
      </w:r>
      <w:r>
        <w:rPr>
          <w:spacing w:val="-5"/>
          <w:sz w:val="16"/>
        </w:rPr>
        <w:t> </w:t>
      </w:r>
      <w:r>
        <w:rPr>
          <w:sz w:val="16"/>
        </w:rPr>
        <w:t>cumulative</w:t>
      </w:r>
      <w:r>
        <w:rPr>
          <w:spacing w:val="-3"/>
          <w:sz w:val="16"/>
        </w:rPr>
        <w:t> </w:t>
      </w:r>
      <w:r>
        <w:rPr>
          <w:sz w:val="16"/>
        </w:rPr>
        <w:t>effect</w:t>
      </w:r>
      <w:r>
        <w:rPr>
          <w:spacing w:val="-8"/>
          <w:sz w:val="16"/>
        </w:rPr>
        <w:t> </w:t>
      </w:r>
      <w:r>
        <w:rPr>
          <w:sz w:val="16"/>
        </w:rPr>
        <w:t>of</w:t>
      </w:r>
      <w:r>
        <w:rPr>
          <w:spacing w:val="-4"/>
          <w:sz w:val="16"/>
        </w:rPr>
        <w:t> </w:t>
      </w:r>
      <w:r>
        <w:rPr>
          <w:sz w:val="16"/>
        </w:rPr>
        <w:t>accounting</w:t>
      </w:r>
      <w:r>
        <w:rPr>
          <w:spacing w:val="-3"/>
          <w:sz w:val="16"/>
        </w:rPr>
        <w:t> </w:t>
      </w:r>
      <w:r>
        <w:rPr>
          <w:sz w:val="16"/>
        </w:rPr>
        <w:t>changes</w:t>
      </w:r>
      <w:r>
        <w:rPr>
          <w:spacing w:val="-1"/>
          <w:sz w:val="16"/>
        </w:rPr>
        <w:t> </w:t>
      </w:r>
      <w:r>
        <w:rPr>
          <w:sz w:val="16"/>
        </w:rPr>
        <w:t>of</w:t>
      </w:r>
      <w:r>
        <w:rPr>
          <w:spacing w:val="-4"/>
          <w:sz w:val="16"/>
        </w:rPr>
        <w:t> </w:t>
      </w:r>
      <w:r>
        <w:rPr>
          <w:sz w:val="16"/>
        </w:rPr>
        <w:t>$15.3</w:t>
      </w:r>
      <w:r>
        <w:rPr>
          <w:spacing w:val="-6"/>
          <w:sz w:val="16"/>
        </w:rPr>
        <w:t> </w:t>
      </w:r>
      <w:r>
        <w:rPr>
          <w:sz w:val="16"/>
        </w:rPr>
        <w:t>million</w:t>
      </w:r>
      <w:r>
        <w:rPr>
          <w:spacing w:val="-3"/>
          <w:sz w:val="16"/>
        </w:rPr>
        <w:t> </w:t>
      </w:r>
      <w:r>
        <w:rPr>
          <w:sz w:val="16"/>
        </w:rPr>
        <w:t>($.10</w:t>
      </w:r>
      <w:r>
        <w:rPr>
          <w:spacing w:val="-9"/>
          <w:sz w:val="16"/>
        </w:rPr>
        <w:t> </w:t>
      </w:r>
      <w:r>
        <w:rPr>
          <w:sz w:val="16"/>
        </w:rPr>
        <w:t>per</w:t>
      </w:r>
      <w:r>
        <w:rPr>
          <w:spacing w:val="-4"/>
          <w:sz w:val="16"/>
        </w:rPr>
        <w:t> </w:t>
      </w:r>
      <w:r>
        <w:rPr>
          <w:sz w:val="16"/>
        </w:rPr>
        <w:t>share)</w:t>
      </w:r>
    </w:p>
    <w:p>
      <w:pPr>
        <w:pStyle w:val="ListParagraph"/>
        <w:numPr>
          <w:ilvl w:val="0"/>
          <w:numId w:val="4"/>
        </w:numPr>
        <w:tabs>
          <w:tab w:pos="446" w:val="left" w:leader="none"/>
        </w:tabs>
        <w:spacing w:line="240" w:lineRule="auto" w:before="3" w:after="0"/>
        <w:ind w:left="445" w:right="0" w:hanging="285"/>
        <w:jc w:val="left"/>
        <w:rPr>
          <w:sz w:val="16"/>
        </w:rPr>
      </w:pPr>
      <w:r>
        <w:rPr>
          <w:sz w:val="16"/>
        </w:rPr>
        <w:t>Excludes</w:t>
      </w:r>
      <w:r>
        <w:rPr>
          <w:spacing w:val="-5"/>
          <w:sz w:val="16"/>
        </w:rPr>
        <w:t> </w:t>
      </w:r>
      <w:r>
        <w:rPr>
          <w:sz w:val="16"/>
        </w:rPr>
        <w:t>cumulative</w:t>
      </w:r>
      <w:r>
        <w:rPr>
          <w:spacing w:val="-3"/>
          <w:sz w:val="16"/>
        </w:rPr>
        <w:t> </w:t>
      </w:r>
      <w:r>
        <w:rPr>
          <w:sz w:val="16"/>
        </w:rPr>
        <w:t>effect</w:t>
      </w:r>
      <w:r>
        <w:rPr>
          <w:spacing w:val="-8"/>
          <w:sz w:val="16"/>
        </w:rPr>
        <w:t> </w:t>
      </w:r>
      <w:r>
        <w:rPr>
          <w:sz w:val="16"/>
        </w:rPr>
        <w:t>of</w:t>
      </w:r>
      <w:r>
        <w:rPr>
          <w:spacing w:val="-4"/>
          <w:sz w:val="16"/>
        </w:rPr>
        <w:t> </w:t>
      </w:r>
      <w:r>
        <w:rPr>
          <w:sz w:val="16"/>
        </w:rPr>
        <w:t>accounting</w:t>
      </w:r>
      <w:r>
        <w:rPr>
          <w:spacing w:val="-3"/>
          <w:sz w:val="16"/>
        </w:rPr>
        <w:t> </w:t>
      </w:r>
      <w:r>
        <w:rPr>
          <w:sz w:val="16"/>
        </w:rPr>
        <w:t>changes</w:t>
      </w:r>
      <w:r>
        <w:rPr>
          <w:spacing w:val="-1"/>
          <w:sz w:val="16"/>
        </w:rPr>
        <w:t> </w:t>
      </w:r>
      <w:r>
        <w:rPr>
          <w:sz w:val="16"/>
        </w:rPr>
        <w:t>of</w:t>
      </w:r>
      <w:r>
        <w:rPr>
          <w:spacing w:val="-4"/>
          <w:sz w:val="16"/>
        </w:rPr>
        <w:t> </w:t>
      </w:r>
      <w:r>
        <w:rPr>
          <w:sz w:val="16"/>
        </w:rPr>
        <w:t>$12.5</w:t>
      </w:r>
      <w:r>
        <w:rPr>
          <w:spacing w:val="-6"/>
          <w:sz w:val="16"/>
        </w:rPr>
        <w:t> </w:t>
      </w:r>
      <w:r>
        <w:rPr>
          <w:sz w:val="16"/>
        </w:rPr>
        <w:t>million</w:t>
      </w:r>
      <w:r>
        <w:rPr>
          <w:spacing w:val="-3"/>
          <w:sz w:val="16"/>
        </w:rPr>
        <w:t> </w:t>
      </w:r>
      <w:r>
        <w:rPr>
          <w:sz w:val="16"/>
        </w:rPr>
        <w:t>($.09</w:t>
      </w:r>
      <w:r>
        <w:rPr>
          <w:spacing w:val="-9"/>
          <w:sz w:val="16"/>
        </w:rPr>
        <w:t> </w:t>
      </w:r>
      <w:r>
        <w:rPr>
          <w:sz w:val="16"/>
        </w:rPr>
        <w:t>per</w:t>
      </w:r>
      <w:r>
        <w:rPr>
          <w:spacing w:val="-4"/>
          <w:sz w:val="16"/>
        </w:rPr>
        <w:t> </w:t>
      </w:r>
      <w:r>
        <w:rPr>
          <w:sz w:val="16"/>
        </w:rPr>
        <w:t>share)</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w:t>
      </w:r>
      <w:r>
        <w:rPr>
          <w:spacing w:val="-3"/>
          <w:sz w:val="16"/>
        </w:rPr>
        <w:t> </w:t>
      </w:r>
      <w:r>
        <w:rPr>
          <w:sz w:val="16"/>
        </w:rPr>
        <w:t>$2.6</w:t>
      </w:r>
      <w:r>
        <w:rPr>
          <w:spacing w:val="-3"/>
          <w:sz w:val="16"/>
        </w:rPr>
        <w:t> </w:t>
      </w:r>
      <w:r>
        <w:rPr>
          <w:sz w:val="16"/>
        </w:rPr>
        <w:t>million</w:t>
      </w:r>
      <w:r>
        <w:rPr>
          <w:spacing w:val="-1"/>
          <w:sz w:val="16"/>
        </w:rPr>
        <w:t> </w:t>
      </w:r>
      <w:r>
        <w:rPr>
          <w:sz w:val="16"/>
        </w:rPr>
        <w:t>gains</w:t>
      </w:r>
      <w:r>
        <w:rPr>
          <w:spacing w:val="-2"/>
          <w:sz w:val="16"/>
        </w:rPr>
        <w:t> </w:t>
      </w:r>
      <w:r>
        <w:rPr>
          <w:sz w:val="16"/>
        </w:rPr>
        <w:t>on</w:t>
      </w:r>
      <w:r>
        <w:rPr>
          <w:spacing w:val="-1"/>
          <w:sz w:val="16"/>
        </w:rPr>
        <w:t> </w:t>
      </w:r>
      <w:r>
        <w:rPr>
          <w:sz w:val="16"/>
        </w:rPr>
        <w:t>sales</w:t>
      </w:r>
      <w:r>
        <w:rPr>
          <w:spacing w:val="-2"/>
          <w:sz w:val="16"/>
        </w:rPr>
        <w:t> </w:t>
      </w:r>
      <w:r>
        <w:rPr>
          <w:sz w:val="16"/>
        </w:rPr>
        <w:t>of</w:t>
      </w:r>
      <w:r>
        <w:rPr>
          <w:spacing w:val="-2"/>
          <w:sz w:val="16"/>
        </w:rPr>
        <w:t> </w:t>
      </w:r>
      <w:r>
        <w:rPr>
          <w:sz w:val="16"/>
        </w:rPr>
        <w:t>aircraft</w:t>
      </w:r>
      <w:r>
        <w:rPr>
          <w:spacing w:val="-9"/>
          <w:sz w:val="16"/>
        </w:rPr>
        <w:t> </w:t>
      </w:r>
      <w:r>
        <w:rPr>
          <w:sz w:val="16"/>
        </w:rPr>
        <w:t>and</w:t>
      </w:r>
      <w:r>
        <w:rPr>
          <w:spacing w:val="-2"/>
          <w:sz w:val="16"/>
        </w:rPr>
        <w:t> </w:t>
      </w:r>
      <w:r>
        <w:rPr>
          <w:sz w:val="16"/>
        </w:rPr>
        <w:t>$3.1</w:t>
      </w:r>
      <w:r>
        <w:rPr>
          <w:spacing w:val="-3"/>
          <w:sz w:val="16"/>
        </w:rPr>
        <w:t> </w:t>
      </w:r>
      <w:r>
        <w:rPr>
          <w:sz w:val="16"/>
        </w:rPr>
        <w:t>million</w:t>
      </w:r>
      <w:r>
        <w:rPr>
          <w:spacing w:val="-1"/>
          <w:sz w:val="16"/>
        </w:rPr>
        <w:t> </w:t>
      </w:r>
      <w:r>
        <w:rPr>
          <w:sz w:val="16"/>
        </w:rPr>
        <w:t>from</w:t>
      </w:r>
      <w:r>
        <w:rPr>
          <w:spacing w:val="-7"/>
          <w:sz w:val="16"/>
        </w:rPr>
        <w:t> </w:t>
      </w:r>
      <w:r>
        <w:rPr>
          <w:sz w:val="16"/>
        </w:rPr>
        <w:t>the</w:t>
      </w:r>
      <w:r>
        <w:rPr>
          <w:spacing w:val="-1"/>
          <w:sz w:val="16"/>
        </w:rPr>
        <w:t> </w:t>
      </w:r>
      <w:r>
        <w:rPr>
          <w:sz w:val="16"/>
        </w:rPr>
        <w:t>sale</w:t>
      </w:r>
      <w:r>
        <w:rPr>
          <w:spacing w:val="-1"/>
          <w:sz w:val="16"/>
        </w:rPr>
        <w:t> </w:t>
      </w:r>
      <w:r>
        <w:rPr>
          <w:sz w:val="16"/>
        </w:rPr>
        <w:t>of</w:t>
      </w:r>
      <w:r>
        <w:rPr>
          <w:spacing w:val="-2"/>
          <w:sz w:val="16"/>
        </w:rPr>
        <w:t> </w:t>
      </w:r>
      <w:r>
        <w:rPr>
          <w:sz w:val="16"/>
        </w:rPr>
        <w:t>certain</w:t>
      </w:r>
      <w:r>
        <w:rPr>
          <w:spacing w:val="-1"/>
          <w:sz w:val="16"/>
        </w:rPr>
        <w:t> </w:t>
      </w:r>
      <w:r>
        <w:rPr>
          <w:sz w:val="16"/>
        </w:rPr>
        <w:t>financial</w:t>
      </w:r>
      <w:r>
        <w:rPr>
          <w:spacing w:val="1"/>
          <w:sz w:val="16"/>
        </w:rPr>
        <w:t> </w:t>
      </w:r>
      <w:r>
        <w:rPr>
          <w:sz w:val="16"/>
        </w:rPr>
        <w:t>assets</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w:t>
      </w:r>
      <w:r>
        <w:rPr>
          <w:spacing w:val="-4"/>
          <w:sz w:val="16"/>
        </w:rPr>
        <w:t> </w:t>
      </w:r>
      <w:r>
        <w:rPr>
          <w:sz w:val="16"/>
        </w:rPr>
        <w:t>$10.8</w:t>
      </w:r>
      <w:r>
        <w:rPr>
          <w:spacing w:val="-5"/>
          <w:sz w:val="16"/>
        </w:rPr>
        <w:t> </w:t>
      </w:r>
      <w:r>
        <w:rPr>
          <w:sz w:val="16"/>
        </w:rPr>
        <w:t>million</w:t>
      </w:r>
      <w:r>
        <w:rPr>
          <w:spacing w:val="-2"/>
          <w:sz w:val="16"/>
        </w:rPr>
        <w:t> </w:t>
      </w:r>
      <w:r>
        <w:rPr>
          <w:sz w:val="16"/>
        </w:rPr>
        <w:t>gains</w:t>
      </w:r>
      <w:r>
        <w:rPr>
          <w:spacing w:val="-3"/>
          <w:sz w:val="16"/>
        </w:rPr>
        <w:t> </w:t>
      </w:r>
      <w:r>
        <w:rPr>
          <w:sz w:val="16"/>
        </w:rPr>
        <w:t>on</w:t>
      </w:r>
      <w:r>
        <w:rPr>
          <w:spacing w:val="-2"/>
          <w:sz w:val="16"/>
        </w:rPr>
        <w:t> </w:t>
      </w:r>
      <w:r>
        <w:rPr>
          <w:sz w:val="16"/>
        </w:rPr>
        <w:t>sales</w:t>
      </w:r>
      <w:r>
        <w:rPr>
          <w:spacing w:val="-3"/>
          <w:sz w:val="16"/>
        </w:rPr>
        <w:t> </w:t>
      </w:r>
      <w:r>
        <w:rPr>
          <w:sz w:val="16"/>
        </w:rPr>
        <w:t>of</w:t>
      </w:r>
      <w:r>
        <w:rPr>
          <w:spacing w:val="-3"/>
          <w:sz w:val="16"/>
        </w:rPr>
        <w:t> </w:t>
      </w:r>
      <w:r>
        <w:rPr>
          <w:sz w:val="16"/>
        </w:rPr>
        <w:t>aircraft,</w:t>
      </w:r>
      <w:r>
        <w:rPr>
          <w:spacing w:val="-11"/>
          <w:sz w:val="16"/>
        </w:rPr>
        <w:t> </w:t>
      </w:r>
      <w:r>
        <w:rPr>
          <w:sz w:val="16"/>
        </w:rPr>
        <w:t>$5.9</w:t>
      </w:r>
      <w:r>
        <w:rPr>
          <w:spacing w:val="-4"/>
          <w:sz w:val="16"/>
        </w:rPr>
        <w:t> </w:t>
      </w:r>
      <w:r>
        <w:rPr>
          <w:sz w:val="16"/>
        </w:rPr>
        <w:t>million</w:t>
      </w:r>
      <w:r>
        <w:rPr>
          <w:spacing w:val="-2"/>
          <w:sz w:val="16"/>
        </w:rPr>
        <w:t> </w:t>
      </w:r>
      <w:r>
        <w:rPr>
          <w:sz w:val="16"/>
        </w:rPr>
        <w:t>from</w:t>
      </w:r>
      <w:r>
        <w:rPr>
          <w:spacing w:val="-8"/>
          <w:sz w:val="16"/>
        </w:rPr>
        <w:t> </w:t>
      </w:r>
      <w:r>
        <w:rPr>
          <w:sz w:val="16"/>
        </w:rPr>
        <w:t>the</w:t>
      </w:r>
      <w:r>
        <w:rPr>
          <w:spacing w:val="-2"/>
          <w:sz w:val="16"/>
        </w:rPr>
        <w:t> </w:t>
      </w:r>
      <w:r>
        <w:rPr>
          <w:sz w:val="16"/>
        </w:rPr>
        <w:t>sale</w:t>
      </w:r>
      <w:r>
        <w:rPr>
          <w:spacing w:val="-2"/>
          <w:sz w:val="16"/>
        </w:rPr>
        <w:t> </w:t>
      </w:r>
      <w:r>
        <w:rPr>
          <w:sz w:val="16"/>
        </w:rPr>
        <w:t>of</w:t>
      </w:r>
      <w:r>
        <w:rPr>
          <w:spacing w:val="-3"/>
          <w:sz w:val="16"/>
        </w:rPr>
        <w:t> </w:t>
      </w:r>
      <w:r>
        <w:rPr>
          <w:sz w:val="16"/>
        </w:rPr>
        <w:t>certain</w:t>
      </w:r>
      <w:r>
        <w:rPr>
          <w:spacing w:val="-2"/>
          <w:sz w:val="16"/>
        </w:rPr>
        <w:t> </w:t>
      </w:r>
      <w:r>
        <w:rPr>
          <w:sz w:val="16"/>
        </w:rPr>
        <w:t>financial assets,</w:t>
      </w:r>
      <w:r>
        <w:rPr>
          <w:spacing w:val="-8"/>
          <w:sz w:val="16"/>
        </w:rPr>
        <w:t> </w:t>
      </w:r>
      <w:r>
        <w:rPr>
          <w:sz w:val="16"/>
        </w:rPr>
        <w:t>and</w:t>
      </w:r>
      <w:r>
        <w:rPr>
          <w:spacing w:val="-3"/>
          <w:sz w:val="16"/>
        </w:rPr>
        <w:t> </w:t>
      </w:r>
      <w:r>
        <w:rPr>
          <w:sz w:val="16"/>
        </w:rPr>
        <w:t>$2.3</w:t>
      </w:r>
      <w:r>
        <w:rPr>
          <w:spacing w:val="-4"/>
          <w:sz w:val="16"/>
        </w:rPr>
        <w:t> </w:t>
      </w:r>
      <w:r>
        <w:rPr>
          <w:sz w:val="16"/>
        </w:rPr>
        <w:t>million</w:t>
      </w:r>
      <w:r>
        <w:rPr>
          <w:spacing w:val="-2"/>
          <w:sz w:val="16"/>
        </w:rPr>
        <w:t> </w:t>
      </w:r>
      <w:r>
        <w:rPr>
          <w:sz w:val="16"/>
        </w:rPr>
        <w:t>from</w:t>
      </w:r>
      <w:r>
        <w:rPr>
          <w:spacing w:val="-8"/>
          <w:sz w:val="16"/>
        </w:rPr>
        <w:t> </w:t>
      </w:r>
      <w:r>
        <w:rPr>
          <w:sz w:val="16"/>
        </w:rPr>
        <w:t>the</w:t>
      </w:r>
      <w:r>
        <w:rPr>
          <w:spacing w:val="-2"/>
          <w:sz w:val="16"/>
        </w:rPr>
        <w:t> </w:t>
      </w:r>
      <w:r>
        <w:rPr>
          <w:sz w:val="16"/>
        </w:rPr>
        <w:t>settlement</w:t>
      </w:r>
      <w:r>
        <w:rPr>
          <w:spacing w:val="-3"/>
          <w:sz w:val="16"/>
        </w:rPr>
        <w:t> </w:t>
      </w:r>
      <w:r>
        <w:rPr>
          <w:sz w:val="16"/>
        </w:rPr>
        <w:t>of</w:t>
      </w:r>
      <w:r>
        <w:rPr>
          <w:spacing w:val="-3"/>
          <w:sz w:val="16"/>
        </w:rPr>
        <w:t> </w:t>
      </w:r>
      <w:r>
        <w:rPr>
          <w:sz w:val="16"/>
        </w:rPr>
        <w:t>a</w:t>
      </w:r>
      <w:r>
        <w:rPr>
          <w:spacing w:val="-2"/>
          <w:sz w:val="16"/>
        </w:rPr>
        <w:t> </w:t>
      </w:r>
      <w:r>
        <w:rPr>
          <w:sz w:val="16"/>
        </w:rPr>
        <w:t>contingency</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w:t>
      </w:r>
      <w:r>
        <w:rPr>
          <w:spacing w:val="-3"/>
          <w:sz w:val="16"/>
        </w:rPr>
        <w:t> </w:t>
      </w:r>
      <w:r>
        <w:rPr>
          <w:sz w:val="16"/>
        </w:rPr>
        <w:t>$5.6</w:t>
      </w:r>
      <w:r>
        <w:rPr>
          <w:spacing w:val="-3"/>
          <w:sz w:val="16"/>
        </w:rPr>
        <w:t> </w:t>
      </w:r>
      <w:r>
        <w:rPr>
          <w:sz w:val="16"/>
        </w:rPr>
        <w:t>million</w:t>
      </w:r>
      <w:r>
        <w:rPr>
          <w:spacing w:val="-1"/>
          <w:sz w:val="16"/>
        </w:rPr>
        <w:t> </w:t>
      </w:r>
      <w:r>
        <w:rPr>
          <w:sz w:val="16"/>
        </w:rPr>
        <w:t>gains</w:t>
      </w:r>
      <w:r>
        <w:rPr>
          <w:spacing w:val="-2"/>
          <w:sz w:val="16"/>
        </w:rPr>
        <w:t> </w:t>
      </w:r>
      <w:r>
        <w:rPr>
          <w:sz w:val="16"/>
        </w:rPr>
        <w:t>on</w:t>
      </w:r>
      <w:r>
        <w:rPr>
          <w:spacing w:val="-1"/>
          <w:sz w:val="16"/>
        </w:rPr>
        <w:t> </w:t>
      </w:r>
      <w:r>
        <w:rPr>
          <w:sz w:val="16"/>
        </w:rPr>
        <w:t>sales</w:t>
      </w:r>
      <w:r>
        <w:rPr>
          <w:spacing w:val="-2"/>
          <w:sz w:val="16"/>
        </w:rPr>
        <w:t> </w:t>
      </w:r>
      <w:r>
        <w:rPr>
          <w:sz w:val="16"/>
        </w:rPr>
        <w:t>of</w:t>
      </w:r>
      <w:r>
        <w:rPr>
          <w:spacing w:val="-2"/>
          <w:sz w:val="16"/>
        </w:rPr>
        <w:t> </w:t>
      </w:r>
      <w:r>
        <w:rPr>
          <w:sz w:val="16"/>
        </w:rPr>
        <w:t>aircraft</w:t>
      </w:r>
      <w:r>
        <w:rPr>
          <w:spacing w:val="-9"/>
          <w:sz w:val="16"/>
        </w:rPr>
        <w:t> </w:t>
      </w:r>
      <w:r>
        <w:rPr>
          <w:sz w:val="16"/>
        </w:rPr>
        <w:t>and</w:t>
      </w:r>
      <w:r>
        <w:rPr>
          <w:spacing w:val="-2"/>
          <w:sz w:val="16"/>
        </w:rPr>
        <w:t> </w:t>
      </w:r>
      <w:r>
        <w:rPr>
          <w:sz w:val="16"/>
        </w:rPr>
        <w:t>$3.6</w:t>
      </w:r>
      <w:r>
        <w:rPr>
          <w:spacing w:val="-3"/>
          <w:sz w:val="16"/>
        </w:rPr>
        <w:t> </w:t>
      </w:r>
      <w:r>
        <w:rPr>
          <w:sz w:val="16"/>
        </w:rPr>
        <w:t>million</w:t>
      </w:r>
      <w:r>
        <w:rPr>
          <w:spacing w:val="-1"/>
          <w:sz w:val="16"/>
        </w:rPr>
        <w:t> </w:t>
      </w:r>
      <w:r>
        <w:rPr>
          <w:sz w:val="16"/>
        </w:rPr>
        <w:t>from</w:t>
      </w:r>
      <w:r>
        <w:rPr>
          <w:spacing w:val="-7"/>
          <w:sz w:val="16"/>
        </w:rPr>
        <w:t> </w:t>
      </w:r>
      <w:r>
        <w:rPr>
          <w:sz w:val="16"/>
        </w:rPr>
        <w:t>the</w:t>
      </w:r>
      <w:r>
        <w:rPr>
          <w:spacing w:val="-1"/>
          <w:sz w:val="16"/>
        </w:rPr>
        <w:t> </w:t>
      </w:r>
      <w:r>
        <w:rPr>
          <w:sz w:val="16"/>
        </w:rPr>
        <w:t>sale</w:t>
      </w:r>
      <w:r>
        <w:rPr>
          <w:spacing w:val="-1"/>
          <w:sz w:val="16"/>
        </w:rPr>
        <w:t> </w:t>
      </w:r>
      <w:r>
        <w:rPr>
          <w:sz w:val="16"/>
        </w:rPr>
        <w:t>of</w:t>
      </w:r>
      <w:r>
        <w:rPr>
          <w:spacing w:val="-2"/>
          <w:sz w:val="16"/>
        </w:rPr>
        <w:t> </w:t>
      </w:r>
      <w:r>
        <w:rPr>
          <w:sz w:val="16"/>
        </w:rPr>
        <w:t>certain</w:t>
      </w:r>
      <w:r>
        <w:rPr>
          <w:spacing w:val="-1"/>
          <w:sz w:val="16"/>
        </w:rPr>
        <w:t> </w:t>
      </w:r>
      <w:r>
        <w:rPr>
          <w:sz w:val="16"/>
        </w:rPr>
        <w:t>financial</w:t>
      </w:r>
      <w:r>
        <w:rPr>
          <w:spacing w:val="1"/>
          <w:sz w:val="16"/>
        </w:rPr>
        <w:t> </w:t>
      </w:r>
      <w:r>
        <w:rPr>
          <w:sz w:val="16"/>
        </w:rPr>
        <w:t>assets</w:t>
      </w:r>
    </w:p>
    <w:p>
      <w:pPr>
        <w:pStyle w:val="ListParagraph"/>
        <w:numPr>
          <w:ilvl w:val="0"/>
          <w:numId w:val="4"/>
        </w:numPr>
        <w:tabs>
          <w:tab w:pos="446" w:val="left" w:leader="none"/>
        </w:tabs>
        <w:spacing w:line="240" w:lineRule="auto" w:before="3" w:after="0"/>
        <w:ind w:left="445" w:right="0" w:hanging="285"/>
        <w:jc w:val="left"/>
        <w:rPr>
          <w:sz w:val="16"/>
        </w:rPr>
      </w:pPr>
      <w:r>
        <w:rPr>
          <w:sz w:val="16"/>
        </w:rPr>
        <w:t>Includes TranStar’s results through June 30,</w:t>
      </w:r>
      <w:r>
        <w:rPr>
          <w:spacing w:val="-26"/>
          <w:sz w:val="16"/>
        </w:rPr>
        <w:t> </w:t>
      </w:r>
      <w:r>
        <w:rPr>
          <w:sz w:val="16"/>
        </w:rPr>
        <w:t>1987</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w:t>
      </w:r>
      <w:r>
        <w:rPr>
          <w:spacing w:val="-4"/>
          <w:sz w:val="16"/>
        </w:rPr>
        <w:t> </w:t>
      </w:r>
      <w:r>
        <w:rPr>
          <w:sz w:val="16"/>
        </w:rPr>
        <w:t>$10.1</w:t>
      </w:r>
      <w:r>
        <w:rPr>
          <w:spacing w:val="-5"/>
          <w:sz w:val="16"/>
        </w:rPr>
        <w:t> </w:t>
      </w:r>
      <w:r>
        <w:rPr>
          <w:sz w:val="16"/>
        </w:rPr>
        <w:t>million</w:t>
      </w:r>
      <w:r>
        <w:rPr>
          <w:spacing w:val="-2"/>
          <w:sz w:val="16"/>
        </w:rPr>
        <w:t> </w:t>
      </w:r>
      <w:r>
        <w:rPr>
          <w:sz w:val="16"/>
        </w:rPr>
        <w:t>net</w:t>
      </w:r>
      <w:r>
        <w:rPr>
          <w:spacing w:val="-3"/>
          <w:sz w:val="16"/>
        </w:rPr>
        <w:t> </w:t>
      </w:r>
      <w:r>
        <w:rPr>
          <w:sz w:val="16"/>
        </w:rPr>
        <w:t>gains</w:t>
      </w:r>
      <w:r>
        <w:rPr>
          <w:spacing w:val="-3"/>
          <w:sz w:val="16"/>
        </w:rPr>
        <w:t> </w:t>
      </w:r>
      <w:r>
        <w:rPr>
          <w:sz w:val="16"/>
        </w:rPr>
        <w:t>from</w:t>
      </w:r>
      <w:r>
        <w:rPr>
          <w:spacing w:val="-8"/>
          <w:sz w:val="16"/>
        </w:rPr>
        <w:t> </w:t>
      </w:r>
      <w:r>
        <w:rPr>
          <w:sz w:val="16"/>
        </w:rPr>
        <w:t>the</w:t>
      </w:r>
      <w:r>
        <w:rPr>
          <w:spacing w:val="-2"/>
          <w:sz w:val="16"/>
        </w:rPr>
        <w:t> </w:t>
      </w:r>
      <w:r>
        <w:rPr>
          <w:sz w:val="16"/>
        </w:rPr>
        <w:t>discontinuance</w:t>
      </w:r>
      <w:r>
        <w:rPr>
          <w:spacing w:val="-6"/>
          <w:sz w:val="16"/>
        </w:rPr>
        <w:t> </w:t>
      </w:r>
      <w:r>
        <w:rPr>
          <w:sz w:val="16"/>
        </w:rPr>
        <w:t>of</w:t>
      </w:r>
      <w:r>
        <w:rPr>
          <w:spacing w:val="-3"/>
          <w:sz w:val="16"/>
        </w:rPr>
        <w:t> </w:t>
      </w:r>
      <w:r>
        <w:rPr>
          <w:sz w:val="16"/>
        </w:rPr>
        <w:t>TranStar’s</w:t>
      </w:r>
      <w:r>
        <w:rPr>
          <w:spacing w:val="-2"/>
          <w:sz w:val="16"/>
        </w:rPr>
        <w:t> </w:t>
      </w:r>
      <w:r>
        <w:rPr>
          <w:sz w:val="16"/>
        </w:rPr>
        <w:t>operations</w:t>
      </w:r>
      <w:r>
        <w:rPr>
          <w:spacing w:val="-4"/>
          <w:sz w:val="16"/>
        </w:rPr>
        <w:t> </w:t>
      </w:r>
      <w:r>
        <w:rPr>
          <w:sz w:val="16"/>
        </w:rPr>
        <w:t>and</w:t>
      </w:r>
      <w:r>
        <w:rPr>
          <w:spacing w:val="-3"/>
          <w:sz w:val="16"/>
        </w:rPr>
        <w:t> </w:t>
      </w:r>
      <w:r>
        <w:rPr>
          <w:sz w:val="16"/>
        </w:rPr>
        <w:t>$4.3</w:t>
      </w:r>
      <w:r>
        <w:rPr>
          <w:spacing w:val="-4"/>
          <w:sz w:val="16"/>
        </w:rPr>
        <w:t> </w:t>
      </w:r>
      <w:r>
        <w:rPr>
          <w:sz w:val="16"/>
        </w:rPr>
        <w:t>million</w:t>
      </w:r>
      <w:r>
        <w:rPr>
          <w:spacing w:val="-2"/>
          <w:sz w:val="16"/>
        </w:rPr>
        <w:t> </w:t>
      </w:r>
      <w:r>
        <w:rPr>
          <w:sz w:val="16"/>
        </w:rPr>
        <w:t>from</w:t>
      </w:r>
      <w:r>
        <w:rPr>
          <w:spacing w:val="-8"/>
          <w:sz w:val="16"/>
        </w:rPr>
        <w:t> </w:t>
      </w:r>
      <w:r>
        <w:rPr>
          <w:sz w:val="16"/>
        </w:rPr>
        <w:t>the</w:t>
      </w:r>
      <w:r>
        <w:rPr>
          <w:spacing w:val="-2"/>
          <w:sz w:val="16"/>
        </w:rPr>
        <w:t> </w:t>
      </w:r>
      <w:r>
        <w:rPr>
          <w:sz w:val="16"/>
        </w:rPr>
        <w:t>sale</w:t>
      </w:r>
      <w:r>
        <w:rPr>
          <w:spacing w:val="-2"/>
          <w:sz w:val="16"/>
        </w:rPr>
        <w:t> </w:t>
      </w:r>
      <w:r>
        <w:rPr>
          <w:sz w:val="16"/>
        </w:rPr>
        <w:t>of</w:t>
      </w:r>
      <w:r>
        <w:rPr>
          <w:spacing w:val="-3"/>
          <w:sz w:val="16"/>
        </w:rPr>
        <w:t> </w:t>
      </w:r>
      <w:r>
        <w:rPr>
          <w:sz w:val="16"/>
        </w:rPr>
        <w:t>certain</w:t>
      </w:r>
      <w:r>
        <w:rPr>
          <w:spacing w:val="-2"/>
          <w:sz w:val="16"/>
        </w:rPr>
        <w:t> </w:t>
      </w:r>
      <w:r>
        <w:rPr>
          <w:sz w:val="16"/>
        </w:rPr>
        <w:t>financial assets</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 a gain of $4 million from the sale of aircraft delivery</w:t>
      </w:r>
      <w:r>
        <w:rPr>
          <w:spacing w:val="-26"/>
          <w:sz w:val="16"/>
        </w:rPr>
        <w:t> </w:t>
      </w:r>
      <w:r>
        <w:rPr>
          <w:sz w:val="16"/>
        </w:rPr>
        <w:t>positions</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 certain estimates for</w:t>
      </w:r>
      <w:r>
        <w:rPr>
          <w:spacing w:val="-22"/>
          <w:sz w:val="16"/>
        </w:rPr>
        <w:t> </w:t>
      </w:r>
      <w:r>
        <w:rPr>
          <w:sz w:val="16"/>
        </w:rPr>
        <w:t>Morris</w:t>
      </w:r>
    </w:p>
    <w:p>
      <w:pPr>
        <w:pStyle w:val="ListParagraph"/>
        <w:numPr>
          <w:ilvl w:val="0"/>
          <w:numId w:val="4"/>
        </w:numPr>
        <w:tabs>
          <w:tab w:pos="490" w:val="left" w:leader="none"/>
        </w:tabs>
        <w:spacing w:line="240" w:lineRule="auto" w:before="3" w:after="0"/>
        <w:ind w:left="489" w:right="0" w:hanging="329"/>
        <w:jc w:val="left"/>
        <w:rPr>
          <w:sz w:val="16"/>
        </w:rPr>
      </w:pPr>
      <w:r>
        <w:rPr>
          <w:sz w:val="16"/>
        </w:rPr>
        <w:t>Excludes</w:t>
      </w:r>
      <w:r>
        <w:rPr>
          <w:spacing w:val="-7"/>
          <w:sz w:val="16"/>
        </w:rPr>
        <w:t> </w:t>
      </w:r>
      <w:r>
        <w:rPr>
          <w:sz w:val="16"/>
        </w:rPr>
        <w:t>merger</w:t>
      </w:r>
      <w:r>
        <w:rPr>
          <w:spacing w:val="-6"/>
          <w:sz w:val="16"/>
        </w:rPr>
        <w:t> </w:t>
      </w:r>
      <w:r>
        <w:rPr>
          <w:sz w:val="16"/>
        </w:rPr>
        <w:t>expenses</w:t>
      </w:r>
      <w:r>
        <w:rPr>
          <w:spacing w:val="-9"/>
          <w:sz w:val="16"/>
        </w:rPr>
        <w:t> </w:t>
      </w:r>
      <w:r>
        <w:rPr>
          <w:sz w:val="16"/>
        </w:rPr>
        <w:t>of</w:t>
      </w:r>
      <w:r>
        <w:rPr>
          <w:spacing w:val="-6"/>
          <w:sz w:val="16"/>
        </w:rPr>
        <w:t> </w:t>
      </w:r>
      <w:r>
        <w:rPr>
          <w:sz w:val="16"/>
        </w:rPr>
        <w:t>$10.8</w:t>
      </w:r>
      <w:r>
        <w:rPr>
          <w:spacing w:val="-8"/>
          <w:sz w:val="16"/>
        </w:rPr>
        <w:t> </w:t>
      </w:r>
      <w:r>
        <w:rPr>
          <w:sz w:val="16"/>
        </w:rPr>
        <w:t>million</w:t>
      </w:r>
    </w:p>
    <w:p>
      <w:pPr>
        <w:pStyle w:val="ListParagraph"/>
        <w:numPr>
          <w:ilvl w:val="0"/>
          <w:numId w:val="4"/>
        </w:numPr>
        <w:tabs>
          <w:tab w:pos="490" w:val="left" w:leader="none"/>
        </w:tabs>
        <w:spacing w:line="240" w:lineRule="auto" w:before="3" w:after="0"/>
        <w:ind w:left="489" w:right="0" w:hanging="329"/>
        <w:jc w:val="left"/>
        <w:rPr>
          <w:sz w:val="16"/>
        </w:rPr>
      </w:pPr>
      <w:r>
        <w:rPr>
          <w:sz w:val="16"/>
        </w:rPr>
        <w:t>Includes leased</w:t>
      </w:r>
      <w:r>
        <w:rPr>
          <w:spacing w:val="-2"/>
          <w:sz w:val="16"/>
        </w:rPr>
        <w:t> </w:t>
      </w:r>
      <w:r>
        <w:rPr>
          <w:sz w:val="16"/>
        </w:rPr>
        <w:t>aircraft</w:t>
      </w:r>
    </w:p>
    <w:p>
      <w:pPr>
        <w:spacing w:after="0" w:line="240" w:lineRule="auto"/>
        <w:jc w:val="left"/>
        <w:rPr>
          <w:sz w:val="16"/>
        </w:rPr>
        <w:sectPr>
          <w:footerReference w:type="default" r:id="rId13"/>
          <w:pgSz w:w="12240" w:h="15840"/>
          <w:pgMar w:footer="0" w:header="0" w:top="1500" w:bottom="280" w:left="560" w:right="200"/>
        </w:sectPr>
      </w:pPr>
    </w:p>
    <w:p>
      <w:pPr>
        <w:pStyle w:val="Heading2"/>
        <w:spacing w:before="88"/>
      </w:pPr>
      <w:bookmarkStart w:name="_TOC_250000" w:id="5"/>
      <w:bookmarkEnd w:id="5"/>
      <w:r>
        <w:rPr/>
        <w:t>CORPORATE DATA</w:t>
      </w:r>
    </w:p>
    <w:p>
      <w:pPr>
        <w:pStyle w:val="BodyText"/>
        <w:spacing w:before="5"/>
        <w:rPr>
          <w:b/>
        </w:rPr>
      </w:pPr>
    </w:p>
    <w:p>
      <w:pPr>
        <w:pStyle w:val="BodyText"/>
        <w:ind w:left="119"/>
      </w:pPr>
      <w:r>
        <w:rPr/>
        <w:t>TRANSFER AGENT AND REGISTRAR</w:t>
      </w:r>
    </w:p>
    <w:p>
      <w:pPr>
        <w:pStyle w:val="BodyText"/>
        <w:ind w:left="119" w:right="5410"/>
      </w:pPr>
      <w:r>
        <w:rPr/>
        <w:t>Continental Stock Transfer &amp; Trust Company 2 Broadway</w:t>
      </w:r>
    </w:p>
    <w:p>
      <w:pPr>
        <w:pStyle w:val="BodyText"/>
        <w:ind w:left="119" w:right="6729"/>
      </w:pPr>
      <w:r>
        <w:rPr/>
        <w:t>New York, New York 10004 (212) 509-4000</w:t>
      </w:r>
    </w:p>
    <w:p>
      <w:pPr>
        <w:pStyle w:val="BodyText"/>
      </w:pPr>
    </w:p>
    <w:p>
      <w:pPr>
        <w:pStyle w:val="BodyText"/>
        <w:ind w:left="119"/>
      </w:pPr>
      <w:r>
        <w:rPr/>
        <w:t>STOCK  EXCHANGE LISTING</w:t>
      </w:r>
    </w:p>
    <w:p>
      <w:pPr>
        <w:pStyle w:val="BodyText"/>
        <w:ind w:left="119" w:right="7093"/>
      </w:pPr>
      <w:r>
        <w:rPr/>
        <w:t>New York Stock Exchange Ticker Symbol: LUV</w:t>
      </w:r>
    </w:p>
    <w:p>
      <w:pPr>
        <w:pStyle w:val="BodyText"/>
        <w:spacing w:before="1"/>
      </w:pPr>
    </w:p>
    <w:p>
      <w:pPr>
        <w:pStyle w:val="BodyText"/>
        <w:ind w:left="119"/>
      </w:pPr>
      <w:r>
        <w:rPr/>
        <w:t>AUDITORS</w:t>
      </w:r>
    </w:p>
    <w:p>
      <w:pPr>
        <w:pStyle w:val="BodyText"/>
        <w:ind w:left="119" w:right="7188"/>
      </w:pPr>
      <w:r>
        <w:rPr/>
        <w:t>Ernst &amp; Young LLP Dallas, Texas</w:t>
      </w:r>
    </w:p>
    <w:p>
      <w:pPr>
        <w:pStyle w:val="BodyText"/>
      </w:pPr>
    </w:p>
    <w:p>
      <w:pPr>
        <w:pStyle w:val="BodyText"/>
        <w:ind w:left="119"/>
      </w:pPr>
      <w:r>
        <w:rPr/>
        <w:t>GENERAL OFFICES</w:t>
      </w:r>
    </w:p>
    <w:p>
      <w:pPr>
        <w:pStyle w:val="BodyText"/>
        <w:ind w:left="119"/>
      </w:pPr>
      <w:r>
        <w:rPr/>
        <w:t>P. O. Box 36611</w:t>
      </w:r>
    </w:p>
    <w:p>
      <w:pPr>
        <w:pStyle w:val="BodyText"/>
        <w:ind w:left="119"/>
      </w:pPr>
      <w:r>
        <w:rPr/>
        <w:t>Dallas, Texas  75235-1611</w:t>
      </w:r>
    </w:p>
    <w:p>
      <w:pPr>
        <w:pStyle w:val="BodyText"/>
      </w:pPr>
    </w:p>
    <w:p>
      <w:pPr>
        <w:pStyle w:val="BodyText"/>
        <w:ind w:left="119"/>
      </w:pPr>
      <w:r>
        <w:rPr/>
        <w:t>ANNUAL MEETING</w:t>
      </w:r>
    </w:p>
    <w:p>
      <w:pPr>
        <w:pStyle w:val="BodyText"/>
        <w:ind w:left="119" w:right="268"/>
      </w:pPr>
      <w:r>
        <w:rPr/>
        <w:t>The Annual Meeting of Shareholders of Southwest Airlines Co. will be held at 10:00 a.m. on May 16, 1996 at the Southwest Airlines Corporate Headquarters,  2702 Love Field Drive, Dallas, Texas.</w:t>
      </w:r>
    </w:p>
    <w:p>
      <w:pPr>
        <w:pStyle w:val="BodyText"/>
      </w:pPr>
    </w:p>
    <w:p>
      <w:pPr>
        <w:pStyle w:val="BodyText"/>
        <w:spacing w:before="1"/>
        <w:ind w:left="119"/>
      </w:pPr>
      <w:r>
        <w:rPr/>
        <w:t>FINANCIAL INFORMATION</w:t>
      </w:r>
    </w:p>
    <w:p>
      <w:pPr>
        <w:pStyle w:val="BodyText"/>
        <w:ind w:left="119"/>
      </w:pPr>
      <w:r>
        <w:rPr/>
        <w:t>A copy of the Company’s Annual Report on Form 10-K as filed with the Securities and Exchange Commission may be obtained without charge, as well as other financial information, by writing or  calling:</w:t>
      </w:r>
    </w:p>
    <w:p>
      <w:pPr>
        <w:pStyle w:val="BodyText"/>
      </w:pPr>
    </w:p>
    <w:p>
      <w:pPr>
        <w:pStyle w:val="BodyText"/>
        <w:ind w:left="839" w:right="6729"/>
      </w:pPr>
      <w:r>
        <w:rPr/>
        <w:t>Investor Relations Southwest Airlines Co.</w:t>
      </w:r>
    </w:p>
    <w:p>
      <w:pPr>
        <w:pStyle w:val="BodyText"/>
        <w:ind w:left="839" w:right="6695"/>
      </w:pPr>
      <w:r>
        <w:rPr/>
        <w:t>P. O. Box 36611 Dallas, TX 75235-1611</w:t>
      </w:r>
    </w:p>
    <w:p>
      <w:pPr>
        <w:pStyle w:val="BodyText"/>
        <w:ind w:left="839"/>
      </w:pPr>
      <w:r>
        <w:rPr/>
        <w:t>Telephone (214) 904-4908</w:t>
      </w:r>
    </w:p>
    <w:p>
      <w:pPr>
        <w:spacing w:after="0"/>
        <w:sectPr>
          <w:footerReference w:type="default" r:id="rId14"/>
          <w:pgSz w:w="12240" w:h="15840"/>
          <w:pgMar w:footer="790" w:header="0" w:top="1500" w:bottom="980" w:left="1320" w:right="1320"/>
          <w:pgNumType w:start="42"/>
        </w:sectPr>
      </w:pPr>
    </w:p>
    <w:p>
      <w:pPr>
        <w:pStyle w:val="Heading2"/>
        <w:spacing w:before="80"/>
      </w:pPr>
      <w:r>
        <w:rPr/>
        <w:t>DEDICATION:</w:t>
      </w:r>
    </w:p>
    <w:p>
      <w:pPr>
        <w:pStyle w:val="BodyText"/>
        <w:rPr>
          <w:b/>
        </w:rPr>
      </w:pPr>
    </w:p>
    <w:p>
      <w:pPr>
        <w:spacing w:after="0"/>
        <w:sectPr>
          <w:pgSz w:w="12240" w:h="15840"/>
          <w:pgMar w:header="0" w:footer="790" w:top="1460" w:bottom="980" w:left="1320" w:right="13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81"/>
        <w:ind w:left="119" w:right="0" w:firstLine="0"/>
        <w:jc w:val="left"/>
        <w:rPr>
          <w:b/>
          <w:sz w:val="20"/>
        </w:rPr>
      </w:pPr>
      <w:r>
        <w:rPr>
          <w:b/>
          <w:sz w:val="20"/>
        </w:rPr>
        <w:t>DIRECTORS</w:t>
      </w:r>
    </w:p>
    <w:p>
      <w:pPr>
        <w:pStyle w:val="BodyText"/>
        <w:spacing w:before="11"/>
        <w:rPr>
          <w:b/>
          <w:sz w:val="22"/>
        </w:rPr>
      </w:pPr>
      <w:r>
        <w:rPr/>
        <w:br w:type="column"/>
      </w:r>
      <w:r>
        <w:rPr>
          <w:b/>
          <w:sz w:val="22"/>
        </w:rPr>
      </w:r>
    </w:p>
    <w:p>
      <w:pPr>
        <w:pStyle w:val="BodyText"/>
        <w:tabs>
          <w:tab w:pos="2999" w:val="left" w:leader="none"/>
        </w:tabs>
        <w:spacing w:line="376" w:lineRule="auto"/>
        <w:ind w:left="119" w:right="157"/>
      </w:pPr>
      <w:r>
        <w:rPr/>
        <w:t>This Southwest Airlines Annual </w:t>
      </w:r>
      <w:r>
        <w:rPr>
          <w:spacing w:val="-3"/>
        </w:rPr>
        <w:t>Report </w:t>
      </w:r>
      <w:r>
        <w:rPr/>
        <w:t>is dedicated to all of our spirited Employees. </w:t>
      </w:r>
      <w:r>
        <w:rPr>
          <w:spacing w:val="-3"/>
        </w:rPr>
        <w:t>Your </w:t>
      </w:r>
      <w:r>
        <w:rPr/>
        <w:t>hard work,</w:t>
      </w:r>
      <w:r>
        <w:rPr>
          <w:spacing w:val="9"/>
        </w:rPr>
        <w:t> </w:t>
      </w:r>
      <w:r>
        <w:rPr/>
        <w:t>creativity,</w:t>
      </w:r>
      <w:r>
        <w:rPr>
          <w:spacing w:val="5"/>
        </w:rPr>
        <w:t> </w:t>
      </w:r>
      <w:r>
        <w:rPr/>
        <w:t>caring,</w:t>
        <w:tab/>
        <w:t>and extra effort have won us our fourth</w:t>
      </w:r>
      <w:r>
        <w:rPr>
          <w:spacing w:val="7"/>
        </w:rPr>
        <w:t> </w:t>
      </w:r>
      <w:r>
        <w:rPr/>
        <w:t>annual</w:t>
      </w:r>
      <w:r>
        <w:rPr>
          <w:spacing w:val="5"/>
        </w:rPr>
        <w:t> </w:t>
      </w:r>
      <w:r>
        <w:rPr/>
        <w:t>Triple</w:t>
      </w:r>
      <w:r>
        <w:rPr>
          <w:w w:val="100"/>
        </w:rPr>
        <w:t> </w:t>
      </w:r>
      <w:r>
        <w:rPr/>
        <w:t>Crown for Highest Customer Satisfaction, </w:t>
      </w:r>
      <w:r>
        <w:rPr>
          <w:spacing w:val="-3"/>
        </w:rPr>
        <w:t>Best </w:t>
      </w:r>
      <w:r>
        <w:rPr/>
        <w:t>Ontime Record, and </w:t>
      </w:r>
      <w:r>
        <w:rPr>
          <w:spacing w:val="-3"/>
        </w:rPr>
        <w:t>Best Baggage </w:t>
      </w:r>
      <w:r>
        <w:rPr/>
        <w:t>Handling.</w:t>
      </w:r>
    </w:p>
    <w:p>
      <w:pPr>
        <w:pStyle w:val="BodyText"/>
        <w:spacing w:before="5"/>
        <w:rPr>
          <w:sz w:val="31"/>
        </w:rPr>
      </w:pPr>
    </w:p>
    <w:p>
      <w:pPr>
        <w:pStyle w:val="BodyText"/>
        <w:ind w:left="119"/>
      </w:pPr>
      <w:r>
        <w:rPr/>
        <w:t>SAMUEL E. BARSHOP</w:t>
      </w:r>
    </w:p>
    <w:p>
      <w:pPr>
        <w:pStyle w:val="BodyText"/>
        <w:spacing w:line="376" w:lineRule="auto" w:before="129"/>
        <w:ind w:left="119" w:right="5270"/>
      </w:pPr>
      <w:r>
        <w:rPr/>
        <w:t>Chairman of the Board, Barshop  &amp; Oles Co., Inc.,</w:t>
      </w:r>
    </w:p>
    <w:p>
      <w:pPr>
        <w:pStyle w:val="BodyText"/>
        <w:spacing w:before="2"/>
        <w:ind w:left="119"/>
      </w:pPr>
      <w:r>
        <w:rPr/>
        <w:t>San Antonio, Texas; Audit and Compensation Committees</w:t>
      </w:r>
    </w:p>
    <w:p>
      <w:pPr>
        <w:pStyle w:val="BodyText"/>
        <w:rPr>
          <w:sz w:val="22"/>
        </w:rPr>
      </w:pPr>
    </w:p>
    <w:p>
      <w:pPr>
        <w:pStyle w:val="BodyText"/>
        <w:spacing w:before="6"/>
      </w:pPr>
    </w:p>
    <w:p>
      <w:pPr>
        <w:pStyle w:val="BodyText"/>
        <w:ind w:left="119"/>
      </w:pPr>
      <w:r>
        <w:rPr/>
        <w:t>GENE H. BISHOP</w:t>
      </w:r>
    </w:p>
    <w:p>
      <w:pPr>
        <w:pStyle w:val="BodyText"/>
        <w:spacing w:before="129"/>
        <w:ind w:left="119"/>
      </w:pPr>
      <w:r>
        <w:rPr/>
        <w:t>Retired Chairman and Chief Executive Officer,</w:t>
      </w:r>
    </w:p>
    <w:p>
      <w:pPr>
        <w:pStyle w:val="BodyText"/>
        <w:spacing w:line="376" w:lineRule="auto" w:before="129"/>
        <w:ind w:left="119" w:right="157"/>
      </w:pPr>
      <w:r>
        <w:rPr/>
        <w:t>Life Partners Group, Inc., Dallas, Texas; Audit, Compensation, and Executive Committees</w:t>
      </w:r>
    </w:p>
    <w:p>
      <w:pPr>
        <w:pStyle w:val="BodyText"/>
        <w:spacing w:before="5"/>
        <w:rPr>
          <w:sz w:val="31"/>
        </w:rPr>
      </w:pPr>
    </w:p>
    <w:p>
      <w:pPr>
        <w:pStyle w:val="BodyText"/>
        <w:ind w:left="119"/>
      </w:pPr>
      <w:r>
        <w:rPr/>
        <w:t>C. WEBB CROCKETT</w:t>
      </w:r>
    </w:p>
    <w:p>
      <w:pPr>
        <w:pStyle w:val="BodyText"/>
        <w:spacing w:line="376" w:lineRule="auto" w:before="129"/>
        <w:ind w:left="119" w:right="3792"/>
      </w:pPr>
      <w:r>
        <w:rPr/>
        <w:t>Shareholder and Director, Fennemore Craig, Attorneys  at Law, Phoenix, Arizona;</w:t>
      </w:r>
    </w:p>
    <w:p>
      <w:pPr>
        <w:pStyle w:val="BodyText"/>
        <w:spacing w:before="2"/>
        <w:ind w:left="119"/>
      </w:pPr>
      <w:r>
        <w:rPr/>
        <w:t>Audit Committee</w:t>
      </w:r>
    </w:p>
    <w:p>
      <w:pPr>
        <w:pStyle w:val="BodyText"/>
        <w:rPr>
          <w:sz w:val="22"/>
        </w:rPr>
      </w:pPr>
    </w:p>
    <w:p>
      <w:pPr>
        <w:pStyle w:val="BodyText"/>
        <w:spacing w:before="6"/>
      </w:pPr>
    </w:p>
    <w:p>
      <w:pPr>
        <w:pStyle w:val="BodyText"/>
        <w:spacing w:before="1"/>
        <w:ind w:left="119"/>
      </w:pPr>
      <w:r>
        <w:rPr/>
        <w:t>WILLIAM P. HOBBY, JR.</w:t>
      </w:r>
    </w:p>
    <w:p>
      <w:pPr>
        <w:pStyle w:val="BodyText"/>
        <w:spacing w:line="376" w:lineRule="auto" w:before="130"/>
        <w:ind w:left="119" w:right="3792"/>
      </w:pPr>
      <w:r>
        <w:rPr/>
        <w:t>Chancellor, University of Houston System; Former Lieutenant Governor of Texas; Chairman of the Board,</w:t>
      </w:r>
    </w:p>
    <w:p>
      <w:pPr>
        <w:pStyle w:val="BodyText"/>
        <w:spacing w:line="376" w:lineRule="auto" w:before="2"/>
        <w:ind w:left="119" w:right="4070"/>
      </w:pPr>
      <w:r>
        <w:rPr/>
        <w:t>H&amp;C Communications, Houston, Texas; Audit and Compensation Committees</w:t>
      </w:r>
    </w:p>
    <w:p>
      <w:pPr>
        <w:pStyle w:val="BodyText"/>
        <w:spacing w:before="5"/>
        <w:rPr>
          <w:sz w:val="31"/>
        </w:rPr>
      </w:pPr>
    </w:p>
    <w:p>
      <w:pPr>
        <w:pStyle w:val="BodyText"/>
        <w:ind w:left="119"/>
      </w:pPr>
      <w:r>
        <w:rPr/>
        <w:t>TRAVIS C. JOHNSON</w:t>
      </w:r>
    </w:p>
    <w:p>
      <w:pPr>
        <w:pStyle w:val="BodyText"/>
        <w:spacing w:line="376" w:lineRule="auto" w:before="129"/>
        <w:ind w:left="119" w:right="5019"/>
      </w:pPr>
      <w:r>
        <w:rPr/>
        <w:t>Partner, Johnson &amp; Bowen, Attorneys at Law, El Paso, Texas; Audit Committee</w:t>
      </w:r>
    </w:p>
    <w:p>
      <w:pPr>
        <w:pStyle w:val="BodyText"/>
        <w:rPr>
          <w:sz w:val="22"/>
        </w:rPr>
      </w:pPr>
    </w:p>
    <w:p>
      <w:pPr>
        <w:pStyle w:val="BodyText"/>
        <w:rPr>
          <w:sz w:val="22"/>
        </w:rPr>
      </w:pPr>
    </w:p>
    <w:p>
      <w:pPr>
        <w:pStyle w:val="BodyText"/>
        <w:spacing w:before="9"/>
        <w:rPr>
          <w:sz w:val="18"/>
        </w:rPr>
      </w:pPr>
    </w:p>
    <w:p>
      <w:pPr>
        <w:pStyle w:val="BodyText"/>
        <w:ind w:left="119"/>
      </w:pPr>
      <w:r>
        <w:rPr/>
        <w:t>HERBERT D. KELLEHER</w:t>
      </w:r>
    </w:p>
    <w:p>
      <w:pPr>
        <w:spacing w:after="0"/>
        <w:sectPr>
          <w:type w:val="continuous"/>
          <w:pgSz w:w="12240" w:h="15840"/>
          <w:pgMar w:top="1280" w:bottom="980" w:left="1320" w:right="1320"/>
          <w:cols w:num="2" w:equalWidth="0">
            <w:col w:w="1307" w:space="133"/>
            <w:col w:w="8160"/>
          </w:cols>
        </w:sectPr>
      </w:pPr>
    </w:p>
    <w:p>
      <w:pPr>
        <w:pStyle w:val="BodyText"/>
        <w:spacing w:line="376" w:lineRule="auto" w:before="65"/>
        <w:ind w:left="1559" w:right="268"/>
      </w:pPr>
      <w:r>
        <w:rPr/>
        <w:t>Chairman of the Board, President, and Chief Executive Officer of Southwest Airlines Co., Dallas, Texas; Executive Committee</w:t>
      </w:r>
    </w:p>
    <w:p>
      <w:pPr>
        <w:pStyle w:val="BodyText"/>
        <w:spacing w:before="6"/>
        <w:rPr>
          <w:sz w:val="31"/>
        </w:rPr>
      </w:pPr>
    </w:p>
    <w:p>
      <w:pPr>
        <w:pStyle w:val="BodyText"/>
        <w:ind w:left="1559"/>
      </w:pPr>
      <w:r>
        <w:rPr/>
        <w:t>ROLLIN W. KING</w:t>
      </w:r>
    </w:p>
    <w:p>
      <w:pPr>
        <w:pStyle w:val="BodyText"/>
        <w:spacing w:before="130"/>
        <w:ind w:left="1559"/>
      </w:pPr>
      <w:r>
        <w:rPr/>
        <w:t>Retired, Dallas, Texas; Audit and Executive Committees</w:t>
      </w:r>
    </w:p>
    <w:p>
      <w:pPr>
        <w:pStyle w:val="BodyText"/>
        <w:rPr>
          <w:sz w:val="22"/>
        </w:rPr>
      </w:pPr>
    </w:p>
    <w:p>
      <w:pPr>
        <w:pStyle w:val="BodyText"/>
        <w:spacing w:before="7"/>
      </w:pPr>
    </w:p>
    <w:p>
      <w:pPr>
        <w:pStyle w:val="BodyText"/>
        <w:ind w:left="1559"/>
      </w:pPr>
      <w:r>
        <w:rPr/>
        <w:t>WALTER M. MISCHER, SR.</w:t>
      </w:r>
    </w:p>
    <w:p>
      <w:pPr>
        <w:pStyle w:val="BodyText"/>
        <w:spacing w:line="376" w:lineRule="auto" w:before="130"/>
        <w:ind w:left="1559" w:right="262"/>
      </w:pPr>
      <w:r>
        <w:rPr/>
        <w:t>Chairman of the </w:t>
      </w:r>
      <w:r>
        <w:rPr>
          <w:spacing w:val="-3"/>
        </w:rPr>
        <w:t>Board </w:t>
      </w:r>
      <w:r>
        <w:rPr/>
        <w:t>and Chief Executive Officer, </w:t>
      </w:r>
      <w:r>
        <w:rPr>
          <w:spacing w:val="-3"/>
        </w:rPr>
        <w:t>Southern </w:t>
      </w:r>
      <w:r>
        <w:rPr/>
        <w:t>Investors Service Co., Inc., Houston, Texas (Real </w:t>
      </w:r>
      <w:r>
        <w:rPr>
          <w:spacing w:val="-4"/>
        </w:rPr>
        <w:t>Estate </w:t>
      </w:r>
      <w:r>
        <w:rPr/>
        <w:t>Development); Audit and Compensation</w:t>
      </w:r>
      <w:r>
        <w:rPr>
          <w:spacing w:val="52"/>
        </w:rPr>
        <w:t> </w:t>
      </w:r>
      <w:r>
        <w:rPr/>
        <w:t>Committees</w:t>
      </w:r>
    </w:p>
    <w:p>
      <w:pPr>
        <w:pStyle w:val="BodyText"/>
        <w:spacing w:before="6"/>
        <w:rPr>
          <w:sz w:val="31"/>
        </w:rPr>
      </w:pPr>
    </w:p>
    <w:p>
      <w:pPr>
        <w:pStyle w:val="BodyText"/>
        <w:ind w:left="1559"/>
      </w:pPr>
      <w:r>
        <w:rPr/>
        <w:t>JUNE M. MORRIS</w:t>
      </w:r>
    </w:p>
    <w:p>
      <w:pPr>
        <w:pStyle w:val="BodyText"/>
        <w:spacing w:line="376" w:lineRule="auto" w:before="130"/>
        <w:ind w:left="1559" w:right="268"/>
      </w:pPr>
      <w:r>
        <w:rPr/>
        <w:t>Founder and former Chief Executive Officer of Morris Air Corporation, Salt Lake City, Utah; Audit Committee</w:t>
      </w:r>
    </w:p>
    <w:p>
      <w:pPr>
        <w:pStyle w:val="BodyText"/>
        <w:spacing w:before="10"/>
        <w:rPr>
          <w:sz w:val="22"/>
        </w:rPr>
      </w:pPr>
    </w:p>
    <w:p>
      <w:pPr>
        <w:spacing w:after="0"/>
        <w:rPr>
          <w:sz w:val="22"/>
        </w:rPr>
        <w:sectPr>
          <w:pgSz w:w="12240" w:h="15840"/>
          <w:pgMar w:header="0" w:footer="790" w:top="1480" w:bottom="980" w:left="1320" w:right="1320"/>
        </w:sectPr>
      </w:pPr>
    </w:p>
    <w:p>
      <w:pPr>
        <w:pStyle w:val="Heading2"/>
        <w:spacing w:before="95"/>
      </w:pPr>
      <w:r>
        <w:rPr/>
        <w:t>OFFICERS</w:t>
      </w:r>
    </w:p>
    <w:p>
      <w:pPr>
        <w:pStyle w:val="BodyText"/>
        <w:rPr>
          <w:b/>
          <w:sz w:val="22"/>
        </w:rPr>
      </w:pPr>
      <w:r>
        <w:rPr/>
        <w:br w:type="column"/>
      </w:r>
      <w:r>
        <w:rPr>
          <w:b/>
          <w:sz w:val="22"/>
        </w:rPr>
      </w:r>
    </w:p>
    <w:p>
      <w:pPr>
        <w:pStyle w:val="BodyText"/>
        <w:spacing w:before="11"/>
        <w:rPr>
          <w:b/>
          <w:sz w:val="17"/>
        </w:rPr>
      </w:pPr>
    </w:p>
    <w:p>
      <w:pPr>
        <w:pStyle w:val="BodyText"/>
        <w:ind w:left="119"/>
      </w:pPr>
      <w:r>
        <w:rPr/>
        <w:t>HERBERT D. KELLEHER*</w:t>
      </w:r>
    </w:p>
    <w:p>
      <w:pPr>
        <w:pStyle w:val="BodyText"/>
        <w:spacing w:line="376" w:lineRule="auto" w:before="129"/>
        <w:ind w:left="119" w:right="4770"/>
      </w:pPr>
      <w:r>
        <w:rPr/>
        <w:t>Chairman of the Board, President, and Chief Executive Officer</w:t>
      </w:r>
    </w:p>
    <w:p>
      <w:pPr>
        <w:pStyle w:val="BodyText"/>
        <w:spacing w:before="5"/>
        <w:rPr>
          <w:sz w:val="31"/>
        </w:rPr>
      </w:pPr>
    </w:p>
    <w:p>
      <w:pPr>
        <w:pStyle w:val="BodyText"/>
        <w:ind w:left="119"/>
      </w:pPr>
      <w:r>
        <w:rPr/>
        <w:t>COLLEEN C. BARRETT*</w:t>
      </w:r>
    </w:p>
    <w:p>
      <w:pPr>
        <w:pStyle w:val="BodyText"/>
        <w:spacing w:line="376" w:lineRule="auto" w:before="129"/>
        <w:ind w:left="119" w:right="4770"/>
      </w:pPr>
      <w:r>
        <w:rPr/>
        <w:t>Executive Vice President– Customers and Corporate Secretary</w:t>
      </w:r>
    </w:p>
    <w:p>
      <w:pPr>
        <w:pStyle w:val="BodyText"/>
        <w:spacing w:before="5"/>
        <w:rPr>
          <w:sz w:val="31"/>
        </w:rPr>
      </w:pPr>
    </w:p>
    <w:p>
      <w:pPr>
        <w:pStyle w:val="BodyText"/>
        <w:ind w:left="119"/>
      </w:pPr>
      <w:r>
        <w:rPr/>
        <w:t>GARY A. BARRON*</w:t>
      </w:r>
    </w:p>
    <w:p>
      <w:pPr>
        <w:pStyle w:val="BodyText"/>
        <w:spacing w:line="376" w:lineRule="auto" w:before="129"/>
        <w:ind w:left="119" w:right="5270"/>
      </w:pPr>
      <w:r>
        <w:rPr/>
        <w:t>Executive Vice President– Chief Operations Officer</w:t>
      </w:r>
    </w:p>
    <w:p>
      <w:pPr>
        <w:pStyle w:val="BodyText"/>
        <w:spacing w:before="5"/>
        <w:rPr>
          <w:sz w:val="31"/>
        </w:rPr>
      </w:pPr>
    </w:p>
    <w:p>
      <w:pPr>
        <w:pStyle w:val="BodyText"/>
        <w:spacing w:before="1"/>
        <w:ind w:left="119"/>
      </w:pPr>
      <w:r>
        <w:rPr/>
        <w:t>JOHN G. DENISON*</w:t>
      </w:r>
    </w:p>
    <w:p>
      <w:pPr>
        <w:pStyle w:val="BodyText"/>
        <w:spacing w:line="376" w:lineRule="auto" w:before="130"/>
        <w:ind w:left="119" w:right="5270"/>
      </w:pPr>
      <w:r>
        <w:rPr/>
        <w:t>Executive Vice President– Corporate Services</w:t>
      </w:r>
    </w:p>
    <w:p>
      <w:pPr>
        <w:pStyle w:val="BodyText"/>
        <w:spacing w:before="6"/>
        <w:rPr>
          <w:sz w:val="31"/>
        </w:rPr>
      </w:pPr>
    </w:p>
    <w:p>
      <w:pPr>
        <w:pStyle w:val="BodyText"/>
        <w:ind w:left="119"/>
      </w:pPr>
      <w:r>
        <w:rPr/>
        <w:t>CAROLYN R. BATES</w:t>
      </w:r>
    </w:p>
    <w:p>
      <w:pPr>
        <w:pStyle w:val="BodyText"/>
        <w:spacing w:before="130"/>
        <w:ind w:left="119"/>
      </w:pPr>
      <w:r>
        <w:rPr/>
        <w:t>Vice President–Reservations</w:t>
      </w:r>
    </w:p>
    <w:p>
      <w:pPr>
        <w:spacing w:after="0"/>
        <w:sectPr>
          <w:type w:val="continuous"/>
          <w:pgSz w:w="12240" w:h="15840"/>
          <w:pgMar w:top="1280" w:bottom="980" w:left="1320" w:right="1320"/>
          <w:cols w:num="2" w:equalWidth="0">
            <w:col w:w="1135" w:space="305"/>
            <w:col w:w="8160"/>
          </w:cols>
        </w:sectPr>
      </w:pPr>
    </w:p>
    <w:p>
      <w:pPr>
        <w:pStyle w:val="BodyText"/>
        <w:spacing w:before="65"/>
        <w:ind w:left="1159"/>
      </w:pPr>
      <w:r>
        <w:rPr/>
        <w:t>ALAN S. DAVIS</w:t>
      </w:r>
    </w:p>
    <w:p>
      <w:pPr>
        <w:pStyle w:val="BodyText"/>
        <w:spacing w:before="130"/>
        <w:ind w:left="1159"/>
      </w:pPr>
      <w:r>
        <w:rPr/>
        <w:t>Vice President–Internal Audit and Special Projects</w:t>
      </w:r>
    </w:p>
    <w:p>
      <w:pPr>
        <w:pStyle w:val="BodyText"/>
        <w:rPr>
          <w:sz w:val="22"/>
        </w:rPr>
      </w:pPr>
    </w:p>
    <w:p>
      <w:pPr>
        <w:pStyle w:val="BodyText"/>
        <w:spacing w:before="7"/>
      </w:pPr>
    </w:p>
    <w:p>
      <w:pPr>
        <w:pStyle w:val="BodyText"/>
        <w:ind w:left="1159"/>
      </w:pPr>
      <w:r>
        <w:rPr/>
        <w:t>LUKE J. GILL</w:t>
      </w:r>
    </w:p>
    <w:p>
      <w:pPr>
        <w:pStyle w:val="BodyText"/>
        <w:spacing w:before="129"/>
        <w:ind w:left="1159"/>
      </w:pPr>
      <w:r>
        <w:rPr/>
        <w:t>Vice President–Maintenance and Engineering</w:t>
      </w:r>
    </w:p>
    <w:p>
      <w:pPr>
        <w:pStyle w:val="BodyText"/>
        <w:rPr>
          <w:sz w:val="22"/>
        </w:rPr>
      </w:pPr>
    </w:p>
    <w:p>
      <w:pPr>
        <w:pStyle w:val="BodyText"/>
        <w:spacing w:before="6"/>
      </w:pPr>
    </w:p>
    <w:p>
      <w:pPr>
        <w:pStyle w:val="BodyText"/>
        <w:ind w:left="1159"/>
      </w:pPr>
      <w:r>
        <w:rPr/>
        <w:t>GINGER C. HARDAGE</w:t>
      </w:r>
    </w:p>
    <w:p>
      <w:pPr>
        <w:pStyle w:val="BodyText"/>
        <w:spacing w:before="129"/>
        <w:ind w:left="1159"/>
      </w:pPr>
      <w:r>
        <w:rPr/>
        <w:t>Vice President–Public Relations and Corporate Communications</w:t>
      </w:r>
    </w:p>
    <w:p>
      <w:pPr>
        <w:pStyle w:val="BodyText"/>
        <w:rPr>
          <w:sz w:val="22"/>
        </w:rPr>
      </w:pPr>
    </w:p>
    <w:p>
      <w:pPr>
        <w:pStyle w:val="BodyText"/>
        <w:spacing w:before="6"/>
      </w:pPr>
    </w:p>
    <w:p>
      <w:pPr>
        <w:pStyle w:val="BodyText"/>
        <w:ind w:left="1159"/>
      </w:pPr>
      <w:r>
        <w:rPr/>
        <w:t>CAMILLE T. KEITH</w:t>
      </w:r>
    </w:p>
    <w:p>
      <w:pPr>
        <w:pStyle w:val="BodyText"/>
        <w:spacing w:before="129"/>
        <w:ind w:left="1159"/>
      </w:pPr>
      <w:r>
        <w:rPr/>
        <w:t>Vice President–Special Marketing</w:t>
      </w:r>
    </w:p>
    <w:p>
      <w:pPr>
        <w:pStyle w:val="BodyText"/>
        <w:rPr>
          <w:sz w:val="22"/>
        </w:rPr>
      </w:pPr>
    </w:p>
    <w:p>
      <w:pPr>
        <w:pStyle w:val="BodyText"/>
        <w:spacing w:before="6"/>
      </w:pPr>
    </w:p>
    <w:p>
      <w:pPr>
        <w:pStyle w:val="BodyText"/>
        <w:ind w:left="1159"/>
      </w:pPr>
      <w:r>
        <w:rPr/>
        <w:t>GARY C. KELLY*</w:t>
      </w:r>
    </w:p>
    <w:p>
      <w:pPr>
        <w:pStyle w:val="BodyText"/>
        <w:spacing w:line="376" w:lineRule="auto" w:before="129"/>
        <w:ind w:left="1159" w:right="5426"/>
      </w:pPr>
      <w:r>
        <w:rPr/>
        <w:t>Vice President–Finance, Chief Financial Officer</w:t>
      </w:r>
    </w:p>
    <w:p>
      <w:pPr>
        <w:pStyle w:val="BodyText"/>
        <w:spacing w:before="5"/>
        <w:rPr>
          <w:sz w:val="31"/>
        </w:rPr>
      </w:pPr>
    </w:p>
    <w:p>
      <w:pPr>
        <w:pStyle w:val="BodyText"/>
        <w:ind w:left="1159"/>
      </w:pPr>
      <w:r>
        <w:rPr/>
        <w:t>WILLIAM D. LYONS</w:t>
      </w:r>
    </w:p>
    <w:p>
      <w:pPr>
        <w:pStyle w:val="BodyText"/>
        <w:spacing w:before="129"/>
        <w:ind w:left="1159"/>
      </w:pPr>
      <w:r>
        <w:rPr/>
        <w:t>Controller</w:t>
      </w:r>
    </w:p>
    <w:p>
      <w:pPr>
        <w:pStyle w:val="BodyText"/>
        <w:rPr>
          <w:sz w:val="22"/>
        </w:rPr>
      </w:pPr>
    </w:p>
    <w:p>
      <w:pPr>
        <w:pStyle w:val="BodyText"/>
        <w:spacing w:before="6"/>
      </w:pPr>
    </w:p>
    <w:p>
      <w:pPr>
        <w:pStyle w:val="BodyText"/>
        <w:ind w:left="1159"/>
      </w:pPr>
      <w:r>
        <w:rPr/>
        <w:t>PETE McGLADE</w:t>
      </w:r>
    </w:p>
    <w:p>
      <w:pPr>
        <w:pStyle w:val="BodyText"/>
        <w:spacing w:before="129"/>
        <w:ind w:left="1159"/>
      </w:pPr>
      <w:r>
        <w:rPr/>
        <w:t>Vice President–Schedule Planning</w:t>
      </w:r>
    </w:p>
    <w:p>
      <w:pPr>
        <w:pStyle w:val="BodyText"/>
        <w:rPr>
          <w:sz w:val="22"/>
        </w:rPr>
      </w:pPr>
    </w:p>
    <w:p>
      <w:pPr>
        <w:pStyle w:val="BodyText"/>
        <w:spacing w:before="6"/>
      </w:pPr>
    </w:p>
    <w:p>
      <w:pPr>
        <w:pStyle w:val="BodyText"/>
        <w:ind w:left="1159"/>
      </w:pPr>
      <w:r>
        <w:rPr/>
        <w:t>WILLIAM Q. MILLER</w:t>
      </w:r>
    </w:p>
    <w:p>
      <w:pPr>
        <w:pStyle w:val="BodyText"/>
        <w:spacing w:before="129"/>
        <w:ind w:left="1159"/>
      </w:pPr>
      <w:r>
        <w:rPr/>
        <w:t>Vice President–Inflight Service</w:t>
      </w:r>
    </w:p>
    <w:p>
      <w:pPr>
        <w:pStyle w:val="BodyText"/>
        <w:rPr>
          <w:sz w:val="22"/>
        </w:rPr>
      </w:pPr>
    </w:p>
    <w:p>
      <w:pPr>
        <w:pStyle w:val="BodyText"/>
        <w:spacing w:before="6"/>
      </w:pPr>
    </w:p>
    <w:p>
      <w:pPr>
        <w:pStyle w:val="BodyText"/>
        <w:ind w:left="1159"/>
      </w:pPr>
      <w:r>
        <w:rPr/>
        <w:t>JOHN D. OWEN</w:t>
      </w:r>
    </w:p>
    <w:p>
      <w:pPr>
        <w:pStyle w:val="BodyText"/>
        <w:spacing w:before="129"/>
        <w:ind w:left="1159"/>
      </w:pPr>
      <w:r>
        <w:rPr/>
        <w:t>Treasurer</w:t>
      </w:r>
    </w:p>
    <w:p>
      <w:pPr>
        <w:pStyle w:val="BodyText"/>
        <w:rPr>
          <w:sz w:val="22"/>
        </w:rPr>
      </w:pPr>
    </w:p>
    <w:p>
      <w:pPr>
        <w:pStyle w:val="BodyText"/>
        <w:spacing w:before="6"/>
      </w:pPr>
    </w:p>
    <w:p>
      <w:pPr>
        <w:pStyle w:val="BodyText"/>
        <w:ind w:left="1159"/>
      </w:pPr>
      <w:r>
        <w:rPr/>
        <w:t>JAMES F. PARKER*</w:t>
      </w:r>
    </w:p>
    <w:p>
      <w:pPr>
        <w:pStyle w:val="BodyText"/>
        <w:spacing w:before="129"/>
        <w:ind w:left="1159"/>
      </w:pPr>
      <w:r>
        <w:rPr/>
        <w:t>Vice President–General Counsel</w:t>
      </w:r>
    </w:p>
    <w:p>
      <w:pPr>
        <w:pStyle w:val="BodyText"/>
        <w:rPr>
          <w:sz w:val="22"/>
        </w:rPr>
      </w:pPr>
    </w:p>
    <w:p>
      <w:pPr>
        <w:pStyle w:val="BodyText"/>
        <w:spacing w:before="6"/>
      </w:pPr>
    </w:p>
    <w:p>
      <w:pPr>
        <w:pStyle w:val="BodyText"/>
        <w:ind w:left="1159"/>
      </w:pPr>
      <w:r>
        <w:rPr/>
        <w:t>ROBERT W. RAPP, JR.</w:t>
      </w:r>
    </w:p>
    <w:p>
      <w:pPr>
        <w:pStyle w:val="BodyText"/>
        <w:spacing w:before="129"/>
        <w:ind w:left="1159"/>
      </w:pPr>
      <w:r>
        <w:rPr/>
        <w:t>Vice President–Systems</w:t>
      </w:r>
    </w:p>
    <w:p>
      <w:pPr>
        <w:spacing w:after="0"/>
        <w:sectPr>
          <w:pgSz w:w="12240" w:h="15840"/>
          <w:pgMar w:header="0" w:footer="790" w:top="1480" w:bottom="980" w:left="1720" w:right="1320"/>
        </w:sectPr>
      </w:pPr>
    </w:p>
    <w:p>
      <w:pPr>
        <w:pStyle w:val="BodyText"/>
        <w:spacing w:before="65"/>
        <w:ind w:left="1559"/>
      </w:pPr>
      <w:r>
        <w:rPr/>
        <w:t>RON RICKS*</w:t>
      </w:r>
    </w:p>
    <w:p>
      <w:pPr>
        <w:pStyle w:val="BodyText"/>
        <w:spacing w:before="130"/>
        <w:ind w:left="1559"/>
      </w:pPr>
      <w:r>
        <w:rPr/>
        <w:t>Vice President–Governmental Affairs</w:t>
      </w:r>
    </w:p>
    <w:p>
      <w:pPr>
        <w:pStyle w:val="BodyText"/>
        <w:rPr>
          <w:sz w:val="22"/>
        </w:rPr>
      </w:pPr>
    </w:p>
    <w:p>
      <w:pPr>
        <w:pStyle w:val="BodyText"/>
        <w:spacing w:before="7"/>
      </w:pPr>
    </w:p>
    <w:p>
      <w:pPr>
        <w:pStyle w:val="BodyText"/>
        <w:ind w:left="1559"/>
      </w:pPr>
      <w:r>
        <w:rPr/>
        <w:t>DAVE RIDLEY</w:t>
      </w:r>
    </w:p>
    <w:p>
      <w:pPr>
        <w:pStyle w:val="BodyText"/>
        <w:spacing w:before="129"/>
        <w:ind w:left="1559"/>
      </w:pPr>
      <w:r>
        <w:rPr/>
        <w:t>Vice President–Marketing and Sales</w:t>
      </w:r>
    </w:p>
    <w:p>
      <w:pPr>
        <w:pStyle w:val="BodyText"/>
        <w:rPr>
          <w:sz w:val="22"/>
        </w:rPr>
      </w:pPr>
    </w:p>
    <w:p>
      <w:pPr>
        <w:pStyle w:val="BodyText"/>
        <w:spacing w:before="6"/>
      </w:pPr>
    </w:p>
    <w:p>
      <w:pPr>
        <w:pStyle w:val="BodyText"/>
        <w:ind w:left="1559"/>
      </w:pPr>
      <w:r>
        <w:rPr/>
        <w:t>JOYCE C. ROGGE</w:t>
      </w:r>
    </w:p>
    <w:p>
      <w:pPr>
        <w:pStyle w:val="BodyText"/>
        <w:spacing w:before="129"/>
        <w:ind w:left="1559"/>
      </w:pPr>
      <w:r>
        <w:rPr/>
        <w:t>Vice President–Advertising and Promotions</w:t>
      </w:r>
    </w:p>
    <w:p>
      <w:pPr>
        <w:pStyle w:val="BodyText"/>
        <w:rPr>
          <w:sz w:val="22"/>
        </w:rPr>
      </w:pPr>
    </w:p>
    <w:p>
      <w:pPr>
        <w:pStyle w:val="BodyText"/>
        <w:spacing w:before="6"/>
      </w:pPr>
    </w:p>
    <w:p>
      <w:pPr>
        <w:pStyle w:val="BodyText"/>
        <w:ind w:left="1559"/>
      </w:pPr>
      <w:r>
        <w:rPr/>
        <w:t>ROGER W. SAARI</w:t>
      </w:r>
    </w:p>
    <w:p>
      <w:pPr>
        <w:pStyle w:val="BodyText"/>
        <w:spacing w:before="129"/>
        <w:ind w:left="1559"/>
      </w:pPr>
      <w:r>
        <w:rPr/>
        <w:t>Vice President–Fuel Management</w:t>
      </w:r>
    </w:p>
    <w:p>
      <w:pPr>
        <w:pStyle w:val="BodyText"/>
        <w:rPr>
          <w:sz w:val="22"/>
        </w:rPr>
      </w:pPr>
    </w:p>
    <w:p>
      <w:pPr>
        <w:pStyle w:val="BodyText"/>
        <w:spacing w:before="6"/>
      </w:pPr>
    </w:p>
    <w:p>
      <w:pPr>
        <w:pStyle w:val="BodyText"/>
        <w:ind w:left="1559"/>
      </w:pPr>
      <w:r>
        <w:rPr/>
        <w:t>ELIZABETH  P. SARTAIN</w:t>
      </w:r>
    </w:p>
    <w:p>
      <w:pPr>
        <w:pStyle w:val="BodyText"/>
        <w:spacing w:before="129"/>
        <w:ind w:left="1559"/>
      </w:pPr>
      <w:r>
        <w:rPr/>
        <w:t>Vice President–People</w:t>
      </w:r>
    </w:p>
    <w:p>
      <w:pPr>
        <w:pStyle w:val="BodyText"/>
        <w:rPr>
          <w:sz w:val="22"/>
        </w:rPr>
      </w:pPr>
    </w:p>
    <w:p>
      <w:pPr>
        <w:pStyle w:val="BodyText"/>
        <w:spacing w:before="6"/>
      </w:pPr>
    </w:p>
    <w:p>
      <w:pPr>
        <w:pStyle w:val="BodyText"/>
        <w:ind w:left="1559"/>
      </w:pPr>
      <w:r>
        <w:rPr/>
        <w:t>PAUL E. STERBENZ</w:t>
      </w:r>
    </w:p>
    <w:p>
      <w:pPr>
        <w:pStyle w:val="BodyText"/>
        <w:spacing w:before="129"/>
        <w:ind w:left="1559"/>
      </w:pPr>
      <w:r>
        <w:rPr/>
        <w:t>Vice President–Flight Operations</w:t>
      </w:r>
    </w:p>
    <w:p>
      <w:pPr>
        <w:pStyle w:val="BodyText"/>
        <w:rPr>
          <w:sz w:val="22"/>
        </w:rPr>
      </w:pPr>
    </w:p>
    <w:p>
      <w:pPr>
        <w:pStyle w:val="BodyText"/>
        <w:spacing w:before="6"/>
      </w:pPr>
    </w:p>
    <w:p>
      <w:pPr>
        <w:pStyle w:val="BodyText"/>
        <w:ind w:left="1559"/>
      </w:pPr>
      <w:r>
        <w:rPr/>
        <w:t>KEITH  L. TAYLOR</w:t>
      </w:r>
    </w:p>
    <w:p>
      <w:pPr>
        <w:pStyle w:val="BodyText"/>
        <w:spacing w:before="129"/>
        <w:ind w:left="1559"/>
      </w:pPr>
      <w:r>
        <w:rPr/>
        <w:t>Vice President–Revenue Management</w:t>
      </w:r>
    </w:p>
    <w:p>
      <w:pPr>
        <w:pStyle w:val="BodyText"/>
        <w:rPr>
          <w:sz w:val="22"/>
        </w:rPr>
      </w:pPr>
    </w:p>
    <w:p>
      <w:pPr>
        <w:pStyle w:val="BodyText"/>
        <w:spacing w:before="6"/>
      </w:pPr>
    </w:p>
    <w:p>
      <w:pPr>
        <w:pStyle w:val="BodyText"/>
        <w:ind w:left="1559"/>
      </w:pPr>
      <w:r>
        <w:rPr/>
        <w:t>JAMES C. WIMBERLY*</w:t>
      </w:r>
    </w:p>
    <w:p>
      <w:pPr>
        <w:pStyle w:val="BodyText"/>
        <w:spacing w:before="129"/>
        <w:ind w:left="1559"/>
      </w:pPr>
      <w:r>
        <w:rPr/>
        <w:t>Vice President–Ground Operations</w:t>
      </w:r>
    </w:p>
    <w:p>
      <w:pPr>
        <w:pStyle w:val="BodyText"/>
        <w:rPr>
          <w:sz w:val="22"/>
        </w:rPr>
      </w:pPr>
    </w:p>
    <w:p>
      <w:pPr>
        <w:pStyle w:val="BodyText"/>
        <w:spacing w:before="6"/>
      </w:pPr>
    </w:p>
    <w:p>
      <w:pPr>
        <w:pStyle w:val="BodyText"/>
        <w:ind w:left="1559"/>
      </w:pPr>
      <w:r>
        <w:rPr/>
        <w:t>*Member of Executive Planning Committee</w:t>
      </w:r>
    </w:p>
    <w:p>
      <w:pPr>
        <w:pStyle w:val="BodyText"/>
        <w:spacing w:before="10"/>
        <w:rPr>
          <w:sz w:val="17"/>
        </w:rPr>
      </w:pPr>
      <w:r>
        <w:rPr/>
        <w:pict>
          <v:line style="position:absolute;mso-position-horizontal-relative:page;mso-position-vertical-relative:paragraph;z-index:0;mso-wrap-distance-left:0;mso-wrap-distance-right:0" from="72pt,13.214307pt" to="547.2pt,13.214307pt" stroked="true" strokeweight="1.92pt" strokecolor="#0000ff">
            <v:stroke dashstyle="solid"/>
            <w10:wrap type="topAndBottom"/>
          </v:line>
        </w:pict>
      </w:r>
    </w:p>
    <w:p>
      <w:pPr>
        <w:pStyle w:val="BodyText"/>
        <w:spacing w:before="176"/>
        <w:ind w:left="1559"/>
      </w:pPr>
      <w:r>
        <w:rPr/>
        <w:t>Southwest Airlines Co.</w:t>
      </w:r>
    </w:p>
    <w:p>
      <w:pPr>
        <w:pStyle w:val="BodyText"/>
        <w:spacing w:before="129"/>
        <w:ind w:left="1559"/>
      </w:pPr>
      <w:r>
        <w:rPr/>
        <w:t>P.O. Box 36611</w:t>
      </w:r>
    </w:p>
    <w:p>
      <w:pPr>
        <w:pStyle w:val="BodyText"/>
        <w:spacing w:before="129"/>
        <w:ind w:left="1559"/>
      </w:pPr>
      <w:r>
        <w:rPr/>
        <w:t>Dallas, Texas</w:t>
      </w:r>
      <w:r>
        <w:rPr>
          <w:spacing w:val="52"/>
        </w:rPr>
        <w:t> </w:t>
      </w:r>
      <w:r>
        <w:rPr/>
        <w:t>75235-1611</w:t>
      </w:r>
    </w:p>
    <w:p>
      <w:pPr>
        <w:pStyle w:val="BodyText"/>
        <w:spacing w:before="129"/>
        <w:ind w:left="1559"/>
      </w:pPr>
      <w:r>
        <w:rPr/>
        <w:t>(214) 904-4000</w:t>
      </w:r>
    </w:p>
    <w:sectPr>
      <w:pgSz w:w="12240" w:h="15840"/>
      <w:pgMar w:header="0" w:footer="790" w:top="1480" w:bottom="980" w:left="13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3.280029pt;margin-top:741.496704pt;width:10.75pt;height:15.45pt;mso-position-horizontal-relative:page;mso-position-vertical-relative:page;z-index:-143056" type="#_x0000_t202" filled="false" stroked="false">
          <v:textbox inset="0,0,0,0">
            <w:txbxContent>
              <w:p>
                <w:pPr>
                  <w:spacing w:before="12"/>
                  <w:ind w:left="40" w:right="0" w:firstLine="0"/>
                  <w:jc w:val="left"/>
                  <w:rPr>
                    <w:sz w:val="24"/>
                  </w:rPr>
                </w:pPr>
                <w:r>
                  <w:rPr/>
                  <w:fldChar w:fldCharType="begin"/>
                </w:r>
                <w:r>
                  <w:rPr>
                    <w:w w:val="99"/>
                    <w:sz w:val="24"/>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4.559998pt;margin-top:741.496704pt;width:17.55pt;height:15.45pt;mso-position-horizontal-relative:page;mso-position-vertical-relative:page;z-index:-142864"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42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3032" type="#_x0000_t202" filled="false" stroked="false">
          <v:textbox inset="0,0,0,0">
            <w:txbxContent>
              <w:p>
                <w:pPr>
                  <w:spacing w:before="12"/>
                  <w:ind w:left="20" w:right="0" w:firstLine="0"/>
                  <w:jc w:val="left"/>
                  <w:rPr>
                    <w:sz w:val="24"/>
                  </w:rPr>
                </w:pPr>
                <w:r>
                  <w:rPr>
                    <w:sz w:val="24"/>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559998pt;margin-top:741.496704pt;width:17.55pt;height:15.45pt;mso-position-horizontal-relative:page;mso-position-vertical-relative:page;z-index:-143008"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2984" type="#_x0000_t202" filled="false" stroked="false">
          <v:textbox inset="0,0,0,0">
            <w:txbxContent>
              <w:p>
                <w:pPr>
                  <w:spacing w:before="12"/>
                  <w:ind w:left="20" w:right="0" w:firstLine="0"/>
                  <w:jc w:val="left"/>
                  <w:rPr>
                    <w:sz w:val="24"/>
                  </w:rPr>
                </w:pPr>
                <w:r>
                  <w:rPr>
                    <w:sz w:val="24"/>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559998pt;margin-top:741.496704pt;width:17.55pt;height:15.45pt;mso-position-horizontal-relative:page;mso-position-vertical-relative:page;z-index:-142960"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2936" type="#_x0000_t202" filled="false" stroked="false">
          <v:textbox inset="0,0,0,0">
            <w:txbxContent>
              <w:p>
                <w:pPr>
                  <w:spacing w:before="12"/>
                  <w:ind w:left="20" w:right="0" w:firstLine="0"/>
                  <w:jc w:val="left"/>
                  <w:rPr>
                    <w:sz w:val="24"/>
                  </w:rPr>
                </w:pPr>
                <w:r>
                  <w:rPr>
                    <w:sz w:val="24"/>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559998pt;margin-top:741.496704pt;width:17.55pt;height:15.45pt;mso-position-horizontal-relative:page;mso-position-vertical-relative:page;z-index:-142912" type="#_x0000_t202" filled="false" stroked="false">
          <v:textbox inset="0,0,0,0">
            <w:txbxContent>
              <w:p>
                <w:pPr>
                  <w:spacing w:before="12"/>
                  <w:ind w:left="40" w:right="0" w:firstLine="0"/>
                  <w:jc w:val="left"/>
                  <w:rPr>
                    <w:sz w:val="24"/>
                  </w:rPr>
                </w:pPr>
                <w:r>
                  <w:rPr/>
                  <w:fldChar w:fldCharType="begin"/>
                </w:r>
                <w:r>
                  <w:rPr>
                    <w:sz w:val="24"/>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7.559998pt;margin-top:741.496704pt;width:15.45pt;height:15.45pt;mso-position-horizontal-relative:page;mso-position-vertical-relative:page;z-index:-142888" type="#_x0000_t202" filled="false" stroked="false">
          <v:textbox inset="0,0,0,0">
            <w:txbxContent>
              <w:p>
                <w:pPr>
                  <w:spacing w:before="12"/>
                  <w:ind w:left="20" w:right="0" w:firstLine="0"/>
                  <w:jc w:val="left"/>
                  <w:rPr>
                    <w:sz w:val="24"/>
                  </w:rPr>
                </w:pPr>
                <w:r>
                  <w:rPr>
                    <w:sz w:val="24"/>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60" w:hanging="286"/>
        <w:jc w:val="left"/>
      </w:pPr>
      <w:rPr>
        <w:rFonts w:hint="default" w:ascii="Arial" w:hAnsi="Arial" w:eastAsia="Arial" w:cs="Arial"/>
        <w:spacing w:val="0"/>
        <w:w w:val="98"/>
        <w:sz w:val="16"/>
        <w:szCs w:val="16"/>
      </w:rPr>
    </w:lvl>
    <w:lvl w:ilvl="1">
      <w:start w:val="0"/>
      <w:numFmt w:val="bullet"/>
      <w:lvlText w:val="•"/>
      <w:lvlJc w:val="left"/>
      <w:pPr>
        <w:ind w:left="1292" w:hanging="286"/>
      </w:pPr>
      <w:rPr>
        <w:rFonts w:hint="default"/>
      </w:rPr>
    </w:lvl>
    <w:lvl w:ilvl="2">
      <w:start w:val="0"/>
      <w:numFmt w:val="bullet"/>
      <w:lvlText w:val="•"/>
      <w:lvlJc w:val="left"/>
      <w:pPr>
        <w:ind w:left="2424" w:hanging="286"/>
      </w:pPr>
      <w:rPr>
        <w:rFonts w:hint="default"/>
      </w:rPr>
    </w:lvl>
    <w:lvl w:ilvl="3">
      <w:start w:val="0"/>
      <w:numFmt w:val="bullet"/>
      <w:lvlText w:val="•"/>
      <w:lvlJc w:val="left"/>
      <w:pPr>
        <w:ind w:left="3556" w:hanging="286"/>
      </w:pPr>
      <w:rPr>
        <w:rFonts w:hint="default"/>
      </w:rPr>
    </w:lvl>
    <w:lvl w:ilvl="4">
      <w:start w:val="0"/>
      <w:numFmt w:val="bullet"/>
      <w:lvlText w:val="•"/>
      <w:lvlJc w:val="left"/>
      <w:pPr>
        <w:ind w:left="4688" w:hanging="286"/>
      </w:pPr>
      <w:rPr>
        <w:rFonts w:hint="default"/>
      </w:rPr>
    </w:lvl>
    <w:lvl w:ilvl="5">
      <w:start w:val="0"/>
      <w:numFmt w:val="bullet"/>
      <w:lvlText w:val="•"/>
      <w:lvlJc w:val="left"/>
      <w:pPr>
        <w:ind w:left="5820" w:hanging="286"/>
      </w:pPr>
      <w:rPr>
        <w:rFonts w:hint="default"/>
      </w:rPr>
    </w:lvl>
    <w:lvl w:ilvl="6">
      <w:start w:val="0"/>
      <w:numFmt w:val="bullet"/>
      <w:lvlText w:val="•"/>
      <w:lvlJc w:val="left"/>
      <w:pPr>
        <w:ind w:left="6952" w:hanging="286"/>
      </w:pPr>
      <w:rPr>
        <w:rFonts w:hint="default"/>
      </w:rPr>
    </w:lvl>
    <w:lvl w:ilvl="7">
      <w:start w:val="0"/>
      <w:numFmt w:val="bullet"/>
      <w:lvlText w:val="•"/>
      <w:lvlJc w:val="left"/>
      <w:pPr>
        <w:ind w:left="8084" w:hanging="286"/>
      </w:pPr>
      <w:rPr>
        <w:rFonts w:hint="default"/>
      </w:rPr>
    </w:lvl>
    <w:lvl w:ilvl="8">
      <w:start w:val="0"/>
      <w:numFmt w:val="bullet"/>
      <w:lvlText w:val="•"/>
      <w:lvlJc w:val="left"/>
      <w:pPr>
        <w:ind w:left="9216" w:hanging="286"/>
      </w:pPr>
      <w:rPr>
        <w:rFonts w:hint="default"/>
      </w:rPr>
    </w:lvl>
  </w:abstractNum>
  <w:abstractNum w:abstractNumId="2">
    <w:multiLevelType w:val="hybridMultilevel"/>
    <w:lvl w:ilvl="0">
      <w:start w:val="7"/>
      <w:numFmt w:val="decimal"/>
      <w:lvlText w:val="%1."/>
      <w:lvlJc w:val="left"/>
      <w:pPr>
        <w:ind w:left="385" w:hanging="226"/>
        <w:jc w:val="right"/>
      </w:pPr>
      <w:rPr>
        <w:rFonts w:hint="default" w:ascii="Arial" w:hAnsi="Arial" w:eastAsia="Arial" w:cs="Arial"/>
        <w:b/>
        <w:bCs/>
        <w:w w:val="100"/>
        <w:sz w:val="20"/>
        <w:szCs w:val="20"/>
      </w:rPr>
    </w:lvl>
    <w:lvl w:ilvl="1">
      <w:start w:val="0"/>
      <w:numFmt w:val="bullet"/>
      <w:lvlText w:val="•"/>
      <w:lvlJc w:val="left"/>
      <w:pPr>
        <w:ind w:left="1234" w:hanging="226"/>
      </w:pPr>
      <w:rPr>
        <w:rFonts w:hint="default"/>
      </w:rPr>
    </w:lvl>
    <w:lvl w:ilvl="2">
      <w:start w:val="0"/>
      <w:numFmt w:val="bullet"/>
      <w:lvlText w:val="•"/>
      <w:lvlJc w:val="left"/>
      <w:pPr>
        <w:ind w:left="2088" w:hanging="226"/>
      </w:pPr>
      <w:rPr>
        <w:rFonts w:hint="default"/>
      </w:rPr>
    </w:lvl>
    <w:lvl w:ilvl="3">
      <w:start w:val="0"/>
      <w:numFmt w:val="bullet"/>
      <w:lvlText w:val="•"/>
      <w:lvlJc w:val="left"/>
      <w:pPr>
        <w:ind w:left="2942" w:hanging="226"/>
      </w:pPr>
      <w:rPr>
        <w:rFonts w:hint="default"/>
      </w:rPr>
    </w:lvl>
    <w:lvl w:ilvl="4">
      <w:start w:val="0"/>
      <w:numFmt w:val="bullet"/>
      <w:lvlText w:val="•"/>
      <w:lvlJc w:val="left"/>
      <w:pPr>
        <w:ind w:left="3796" w:hanging="226"/>
      </w:pPr>
      <w:rPr>
        <w:rFonts w:hint="default"/>
      </w:rPr>
    </w:lvl>
    <w:lvl w:ilvl="5">
      <w:start w:val="0"/>
      <w:numFmt w:val="bullet"/>
      <w:lvlText w:val="•"/>
      <w:lvlJc w:val="left"/>
      <w:pPr>
        <w:ind w:left="4650" w:hanging="226"/>
      </w:pPr>
      <w:rPr>
        <w:rFonts w:hint="default"/>
      </w:rPr>
    </w:lvl>
    <w:lvl w:ilvl="6">
      <w:start w:val="0"/>
      <w:numFmt w:val="bullet"/>
      <w:lvlText w:val="•"/>
      <w:lvlJc w:val="left"/>
      <w:pPr>
        <w:ind w:left="5504" w:hanging="226"/>
      </w:pPr>
      <w:rPr>
        <w:rFonts w:hint="default"/>
      </w:rPr>
    </w:lvl>
    <w:lvl w:ilvl="7">
      <w:start w:val="0"/>
      <w:numFmt w:val="bullet"/>
      <w:lvlText w:val="•"/>
      <w:lvlJc w:val="left"/>
      <w:pPr>
        <w:ind w:left="6358" w:hanging="226"/>
      </w:pPr>
      <w:rPr>
        <w:rFonts w:hint="default"/>
      </w:rPr>
    </w:lvl>
    <w:lvl w:ilvl="8">
      <w:start w:val="0"/>
      <w:numFmt w:val="bullet"/>
      <w:lvlText w:val="•"/>
      <w:lvlJc w:val="left"/>
      <w:pPr>
        <w:ind w:left="7212" w:hanging="226"/>
      </w:pPr>
      <w:rPr>
        <w:rFonts w:hint="default"/>
      </w:rPr>
    </w:lvl>
  </w:abstractNum>
  <w:abstractNum w:abstractNumId="1">
    <w:multiLevelType w:val="hybridMultilevel"/>
    <w:lvl w:ilvl="0">
      <w:start w:val="1"/>
      <w:numFmt w:val="decimal"/>
      <w:lvlText w:val="%1."/>
      <w:lvlJc w:val="left"/>
      <w:pPr>
        <w:ind w:left="325" w:hanging="226"/>
        <w:jc w:val="left"/>
      </w:pPr>
      <w:rPr>
        <w:rFonts w:hint="default" w:ascii="Arial" w:hAnsi="Arial" w:eastAsia="Arial" w:cs="Arial"/>
        <w:b/>
        <w:bCs/>
        <w:w w:val="100"/>
        <w:sz w:val="20"/>
        <w:szCs w:val="20"/>
      </w:rPr>
    </w:lvl>
    <w:lvl w:ilvl="1">
      <w:start w:val="0"/>
      <w:numFmt w:val="bullet"/>
      <w:lvlText w:val="•"/>
      <w:lvlJc w:val="left"/>
      <w:pPr>
        <w:ind w:left="1174" w:hanging="226"/>
      </w:pPr>
      <w:rPr>
        <w:rFonts w:hint="default"/>
      </w:rPr>
    </w:lvl>
    <w:lvl w:ilvl="2">
      <w:start w:val="0"/>
      <w:numFmt w:val="bullet"/>
      <w:lvlText w:val="•"/>
      <w:lvlJc w:val="left"/>
      <w:pPr>
        <w:ind w:left="2028" w:hanging="226"/>
      </w:pPr>
      <w:rPr>
        <w:rFonts w:hint="default"/>
      </w:rPr>
    </w:lvl>
    <w:lvl w:ilvl="3">
      <w:start w:val="0"/>
      <w:numFmt w:val="bullet"/>
      <w:lvlText w:val="•"/>
      <w:lvlJc w:val="left"/>
      <w:pPr>
        <w:ind w:left="2882" w:hanging="226"/>
      </w:pPr>
      <w:rPr>
        <w:rFonts w:hint="default"/>
      </w:rPr>
    </w:lvl>
    <w:lvl w:ilvl="4">
      <w:start w:val="0"/>
      <w:numFmt w:val="bullet"/>
      <w:lvlText w:val="•"/>
      <w:lvlJc w:val="left"/>
      <w:pPr>
        <w:ind w:left="3736" w:hanging="226"/>
      </w:pPr>
      <w:rPr>
        <w:rFonts w:hint="default"/>
      </w:rPr>
    </w:lvl>
    <w:lvl w:ilvl="5">
      <w:start w:val="0"/>
      <w:numFmt w:val="bullet"/>
      <w:lvlText w:val="•"/>
      <w:lvlJc w:val="left"/>
      <w:pPr>
        <w:ind w:left="4590" w:hanging="226"/>
      </w:pPr>
      <w:rPr>
        <w:rFonts w:hint="default"/>
      </w:rPr>
    </w:lvl>
    <w:lvl w:ilvl="6">
      <w:start w:val="0"/>
      <w:numFmt w:val="bullet"/>
      <w:lvlText w:val="•"/>
      <w:lvlJc w:val="left"/>
      <w:pPr>
        <w:ind w:left="5444" w:hanging="226"/>
      </w:pPr>
      <w:rPr>
        <w:rFonts w:hint="default"/>
      </w:rPr>
    </w:lvl>
    <w:lvl w:ilvl="7">
      <w:start w:val="0"/>
      <w:numFmt w:val="bullet"/>
      <w:lvlText w:val="•"/>
      <w:lvlJc w:val="left"/>
      <w:pPr>
        <w:ind w:left="6298" w:hanging="226"/>
      </w:pPr>
      <w:rPr>
        <w:rFonts w:hint="default"/>
      </w:rPr>
    </w:lvl>
    <w:lvl w:ilvl="8">
      <w:start w:val="0"/>
      <w:numFmt w:val="bullet"/>
      <w:lvlText w:val="•"/>
      <w:lvlJc w:val="left"/>
      <w:pPr>
        <w:ind w:left="7152" w:hanging="226"/>
      </w:pPr>
      <w:rPr>
        <w:rFonts w:hint="default"/>
      </w:rPr>
    </w:lvl>
  </w:abstractNum>
  <w:abstractNum w:abstractNumId="0">
    <w:multiLevelType w:val="hybridMultilevel"/>
    <w:lvl w:ilvl="0">
      <w:start w:val="1"/>
      <w:numFmt w:val="decimal"/>
      <w:lvlText w:val="%1."/>
      <w:lvlJc w:val="left"/>
      <w:pPr>
        <w:ind w:left="2168" w:hanging="269"/>
        <w:jc w:val="left"/>
      </w:pPr>
      <w:rPr>
        <w:rFonts w:hint="default" w:ascii="Arial" w:hAnsi="Arial" w:eastAsia="Arial" w:cs="Arial"/>
        <w:spacing w:val="-2"/>
        <w:w w:val="99"/>
        <w:sz w:val="24"/>
        <w:szCs w:val="24"/>
      </w:rPr>
    </w:lvl>
    <w:lvl w:ilvl="1">
      <w:start w:val="0"/>
      <w:numFmt w:val="bullet"/>
      <w:lvlText w:val="•"/>
      <w:lvlJc w:val="left"/>
      <w:pPr>
        <w:ind w:left="2866" w:hanging="269"/>
      </w:pPr>
      <w:rPr>
        <w:rFonts w:hint="default"/>
      </w:rPr>
    </w:lvl>
    <w:lvl w:ilvl="2">
      <w:start w:val="0"/>
      <w:numFmt w:val="bullet"/>
      <w:lvlText w:val="•"/>
      <w:lvlJc w:val="left"/>
      <w:pPr>
        <w:ind w:left="3572" w:hanging="269"/>
      </w:pPr>
      <w:rPr>
        <w:rFonts w:hint="default"/>
      </w:rPr>
    </w:lvl>
    <w:lvl w:ilvl="3">
      <w:start w:val="0"/>
      <w:numFmt w:val="bullet"/>
      <w:lvlText w:val="•"/>
      <w:lvlJc w:val="left"/>
      <w:pPr>
        <w:ind w:left="4278" w:hanging="269"/>
      </w:pPr>
      <w:rPr>
        <w:rFonts w:hint="default"/>
      </w:rPr>
    </w:lvl>
    <w:lvl w:ilvl="4">
      <w:start w:val="0"/>
      <w:numFmt w:val="bullet"/>
      <w:lvlText w:val="•"/>
      <w:lvlJc w:val="left"/>
      <w:pPr>
        <w:ind w:left="4984" w:hanging="269"/>
      </w:pPr>
      <w:rPr>
        <w:rFonts w:hint="default"/>
      </w:rPr>
    </w:lvl>
    <w:lvl w:ilvl="5">
      <w:start w:val="0"/>
      <w:numFmt w:val="bullet"/>
      <w:lvlText w:val="•"/>
      <w:lvlJc w:val="left"/>
      <w:pPr>
        <w:ind w:left="5690" w:hanging="269"/>
      </w:pPr>
      <w:rPr>
        <w:rFonts w:hint="default"/>
      </w:rPr>
    </w:lvl>
    <w:lvl w:ilvl="6">
      <w:start w:val="0"/>
      <w:numFmt w:val="bullet"/>
      <w:lvlText w:val="•"/>
      <w:lvlJc w:val="left"/>
      <w:pPr>
        <w:ind w:left="6396" w:hanging="269"/>
      </w:pPr>
      <w:rPr>
        <w:rFonts w:hint="default"/>
      </w:rPr>
    </w:lvl>
    <w:lvl w:ilvl="7">
      <w:start w:val="0"/>
      <w:numFmt w:val="bullet"/>
      <w:lvlText w:val="•"/>
      <w:lvlJc w:val="left"/>
      <w:pPr>
        <w:ind w:left="7102" w:hanging="269"/>
      </w:pPr>
      <w:rPr>
        <w:rFonts w:hint="default"/>
      </w:rPr>
    </w:lvl>
    <w:lvl w:ilvl="8">
      <w:start w:val="0"/>
      <w:numFmt w:val="bullet"/>
      <w:lvlText w:val="•"/>
      <w:lvlJc w:val="left"/>
      <w:pPr>
        <w:ind w:left="7808" w:hanging="269"/>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83"/>
      <w:ind w:left="1899"/>
    </w:pPr>
    <w:rPr>
      <w:rFonts w:ascii="Arial" w:hAnsi="Arial" w:eastAsia="Arial" w:cs="Arial"/>
      <w:sz w:val="24"/>
      <w:szCs w:val="24"/>
    </w:rPr>
  </w:style>
  <w:style w:styleId="TOC2" w:type="paragraph">
    <w:name w:val="TOC 2"/>
    <w:basedOn w:val="Normal"/>
    <w:uiPriority w:val="1"/>
    <w:qFormat/>
    <w:pPr>
      <w:spacing w:before="83"/>
      <w:ind w:left="2168" w:hanging="268"/>
    </w:pPr>
    <w:rPr>
      <w:rFonts w:ascii="Arial" w:hAnsi="Arial" w:eastAsia="Arial" w:cs="Arial"/>
      <w:sz w:val="24"/>
      <w:szCs w:val="24"/>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00"/>
      <w:outlineLvl w:val="1"/>
    </w:pPr>
    <w:rPr>
      <w:rFonts w:ascii="Arial" w:hAnsi="Arial" w:eastAsia="Arial" w:cs="Arial"/>
      <w:b/>
      <w:bCs/>
      <w:sz w:val="24"/>
      <w:szCs w:val="24"/>
    </w:rPr>
  </w:style>
  <w:style w:styleId="Heading2" w:type="paragraph">
    <w:name w:val="Heading 2"/>
    <w:basedOn w:val="Normal"/>
    <w:uiPriority w:val="1"/>
    <w:qFormat/>
    <w:pPr>
      <w:ind w:left="119"/>
      <w:outlineLvl w:val="2"/>
    </w:pPr>
    <w:rPr>
      <w:rFonts w:ascii="Arial" w:hAnsi="Arial" w:eastAsia="Arial" w:cs="Arial"/>
      <w:b/>
      <w:bCs/>
      <w:sz w:val="20"/>
      <w:szCs w:val="20"/>
    </w:rPr>
  </w:style>
  <w:style w:styleId="ListParagraph" w:type="paragraph">
    <w:name w:val="List Paragraph"/>
    <w:basedOn w:val="Normal"/>
    <w:uiPriority w:val="1"/>
    <w:qFormat/>
    <w:pPr>
      <w:ind w:left="445" w:hanging="285"/>
    </w:pPr>
    <w:rPr>
      <w:rFonts w:ascii="Arial" w:hAnsi="Arial" w:eastAsia="Arial" w:cs="Arial"/>
    </w:rPr>
  </w:style>
  <w:style w:styleId="TableParagraph" w:type="paragraph">
    <w:name w:val="Table Paragraph"/>
    <w:basedOn w:val="Normal"/>
    <w:uiPriority w:val="1"/>
    <w:qFormat/>
    <w:pPr>
      <w:jc w:val="right"/>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oter" Target="footer4.xml"/><Relationship Id="rId13" Type="http://schemas.openxmlformats.org/officeDocument/2006/relationships/footer" Target="footer9.xml"/><Relationship Id="rId1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footer" Target="footer3.xml"/><Relationship Id="rId12" Type="http://schemas.openxmlformats.org/officeDocument/2006/relationships/footer" Target="footer8.xml"/><Relationship Id="rId17" Type="http://schemas.openxmlformats.org/officeDocument/2006/relationships/customXml" Target="../customXml/item2.xml"/><Relationship Id="rId2" Type="http://schemas.openxmlformats.org/officeDocument/2006/relationships/fontTable" Target="fontTable.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footer" Target="footer7.xml"/><Relationship Id="rId5" Type="http://schemas.openxmlformats.org/officeDocument/2006/relationships/footer" Target="footer1.xml"/><Relationship Id="rId15" Type="http://schemas.openxmlformats.org/officeDocument/2006/relationships/numbering" Target="numbering.xml"/><Relationship Id="rId10"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5.xml"/><Relationship Id="rId1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89115-3071-4FB3-9BE7-111E926B4518}"/>
</file>

<file path=customXml/itemProps2.xml><?xml version="1.0" encoding="utf-8"?>
<ds:datastoreItem xmlns:ds="http://schemas.openxmlformats.org/officeDocument/2006/customXml" ds:itemID="{AA92B308-3D44-4B3D-AE08-FD28CC3D3CD9}"/>
</file>

<file path=customXml/itemProps3.xml><?xml version="1.0" encoding="utf-8"?>
<ds:datastoreItem xmlns:ds="http://schemas.openxmlformats.org/officeDocument/2006/customXml" ds:itemID="{47616AB3-B4E5-4DAD-8A8B-30711F1C3ACB}"/>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Annual Report</dc:title>
  <dc:creator>43945</dc:creator>
  <dcterms:created xsi:type="dcterms:W3CDTF">2018-01-03T22:40:43Z</dcterms:created>
  <dcterms:modified xsi:type="dcterms:W3CDTF">2018-01-03T22:40:43Z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2000-06-29T00:00:00Z</vt:filetime>
  </property>
  <property fmtid="{D5CDD505-2E9C-101B-9397-08002B2CF9AE}" pid="3" name="LastSaved">
    <vt:filetime>2000-06-29T00:00:00Z</vt:filetime>
  </property>
  <property fmtid="{D5CDD505-2E9C-101B-9397-08002B2CF9AE}" pid="4" name="ContentTypeId">
    <vt:lpwstr>0x010100F1A24584C23FDF4BB8656E52E9AA5D01</vt:lpwstr>
  </property>
</Properties>
</file>