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9"/>
        </w:rPr>
      </w:pPr>
    </w:p>
    <w:p>
      <w:pPr>
        <w:spacing w:before="93"/>
        <w:ind w:left="120" w:right="0" w:firstLine="0"/>
        <w:jc w:val="left"/>
        <w:rPr>
          <w:b/>
          <w:sz w:val="24"/>
        </w:rPr>
      </w:pPr>
      <w:r>
        <w:rPr/>
        <w:pict>
          <v:line style="position:absolute;mso-position-horizontal-relative:page;mso-position-vertical-relative:paragraph;z-index:1048" from="72pt,20.705847pt" to="525.6pt,20.705847pt" stroked="true" strokeweight="1.92pt" strokecolor="#ffff00">
            <v:stroke dashstyle="solid"/>
            <w10:wrap type="none"/>
          </v:line>
        </w:pict>
      </w:r>
      <w:r>
        <w:rPr>
          <w:b/>
          <w:color w:val="FF0000"/>
          <w:sz w:val="24"/>
        </w:rPr>
        <w:t>TABLE OF CONTENTS</w:t>
      </w:r>
    </w:p>
    <w:sdt>
      <w:sdtPr>
        <w:docPartObj>
          <w:docPartGallery w:val="Table of Contents"/>
          <w:docPartUnique/>
        </w:docPartObj>
      </w:sdtPr>
      <w:sdtEndPr/>
      <w:sdtContent>
        <w:p>
          <w:pPr>
            <w:pStyle w:val="TOC1"/>
            <w:tabs>
              <w:tab w:pos="8758" w:val="right" w:leader="dot"/>
            </w:tabs>
            <w:spacing w:before="372"/>
            <w:ind w:left="120"/>
          </w:pPr>
          <w:hyperlink w:history="true" w:anchor="_TOC_250003">
            <w:r>
              <w:rPr/>
              <w:t>Consolidated</w:t>
            </w:r>
            <w:r>
              <w:rPr>
                <w:spacing w:val="-3"/>
              </w:rPr>
              <w:t> </w:t>
            </w:r>
            <w:r>
              <w:rPr/>
              <w:t>Highlights</w:t>
              <w:tab/>
              <w:t>1</w:t>
            </w:r>
          </w:hyperlink>
        </w:p>
        <w:p>
          <w:pPr>
            <w:pStyle w:val="TOC1"/>
            <w:tabs>
              <w:tab w:pos="8758" w:val="right" w:leader="dot"/>
            </w:tabs>
            <w:ind w:left="120"/>
          </w:pPr>
          <w:r>
            <w:rPr/>
            <w:t>Preamble</w:t>
            <w:tab/>
            <w:t>3</w:t>
          </w:r>
        </w:p>
        <w:p>
          <w:pPr>
            <w:pStyle w:val="TOC1"/>
            <w:tabs>
              <w:tab w:pos="8758" w:val="right" w:leader="dot"/>
            </w:tabs>
            <w:ind w:left="120"/>
          </w:pPr>
          <w:r>
            <w:rPr/>
            <w:t>Letter</w:t>
          </w:r>
          <w:r>
            <w:rPr>
              <w:spacing w:val="-4"/>
            </w:rPr>
            <w:t> </w:t>
          </w:r>
          <w:r>
            <w:rPr/>
            <w:t>to</w:t>
          </w:r>
          <w:r>
            <w:rPr>
              <w:spacing w:val="1"/>
            </w:rPr>
            <w:t> </w:t>
          </w:r>
          <w:r>
            <w:rPr/>
            <w:t>Shareholders</w:t>
            <w:tab/>
            <w:t>4</w:t>
          </w:r>
        </w:p>
        <w:p>
          <w:pPr>
            <w:pStyle w:val="TOC1"/>
            <w:tabs>
              <w:tab w:pos="8758" w:val="right" w:leader="dot"/>
            </w:tabs>
            <w:ind w:left="120"/>
          </w:pPr>
          <w:r>
            <w:rPr>
              <w:spacing w:val="3"/>
            </w:rPr>
            <w:t>First </w:t>
          </w:r>
          <w:r>
            <w:rPr/>
            <w:t>Symbol</w:t>
          </w:r>
          <w:r>
            <w:rPr>
              <w:spacing w:val="-9"/>
            </w:rPr>
            <w:t> </w:t>
          </w:r>
          <w:r>
            <w:rPr/>
            <w:t>of</w:t>
          </w:r>
          <w:r>
            <w:rPr>
              <w:spacing w:val="-1"/>
            </w:rPr>
            <w:t> </w:t>
          </w:r>
          <w:r>
            <w:rPr/>
            <w:t>Freedom</w:t>
            <w:tab/>
            <w:t>6</w:t>
          </w:r>
        </w:p>
        <w:p>
          <w:pPr>
            <w:pStyle w:val="TOC1"/>
            <w:tabs>
              <w:tab w:pos="8758" w:val="right" w:leader="dot"/>
            </w:tabs>
            <w:ind w:left="120"/>
          </w:pPr>
          <w:r>
            <w:rPr>
              <w:spacing w:val="-4"/>
            </w:rPr>
            <w:t>Second </w:t>
          </w:r>
          <w:r>
            <w:rPr/>
            <w:t>Symbol</w:t>
          </w:r>
          <w:r>
            <w:rPr>
              <w:spacing w:val="27"/>
            </w:rPr>
            <w:t> </w:t>
          </w:r>
          <w:r>
            <w:rPr/>
            <w:t>of Freedom</w:t>
            <w:tab/>
            <w:t>9</w:t>
          </w:r>
        </w:p>
        <w:p>
          <w:pPr>
            <w:pStyle w:val="TOC1"/>
            <w:tabs>
              <w:tab w:pos="8759" w:val="right" w:leader="dot"/>
            </w:tabs>
            <w:ind w:left="120"/>
          </w:pPr>
          <w:r>
            <w:rPr>
              <w:spacing w:val="3"/>
            </w:rPr>
            <w:t>Third </w:t>
          </w:r>
          <w:r>
            <w:rPr/>
            <w:t>Symbol</w:t>
          </w:r>
          <w:r>
            <w:rPr>
              <w:spacing w:val="-7"/>
            </w:rPr>
            <w:t> </w:t>
          </w:r>
          <w:r>
            <w:rPr/>
            <w:t>of</w:t>
          </w:r>
          <w:r>
            <w:rPr>
              <w:spacing w:val="-1"/>
            </w:rPr>
            <w:t> </w:t>
          </w:r>
          <w:r>
            <w:rPr/>
            <w:t>Freedom</w:t>
            <w:tab/>
            <w:t>12</w:t>
          </w:r>
        </w:p>
        <w:p>
          <w:pPr>
            <w:pStyle w:val="TOC1"/>
            <w:tabs>
              <w:tab w:pos="8759" w:val="right" w:leader="dot"/>
            </w:tabs>
            <w:ind w:left="120"/>
          </w:pPr>
          <w:r>
            <w:rPr>
              <w:spacing w:val="3"/>
            </w:rPr>
            <w:t>Fourth </w:t>
          </w:r>
          <w:r>
            <w:rPr/>
            <w:t>Symbol</w:t>
          </w:r>
          <w:r>
            <w:rPr>
              <w:spacing w:val="-14"/>
            </w:rPr>
            <w:t> </w:t>
          </w:r>
          <w:r>
            <w:rPr/>
            <w:t>of Freedom</w:t>
            <w:tab/>
            <w:t>15</w:t>
          </w:r>
        </w:p>
        <w:p>
          <w:pPr>
            <w:pStyle w:val="TOC1"/>
            <w:tabs>
              <w:tab w:pos="8759" w:val="right" w:leader="dot"/>
            </w:tabs>
          </w:pPr>
          <w:r>
            <w:rPr>
              <w:spacing w:val="3"/>
            </w:rPr>
            <w:t>Fifth </w:t>
          </w:r>
          <w:r>
            <w:rPr/>
            <w:t>Symbol</w:t>
          </w:r>
          <w:r>
            <w:rPr>
              <w:spacing w:val="-9"/>
            </w:rPr>
            <w:t> </w:t>
          </w:r>
          <w:r>
            <w:rPr/>
            <w:t>of</w:t>
          </w:r>
          <w:r>
            <w:rPr>
              <w:spacing w:val="-1"/>
            </w:rPr>
            <w:t> </w:t>
          </w:r>
          <w:r>
            <w:rPr/>
            <w:t>Freedom</w:t>
            <w:tab/>
            <w:t>18</w:t>
          </w:r>
        </w:p>
        <w:p>
          <w:pPr>
            <w:pStyle w:val="TOC1"/>
            <w:tabs>
              <w:tab w:pos="8759" w:val="right" w:leader="dot"/>
            </w:tabs>
          </w:pPr>
          <w:r>
            <w:rPr>
              <w:spacing w:val="3"/>
            </w:rPr>
            <w:t>Future</w:t>
          </w:r>
          <w:r>
            <w:rPr>
              <w:spacing w:val="-14"/>
            </w:rPr>
            <w:t> </w:t>
          </w:r>
          <w:r>
            <w:rPr/>
            <w:t>of Freedom</w:t>
            <w:tab/>
            <w:t>21</w:t>
          </w:r>
        </w:p>
        <w:p>
          <w:pPr>
            <w:pStyle w:val="TOC1"/>
            <w:tabs>
              <w:tab w:pos="8759" w:val="right" w:leader="dot"/>
            </w:tabs>
          </w:pPr>
          <w:r>
            <w:rPr/>
            <w:t>Destinations</w:t>
            <w:tab/>
            <w:t>24</w:t>
          </w:r>
        </w:p>
        <w:p>
          <w:pPr>
            <w:pStyle w:val="TOC1"/>
            <w:tabs>
              <w:tab w:pos="8759" w:val="right" w:leader="dot"/>
            </w:tabs>
          </w:pPr>
          <w:r>
            <w:rPr>
              <w:spacing w:val="3"/>
            </w:rPr>
            <w:t>Triple</w:t>
          </w:r>
          <w:r>
            <w:rPr>
              <w:spacing w:val="-8"/>
            </w:rPr>
            <w:t> </w:t>
          </w:r>
          <w:r>
            <w:rPr/>
            <w:t>Crown One</w:t>
            <w:tab/>
            <w:t>25</w:t>
          </w:r>
        </w:p>
        <w:p>
          <w:pPr>
            <w:pStyle w:val="TOC1"/>
            <w:tabs>
              <w:tab w:pos="8759" w:val="right" w:leader="dot"/>
            </w:tabs>
          </w:pPr>
          <w:r>
            <w:rPr>
              <w:spacing w:val="3"/>
            </w:rPr>
            <w:t>Financial</w:t>
          </w:r>
          <w:r>
            <w:rPr>
              <w:spacing w:val="-16"/>
            </w:rPr>
            <w:t> </w:t>
          </w:r>
          <w:r>
            <w:rPr/>
            <w:t>Review</w:t>
            <w:tab/>
            <w:t>26</w:t>
          </w:r>
        </w:p>
        <w:p>
          <w:pPr>
            <w:pStyle w:val="TOC1"/>
            <w:tabs>
              <w:tab w:pos="8759" w:val="right" w:leader="dot"/>
            </w:tabs>
          </w:pPr>
          <w:r>
            <w:rPr/>
            <w:t>Management’s Discussion and</w:t>
          </w:r>
          <w:r>
            <w:rPr>
              <w:spacing w:val="-1"/>
            </w:rPr>
            <w:t> </w:t>
          </w:r>
          <w:r>
            <w:rPr/>
            <w:t>Analysis</w:t>
            <w:tab/>
            <w:t>26</w:t>
          </w:r>
        </w:p>
        <w:p>
          <w:pPr>
            <w:pStyle w:val="TOC1"/>
            <w:tabs>
              <w:tab w:pos="8759" w:val="right" w:leader="dot"/>
            </w:tabs>
          </w:pPr>
          <w:r>
            <w:rPr/>
            <w:t>Consolidated</w:t>
          </w:r>
          <w:r>
            <w:rPr>
              <w:spacing w:val="-3"/>
            </w:rPr>
            <w:t> </w:t>
          </w:r>
          <w:r>
            <w:rPr>
              <w:spacing w:val="3"/>
            </w:rPr>
            <w:t>Financial</w:t>
          </w:r>
          <w:r>
            <w:rPr>
              <w:spacing w:val="-16"/>
            </w:rPr>
            <w:t> </w:t>
          </w:r>
          <w:r>
            <w:rPr/>
            <w:t>Statements</w:t>
            <w:tab/>
            <w:t>36</w:t>
          </w:r>
        </w:p>
        <w:p>
          <w:pPr>
            <w:pStyle w:val="TOC1"/>
            <w:tabs>
              <w:tab w:pos="8759" w:val="right" w:leader="dot"/>
            </w:tabs>
          </w:pPr>
          <w:r>
            <w:rPr/>
            <w:t>Report of</w:t>
          </w:r>
          <w:r>
            <w:rPr>
              <w:spacing w:val="8"/>
            </w:rPr>
            <w:t> </w:t>
          </w:r>
          <w:r>
            <w:rPr/>
            <w:t>Independent Auditors</w:t>
            <w:tab/>
            <w:t>51</w:t>
          </w:r>
        </w:p>
        <w:p>
          <w:pPr>
            <w:pStyle w:val="TOC1"/>
            <w:tabs>
              <w:tab w:pos="8759" w:val="right" w:leader="dot"/>
            </w:tabs>
          </w:pPr>
          <w:r>
            <w:rPr/>
            <w:t>Quarterly </w:t>
          </w:r>
          <w:r>
            <w:rPr>
              <w:spacing w:val="3"/>
            </w:rPr>
            <w:t>Financial</w:t>
          </w:r>
          <w:r>
            <w:rPr>
              <w:spacing w:val="-16"/>
            </w:rPr>
            <w:t> </w:t>
          </w:r>
          <w:r>
            <w:rPr/>
            <w:t>Data</w:t>
            <w:tab/>
            <w:t>52</w:t>
          </w:r>
        </w:p>
        <w:p>
          <w:pPr>
            <w:pStyle w:val="TOC1"/>
            <w:tabs>
              <w:tab w:pos="8759" w:val="right" w:leader="dot"/>
            </w:tabs>
          </w:pPr>
          <w:hyperlink w:history="true" w:anchor="_TOC_250002">
            <w:r>
              <w:rPr>
                <w:spacing w:val="-3"/>
              </w:rPr>
              <w:t>Common </w:t>
            </w:r>
            <w:r>
              <w:rPr>
                <w:spacing w:val="-4"/>
              </w:rPr>
              <w:t>Stock </w:t>
            </w:r>
            <w:r>
              <w:rPr/>
              <w:t>Price Ranges</w:t>
            </w:r>
            <w:r>
              <w:rPr>
                <w:spacing w:val="29"/>
              </w:rPr>
              <w:t> </w:t>
            </w:r>
            <w:r>
              <w:rPr/>
              <w:t>and</w:t>
            </w:r>
            <w:r>
              <w:rPr>
                <w:spacing w:val="-1"/>
              </w:rPr>
              <w:t> </w:t>
            </w:r>
            <w:r>
              <w:rPr/>
              <w:t>Dividends</w:t>
              <w:tab/>
              <w:t>52</w:t>
            </w:r>
          </w:hyperlink>
        </w:p>
        <w:p>
          <w:pPr>
            <w:pStyle w:val="TOC1"/>
            <w:tabs>
              <w:tab w:pos="8759" w:val="right" w:leader="dot"/>
            </w:tabs>
          </w:pPr>
          <w:hyperlink w:history="true" w:anchor="_TOC_250001">
            <w:r>
              <w:rPr>
                <w:spacing w:val="3"/>
              </w:rPr>
              <w:t>Ten-Year</w:t>
            </w:r>
            <w:r>
              <w:rPr>
                <w:spacing w:val="-23"/>
              </w:rPr>
              <w:t> </w:t>
            </w:r>
            <w:r>
              <w:rPr>
                <w:spacing w:val="-3"/>
              </w:rPr>
              <w:t>Summary</w:t>
              <w:tab/>
            </w:r>
            <w:r>
              <w:rPr/>
              <w:t>53</w:t>
            </w:r>
          </w:hyperlink>
        </w:p>
        <w:p>
          <w:pPr>
            <w:pStyle w:val="TOC1"/>
            <w:tabs>
              <w:tab w:pos="8759" w:val="right" w:leader="dot"/>
            </w:tabs>
          </w:pPr>
          <w:hyperlink w:history="true" w:anchor="_TOC_250000">
            <w:r>
              <w:rPr/>
              <w:t>Corporate</w:t>
            </w:r>
            <w:r>
              <w:rPr>
                <w:spacing w:val="15"/>
              </w:rPr>
              <w:t> </w:t>
            </w:r>
            <w:r>
              <w:rPr/>
              <w:t>Data</w:t>
              <w:tab/>
              <w:t>55</w:t>
            </w:r>
          </w:hyperlink>
        </w:p>
        <w:p>
          <w:pPr>
            <w:pStyle w:val="TOC1"/>
            <w:tabs>
              <w:tab w:pos="8759" w:val="right" w:leader="dot"/>
            </w:tabs>
          </w:pPr>
          <w:r>
            <w:rPr>
              <w:spacing w:val="2"/>
            </w:rPr>
            <w:t>Directors</w:t>
          </w:r>
          <w:r>
            <w:rPr>
              <w:spacing w:val="-14"/>
            </w:rPr>
            <w:t> </w:t>
          </w:r>
          <w:r>
            <w:rPr/>
            <w:t>and</w:t>
          </w:r>
          <w:r>
            <w:rPr>
              <w:spacing w:val="-1"/>
            </w:rPr>
            <w:t> </w:t>
          </w:r>
          <w:r>
            <w:rPr/>
            <w:t>Officers</w:t>
            <w:tab/>
            <w:t>56</w:t>
          </w:r>
        </w:p>
      </w:sdtContent>
    </w:sdt>
    <w:p>
      <w:pPr>
        <w:pStyle w:val="BodyText"/>
        <w:spacing w:before="7"/>
        <w:rPr>
          <w:sz w:val="25"/>
        </w:rPr>
      </w:pPr>
    </w:p>
    <w:p>
      <w:pPr>
        <w:pStyle w:val="Heading3"/>
        <w:spacing w:after="19"/>
      </w:pPr>
      <w:bookmarkStart w:name="_TOC_250003" w:id="1"/>
      <w:bookmarkEnd w:id="1"/>
      <w:r>
        <w:rPr>
          <w:color w:val="FF0000"/>
        </w:rPr>
        <w:t>CONSOLIDATED HIGHLIGHTS</w:t>
      </w:r>
    </w:p>
    <w:p>
      <w:pPr>
        <w:pStyle w:val="BodyText"/>
        <w:spacing w:line="39" w:lineRule="exact"/>
        <w:ind w:left="100"/>
        <w:rPr>
          <w:sz w:val="3"/>
        </w:rPr>
      </w:pPr>
      <w:r>
        <w:rPr>
          <w:position w:val="0"/>
          <w:sz w:val="3"/>
        </w:rPr>
        <w:pict>
          <v:group style="width:455.55pt;height:1.95pt;mso-position-horizontal-relative:char;mso-position-vertical-relative:line" coordorigin="0,0" coordsize="9111,39">
            <v:line style="position:absolute" from="20,20" to="9092,20" stroked="true" strokeweight="1.92pt" strokecolor="#ffff00">
              <v:stroke dashstyle="solid"/>
            </v:line>
          </v:group>
        </w:pict>
      </w:r>
      <w:r>
        <w:rPr>
          <w:position w:val="0"/>
          <w:sz w:val="3"/>
        </w:rPr>
      </w:r>
    </w:p>
    <w:p>
      <w:pPr>
        <w:spacing w:before="23"/>
        <w:ind w:left="119" w:right="0" w:firstLine="0"/>
        <w:jc w:val="left"/>
        <w:rPr>
          <w:b/>
          <w:sz w:val="18"/>
        </w:rPr>
      </w:pPr>
      <w:r>
        <w:rPr>
          <w:b/>
          <w:sz w:val="18"/>
        </w:rPr>
        <w:t>(DOLLARS IN THOUSANDS, EXCEPT PER SHARE AMOUNTS)</w:t>
      </w:r>
    </w:p>
    <w:p>
      <w:pPr>
        <w:pStyle w:val="BodyText"/>
        <w:spacing w:before="4"/>
        <w:rPr>
          <w:b/>
          <w:sz w:val="20"/>
        </w:rPr>
      </w:pPr>
    </w:p>
    <w:p>
      <w:pPr>
        <w:tabs>
          <w:tab w:pos="6739" w:val="left" w:leader="none"/>
          <w:tab w:pos="7977" w:val="left" w:leader="none"/>
        </w:tabs>
        <w:spacing w:before="0"/>
        <w:ind w:left="5227" w:right="0" w:firstLine="0"/>
        <w:jc w:val="left"/>
        <w:rPr>
          <w:b/>
          <w:sz w:val="18"/>
        </w:rPr>
      </w:pPr>
      <w:r>
        <w:rPr>
          <w:b/>
          <w:color w:val="008080"/>
          <w:sz w:val="18"/>
        </w:rPr>
        <w:t>1997</w:t>
        <w:tab/>
      </w:r>
      <w:r>
        <w:rPr>
          <w:b/>
          <w:sz w:val="18"/>
        </w:rPr>
        <w:t>1996</w:t>
        <w:tab/>
        <w:t>CHANGE</w:t>
      </w:r>
    </w:p>
    <w:p>
      <w:pPr>
        <w:pStyle w:val="BodyText"/>
        <w:spacing w:before="8"/>
        <w:rPr>
          <w:b/>
          <w:sz w:val="9"/>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46"/>
        <w:gridCol w:w="1498"/>
        <w:gridCol w:w="1532"/>
        <w:gridCol w:w="1535"/>
      </w:tblGrid>
      <w:tr>
        <w:trPr>
          <w:trHeight w:val="410" w:hRule="exact"/>
        </w:trPr>
        <w:tc>
          <w:tcPr>
            <w:tcW w:w="4546" w:type="dxa"/>
            <w:tcBorders>
              <w:top w:val="single" w:sz="17" w:space="0" w:color="FFFF00"/>
            </w:tcBorders>
          </w:tcPr>
          <w:p>
            <w:pPr>
              <w:pStyle w:val="TableParagraph"/>
              <w:spacing w:before="172"/>
              <w:ind w:left="19"/>
              <w:jc w:val="left"/>
              <w:rPr>
                <w:sz w:val="18"/>
              </w:rPr>
            </w:pPr>
            <w:r>
              <w:rPr>
                <w:sz w:val="18"/>
              </w:rPr>
              <w:t>Operating revenues</w:t>
            </w:r>
          </w:p>
        </w:tc>
        <w:tc>
          <w:tcPr>
            <w:tcW w:w="1498" w:type="dxa"/>
            <w:tcBorders>
              <w:top w:val="single" w:sz="17" w:space="0" w:color="FFFF00"/>
            </w:tcBorders>
          </w:tcPr>
          <w:p>
            <w:pPr>
              <w:pStyle w:val="TableParagraph"/>
              <w:spacing w:before="172"/>
              <w:ind w:right="265"/>
              <w:rPr>
                <w:b/>
                <w:sz w:val="18"/>
              </w:rPr>
            </w:pPr>
            <w:r>
              <w:rPr>
                <w:b/>
                <w:color w:val="008080"/>
                <w:sz w:val="18"/>
              </w:rPr>
              <w:t>$3,816,821</w:t>
            </w:r>
          </w:p>
        </w:tc>
        <w:tc>
          <w:tcPr>
            <w:tcW w:w="1532" w:type="dxa"/>
            <w:tcBorders>
              <w:top w:val="single" w:sz="17" w:space="0" w:color="FFFF00"/>
            </w:tcBorders>
          </w:tcPr>
          <w:p>
            <w:pPr>
              <w:pStyle w:val="TableParagraph"/>
              <w:spacing w:before="172"/>
              <w:ind w:right="353"/>
              <w:rPr>
                <w:sz w:val="18"/>
              </w:rPr>
            </w:pPr>
            <w:r>
              <w:rPr>
                <w:sz w:val="18"/>
              </w:rPr>
              <w:t>$3,406,170</w:t>
            </w:r>
          </w:p>
        </w:tc>
        <w:tc>
          <w:tcPr>
            <w:tcW w:w="1535" w:type="dxa"/>
            <w:tcBorders>
              <w:top w:val="single" w:sz="17" w:space="0" w:color="FFFF00"/>
            </w:tcBorders>
          </w:tcPr>
          <w:p>
            <w:pPr>
              <w:pStyle w:val="TableParagraph"/>
              <w:spacing w:before="172"/>
              <w:ind w:right="446"/>
              <w:rPr>
                <w:sz w:val="18"/>
              </w:rPr>
            </w:pPr>
            <w:r>
              <w:rPr>
                <w:sz w:val="18"/>
              </w:rPr>
              <w:t>12.1%</w:t>
            </w:r>
          </w:p>
        </w:tc>
      </w:tr>
      <w:tr>
        <w:trPr>
          <w:trHeight w:val="221" w:hRule="exact"/>
        </w:trPr>
        <w:tc>
          <w:tcPr>
            <w:tcW w:w="4546" w:type="dxa"/>
          </w:tcPr>
          <w:p>
            <w:pPr>
              <w:pStyle w:val="TableParagraph"/>
              <w:spacing w:before="4"/>
              <w:ind w:left="19"/>
              <w:jc w:val="left"/>
              <w:rPr>
                <w:sz w:val="18"/>
              </w:rPr>
            </w:pPr>
            <w:r>
              <w:rPr>
                <w:sz w:val="18"/>
              </w:rPr>
              <w:t>Operating expenses</w:t>
            </w:r>
          </w:p>
        </w:tc>
        <w:tc>
          <w:tcPr>
            <w:tcW w:w="1498" w:type="dxa"/>
          </w:tcPr>
          <w:p>
            <w:pPr>
              <w:pStyle w:val="TableParagraph"/>
              <w:spacing w:before="4"/>
              <w:ind w:right="265"/>
              <w:rPr>
                <w:b/>
                <w:sz w:val="18"/>
              </w:rPr>
            </w:pPr>
            <w:r>
              <w:rPr>
                <w:b/>
                <w:color w:val="008080"/>
                <w:sz w:val="18"/>
              </w:rPr>
              <w:t>$3,292,585</w:t>
            </w:r>
          </w:p>
        </w:tc>
        <w:tc>
          <w:tcPr>
            <w:tcW w:w="1532" w:type="dxa"/>
          </w:tcPr>
          <w:p>
            <w:pPr>
              <w:pStyle w:val="TableParagraph"/>
              <w:spacing w:before="4"/>
              <w:ind w:right="354"/>
              <w:rPr>
                <w:sz w:val="18"/>
              </w:rPr>
            </w:pPr>
            <w:r>
              <w:rPr>
                <w:sz w:val="18"/>
              </w:rPr>
              <w:t>$3,055,335</w:t>
            </w:r>
          </w:p>
        </w:tc>
        <w:tc>
          <w:tcPr>
            <w:tcW w:w="1535" w:type="dxa"/>
          </w:tcPr>
          <w:p>
            <w:pPr>
              <w:pStyle w:val="TableParagraph"/>
              <w:spacing w:before="4"/>
              <w:ind w:right="446"/>
              <w:rPr>
                <w:sz w:val="18"/>
              </w:rPr>
            </w:pPr>
            <w:r>
              <w:rPr>
                <w:sz w:val="18"/>
              </w:rPr>
              <w:t>7.8%</w:t>
            </w:r>
          </w:p>
        </w:tc>
      </w:tr>
      <w:tr>
        <w:trPr>
          <w:trHeight w:val="221" w:hRule="exact"/>
        </w:trPr>
        <w:tc>
          <w:tcPr>
            <w:tcW w:w="4546" w:type="dxa"/>
          </w:tcPr>
          <w:p>
            <w:pPr>
              <w:pStyle w:val="TableParagraph"/>
              <w:spacing w:before="4"/>
              <w:ind w:left="19"/>
              <w:jc w:val="left"/>
              <w:rPr>
                <w:sz w:val="18"/>
              </w:rPr>
            </w:pPr>
            <w:r>
              <w:rPr>
                <w:sz w:val="18"/>
              </w:rPr>
              <w:t>Operating income</w:t>
            </w:r>
          </w:p>
        </w:tc>
        <w:tc>
          <w:tcPr>
            <w:tcW w:w="1498" w:type="dxa"/>
          </w:tcPr>
          <w:p>
            <w:pPr>
              <w:pStyle w:val="TableParagraph"/>
              <w:spacing w:before="4"/>
              <w:ind w:right="264"/>
              <w:rPr>
                <w:b/>
                <w:sz w:val="18"/>
              </w:rPr>
            </w:pPr>
            <w:r>
              <w:rPr>
                <w:b/>
                <w:color w:val="008080"/>
                <w:sz w:val="18"/>
              </w:rPr>
              <w:t>$524,236</w:t>
            </w:r>
          </w:p>
        </w:tc>
        <w:tc>
          <w:tcPr>
            <w:tcW w:w="1532" w:type="dxa"/>
          </w:tcPr>
          <w:p>
            <w:pPr>
              <w:pStyle w:val="TableParagraph"/>
              <w:spacing w:before="4"/>
              <w:ind w:right="354"/>
              <w:rPr>
                <w:sz w:val="18"/>
              </w:rPr>
            </w:pPr>
            <w:r>
              <w:rPr>
                <w:sz w:val="18"/>
              </w:rPr>
              <w:t>$350,835</w:t>
            </w:r>
          </w:p>
        </w:tc>
        <w:tc>
          <w:tcPr>
            <w:tcW w:w="1535" w:type="dxa"/>
          </w:tcPr>
          <w:p>
            <w:pPr>
              <w:pStyle w:val="TableParagraph"/>
              <w:spacing w:before="4"/>
              <w:ind w:right="446"/>
              <w:rPr>
                <w:sz w:val="18"/>
              </w:rPr>
            </w:pPr>
            <w:r>
              <w:rPr>
                <w:sz w:val="18"/>
              </w:rPr>
              <w:t>49.4%</w:t>
            </w:r>
          </w:p>
        </w:tc>
      </w:tr>
      <w:tr>
        <w:trPr>
          <w:trHeight w:val="221" w:hRule="exact"/>
        </w:trPr>
        <w:tc>
          <w:tcPr>
            <w:tcW w:w="4546" w:type="dxa"/>
          </w:tcPr>
          <w:p>
            <w:pPr>
              <w:pStyle w:val="TableParagraph"/>
              <w:spacing w:before="4"/>
              <w:ind w:left="19"/>
              <w:jc w:val="left"/>
              <w:rPr>
                <w:sz w:val="18"/>
              </w:rPr>
            </w:pPr>
            <w:r>
              <w:rPr>
                <w:sz w:val="18"/>
              </w:rPr>
              <w:t>Operating margin</w:t>
            </w:r>
          </w:p>
        </w:tc>
        <w:tc>
          <w:tcPr>
            <w:tcW w:w="1498" w:type="dxa"/>
          </w:tcPr>
          <w:p>
            <w:pPr>
              <w:pStyle w:val="TableParagraph"/>
              <w:spacing w:before="4"/>
              <w:ind w:right="263"/>
              <w:rPr>
                <w:b/>
                <w:sz w:val="18"/>
              </w:rPr>
            </w:pPr>
            <w:r>
              <w:rPr>
                <w:b/>
                <w:color w:val="008080"/>
                <w:w w:val="95"/>
                <w:sz w:val="18"/>
              </w:rPr>
              <w:t>13.7%</w:t>
            </w:r>
          </w:p>
        </w:tc>
        <w:tc>
          <w:tcPr>
            <w:tcW w:w="1532" w:type="dxa"/>
          </w:tcPr>
          <w:p>
            <w:pPr>
              <w:pStyle w:val="TableParagraph"/>
              <w:spacing w:before="4"/>
              <w:ind w:right="351"/>
              <w:rPr>
                <w:sz w:val="18"/>
              </w:rPr>
            </w:pPr>
            <w:r>
              <w:rPr>
                <w:sz w:val="18"/>
              </w:rPr>
              <w:t>10.3%</w:t>
            </w:r>
          </w:p>
        </w:tc>
        <w:tc>
          <w:tcPr>
            <w:tcW w:w="1535" w:type="dxa"/>
          </w:tcPr>
          <w:p>
            <w:pPr>
              <w:pStyle w:val="TableParagraph"/>
              <w:spacing w:before="4"/>
              <w:ind w:right="447"/>
              <w:rPr>
                <w:sz w:val="18"/>
              </w:rPr>
            </w:pPr>
            <w:r>
              <w:rPr>
                <w:sz w:val="18"/>
              </w:rPr>
              <w:t>3.4 pts.</w:t>
            </w:r>
          </w:p>
        </w:tc>
      </w:tr>
      <w:tr>
        <w:trPr>
          <w:trHeight w:val="221" w:hRule="exact"/>
        </w:trPr>
        <w:tc>
          <w:tcPr>
            <w:tcW w:w="4546" w:type="dxa"/>
          </w:tcPr>
          <w:p>
            <w:pPr>
              <w:pStyle w:val="TableParagraph"/>
              <w:spacing w:before="4"/>
              <w:ind w:left="19"/>
              <w:jc w:val="left"/>
              <w:rPr>
                <w:sz w:val="18"/>
              </w:rPr>
            </w:pPr>
            <w:r>
              <w:rPr>
                <w:sz w:val="18"/>
              </w:rPr>
              <w:t>Net income</w:t>
            </w:r>
          </w:p>
        </w:tc>
        <w:tc>
          <w:tcPr>
            <w:tcW w:w="1498" w:type="dxa"/>
          </w:tcPr>
          <w:p>
            <w:pPr>
              <w:pStyle w:val="TableParagraph"/>
              <w:spacing w:before="4"/>
              <w:ind w:right="264"/>
              <w:rPr>
                <w:b/>
                <w:sz w:val="18"/>
              </w:rPr>
            </w:pPr>
            <w:r>
              <w:rPr>
                <w:b/>
                <w:color w:val="008080"/>
                <w:sz w:val="18"/>
              </w:rPr>
              <w:t>$317,772</w:t>
            </w:r>
          </w:p>
        </w:tc>
        <w:tc>
          <w:tcPr>
            <w:tcW w:w="1532" w:type="dxa"/>
          </w:tcPr>
          <w:p>
            <w:pPr>
              <w:pStyle w:val="TableParagraph"/>
              <w:spacing w:before="4"/>
              <w:ind w:right="354"/>
              <w:rPr>
                <w:sz w:val="18"/>
              </w:rPr>
            </w:pPr>
            <w:r>
              <w:rPr>
                <w:sz w:val="18"/>
              </w:rPr>
              <w:t>$207,337</w:t>
            </w:r>
          </w:p>
        </w:tc>
        <w:tc>
          <w:tcPr>
            <w:tcW w:w="1535" w:type="dxa"/>
          </w:tcPr>
          <w:p>
            <w:pPr>
              <w:pStyle w:val="TableParagraph"/>
              <w:spacing w:before="4"/>
              <w:ind w:right="446"/>
              <w:rPr>
                <w:sz w:val="18"/>
              </w:rPr>
            </w:pPr>
            <w:r>
              <w:rPr>
                <w:sz w:val="18"/>
              </w:rPr>
              <w:t>53.3%</w:t>
            </w:r>
          </w:p>
        </w:tc>
      </w:tr>
      <w:tr>
        <w:trPr>
          <w:trHeight w:val="221" w:hRule="exact"/>
        </w:trPr>
        <w:tc>
          <w:tcPr>
            <w:tcW w:w="4546" w:type="dxa"/>
          </w:tcPr>
          <w:p>
            <w:pPr>
              <w:pStyle w:val="TableParagraph"/>
              <w:spacing w:before="4"/>
              <w:ind w:left="19"/>
              <w:jc w:val="left"/>
              <w:rPr>
                <w:sz w:val="18"/>
              </w:rPr>
            </w:pPr>
            <w:r>
              <w:rPr>
                <w:sz w:val="18"/>
              </w:rPr>
              <w:t>Net margin</w:t>
            </w:r>
          </w:p>
        </w:tc>
        <w:tc>
          <w:tcPr>
            <w:tcW w:w="1498" w:type="dxa"/>
          </w:tcPr>
          <w:p>
            <w:pPr>
              <w:pStyle w:val="TableParagraph"/>
              <w:spacing w:before="4"/>
              <w:ind w:right="262"/>
              <w:rPr>
                <w:b/>
                <w:sz w:val="18"/>
              </w:rPr>
            </w:pPr>
            <w:r>
              <w:rPr>
                <w:b/>
                <w:color w:val="008080"/>
                <w:sz w:val="18"/>
              </w:rPr>
              <w:t>8.3%</w:t>
            </w:r>
          </w:p>
        </w:tc>
        <w:tc>
          <w:tcPr>
            <w:tcW w:w="1532" w:type="dxa"/>
          </w:tcPr>
          <w:p>
            <w:pPr>
              <w:pStyle w:val="TableParagraph"/>
              <w:spacing w:before="4"/>
              <w:ind w:right="351"/>
              <w:rPr>
                <w:sz w:val="18"/>
              </w:rPr>
            </w:pPr>
            <w:r>
              <w:rPr>
                <w:sz w:val="18"/>
              </w:rPr>
              <w:t>6.1%</w:t>
            </w:r>
          </w:p>
        </w:tc>
        <w:tc>
          <w:tcPr>
            <w:tcW w:w="1535" w:type="dxa"/>
          </w:tcPr>
          <w:p>
            <w:pPr>
              <w:pStyle w:val="TableParagraph"/>
              <w:spacing w:before="4"/>
              <w:ind w:right="447"/>
              <w:rPr>
                <w:sz w:val="18"/>
              </w:rPr>
            </w:pPr>
            <w:r>
              <w:rPr>
                <w:sz w:val="18"/>
              </w:rPr>
              <w:t>2.2 pts.</w:t>
            </w:r>
          </w:p>
        </w:tc>
      </w:tr>
      <w:tr>
        <w:trPr>
          <w:trHeight w:val="221" w:hRule="exact"/>
        </w:trPr>
        <w:tc>
          <w:tcPr>
            <w:tcW w:w="4546" w:type="dxa"/>
          </w:tcPr>
          <w:p>
            <w:pPr>
              <w:pStyle w:val="TableParagraph"/>
              <w:spacing w:before="4"/>
              <w:ind w:left="19"/>
              <w:jc w:val="left"/>
              <w:rPr>
                <w:sz w:val="18"/>
              </w:rPr>
            </w:pPr>
            <w:r>
              <w:rPr>
                <w:sz w:val="18"/>
              </w:rPr>
              <w:t>Net income per share, basic</w:t>
            </w:r>
          </w:p>
        </w:tc>
        <w:tc>
          <w:tcPr>
            <w:tcW w:w="1498" w:type="dxa"/>
          </w:tcPr>
          <w:p>
            <w:pPr>
              <w:pStyle w:val="TableParagraph"/>
              <w:spacing w:before="4"/>
              <w:ind w:right="263"/>
              <w:rPr>
                <w:b/>
                <w:sz w:val="18"/>
              </w:rPr>
            </w:pPr>
            <w:r>
              <w:rPr>
                <w:b/>
                <w:color w:val="008080"/>
                <w:sz w:val="18"/>
              </w:rPr>
              <w:t>$1.45</w:t>
            </w:r>
          </w:p>
        </w:tc>
        <w:tc>
          <w:tcPr>
            <w:tcW w:w="1532" w:type="dxa"/>
          </w:tcPr>
          <w:p>
            <w:pPr>
              <w:pStyle w:val="TableParagraph"/>
              <w:spacing w:before="4"/>
              <w:ind w:right="354"/>
              <w:rPr>
                <w:sz w:val="18"/>
              </w:rPr>
            </w:pPr>
            <w:r>
              <w:rPr>
                <w:sz w:val="18"/>
              </w:rPr>
              <w:t>$.95</w:t>
            </w:r>
          </w:p>
        </w:tc>
        <w:tc>
          <w:tcPr>
            <w:tcW w:w="1535" w:type="dxa"/>
          </w:tcPr>
          <w:p>
            <w:pPr>
              <w:pStyle w:val="TableParagraph"/>
              <w:spacing w:before="4"/>
              <w:ind w:right="446"/>
              <w:rPr>
                <w:sz w:val="18"/>
              </w:rPr>
            </w:pPr>
            <w:r>
              <w:rPr>
                <w:sz w:val="18"/>
              </w:rPr>
              <w:t>52.6%</w:t>
            </w:r>
          </w:p>
        </w:tc>
      </w:tr>
      <w:tr>
        <w:trPr>
          <w:trHeight w:val="221" w:hRule="exact"/>
        </w:trPr>
        <w:tc>
          <w:tcPr>
            <w:tcW w:w="4546" w:type="dxa"/>
          </w:tcPr>
          <w:p>
            <w:pPr>
              <w:pStyle w:val="TableParagraph"/>
              <w:spacing w:before="4"/>
              <w:ind w:left="19"/>
              <w:jc w:val="left"/>
              <w:rPr>
                <w:sz w:val="18"/>
              </w:rPr>
            </w:pPr>
            <w:r>
              <w:rPr>
                <w:sz w:val="18"/>
              </w:rPr>
              <w:t>Net income per share, diluted</w:t>
            </w:r>
          </w:p>
        </w:tc>
        <w:tc>
          <w:tcPr>
            <w:tcW w:w="1498" w:type="dxa"/>
          </w:tcPr>
          <w:p>
            <w:pPr>
              <w:pStyle w:val="TableParagraph"/>
              <w:spacing w:before="4"/>
              <w:ind w:right="263"/>
              <w:rPr>
                <w:b/>
                <w:sz w:val="18"/>
              </w:rPr>
            </w:pPr>
            <w:r>
              <w:rPr>
                <w:b/>
                <w:color w:val="008080"/>
                <w:sz w:val="18"/>
              </w:rPr>
              <w:t>$1.40</w:t>
            </w:r>
          </w:p>
        </w:tc>
        <w:tc>
          <w:tcPr>
            <w:tcW w:w="1532" w:type="dxa"/>
          </w:tcPr>
          <w:p>
            <w:pPr>
              <w:pStyle w:val="TableParagraph"/>
              <w:spacing w:before="4"/>
              <w:ind w:right="354"/>
              <w:rPr>
                <w:sz w:val="18"/>
              </w:rPr>
            </w:pPr>
            <w:r>
              <w:rPr>
                <w:sz w:val="18"/>
              </w:rPr>
              <w:t>$.92</w:t>
            </w:r>
          </w:p>
        </w:tc>
        <w:tc>
          <w:tcPr>
            <w:tcW w:w="1535" w:type="dxa"/>
          </w:tcPr>
          <w:p>
            <w:pPr>
              <w:pStyle w:val="TableParagraph"/>
              <w:spacing w:before="4"/>
              <w:ind w:right="446"/>
              <w:rPr>
                <w:sz w:val="18"/>
              </w:rPr>
            </w:pPr>
            <w:r>
              <w:rPr>
                <w:sz w:val="18"/>
              </w:rPr>
              <w:t>52.2%</w:t>
            </w:r>
          </w:p>
        </w:tc>
      </w:tr>
      <w:tr>
        <w:trPr>
          <w:trHeight w:val="221" w:hRule="exact"/>
        </w:trPr>
        <w:tc>
          <w:tcPr>
            <w:tcW w:w="4546" w:type="dxa"/>
          </w:tcPr>
          <w:p>
            <w:pPr>
              <w:pStyle w:val="TableParagraph"/>
              <w:spacing w:before="4"/>
              <w:ind w:left="19"/>
              <w:jc w:val="left"/>
              <w:rPr>
                <w:sz w:val="18"/>
              </w:rPr>
            </w:pPr>
            <w:r>
              <w:rPr>
                <w:sz w:val="18"/>
              </w:rPr>
              <w:t>Stockholders’ equity</w:t>
            </w:r>
          </w:p>
        </w:tc>
        <w:tc>
          <w:tcPr>
            <w:tcW w:w="1498" w:type="dxa"/>
          </w:tcPr>
          <w:p>
            <w:pPr>
              <w:pStyle w:val="TableParagraph"/>
              <w:spacing w:before="4"/>
              <w:ind w:right="265"/>
              <w:rPr>
                <w:b/>
                <w:sz w:val="18"/>
              </w:rPr>
            </w:pPr>
            <w:r>
              <w:rPr>
                <w:b/>
                <w:color w:val="008080"/>
                <w:sz w:val="18"/>
              </w:rPr>
              <w:t>$2,009,018</w:t>
            </w:r>
          </w:p>
        </w:tc>
        <w:tc>
          <w:tcPr>
            <w:tcW w:w="1532" w:type="dxa"/>
          </w:tcPr>
          <w:p>
            <w:pPr>
              <w:pStyle w:val="TableParagraph"/>
              <w:spacing w:before="4"/>
              <w:ind w:right="353"/>
              <w:rPr>
                <w:sz w:val="18"/>
              </w:rPr>
            </w:pPr>
            <w:r>
              <w:rPr>
                <w:sz w:val="18"/>
              </w:rPr>
              <w:t>$1,648,312</w:t>
            </w:r>
          </w:p>
        </w:tc>
        <w:tc>
          <w:tcPr>
            <w:tcW w:w="1535" w:type="dxa"/>
          </w:tcPr>
          <w:p>
            <w:pPr>
              <w:pStyle w:val="TableParagraph"/>
              <w:spacing w:before="4"/>
              <w:ind w:right="446"/>
              <w:rPr>
                <w:sz w:val="18"/>
              </w:rPr>
            </w:pPr>
            <w:r>
              <w:rPr>
                <w:sz w:val="18"/>
              </w:rPr>
              <w:t>21.9%</w:t>
            </w:r>
          </w:p>
        </w:tc>
      </w:tr>
      <w:tr>
        <w:trPr>
          <w:trHeight w:val="221" w:hRule="exact"/>
        </w:trPr>
        <w:tc>
          <w:tcPr>
            <w:tcW w:w="4546" w:type="dxa"/>
          </w:tcPr>
          <w:p>
            <w:pPr>
              <w:pStyle w:val="TableParagraph"/>
              <w:spacing w:before="4"/>
              <w:ind w:left="19"/>
              <w:jc w:val="left"/>
              <w:rPr>
                <w:sz w:val="18"/>
              </w:rPr>
            </w:pPr>
            <w:r>
              <w:rPr>
                <w:sz w:val="18"/>
              </w:rPr>
              <w:t>Return on average stockholders’ equity</w:t>
            </w:r>
          </w:p>
        </w:tc>
        <w:tc>
          <w:tcPr>
            <w:tcW w:w="1498" w:type="dxa"/>
          </w:tcPr>
          <w:p>
            <w:pPr>
              <w:pStyle w:val="TableParagraph"/>
              <w:spacing w:before="4"/>
              <w:ind w:right="263"/>
              <w:rPr>
                <w:b/>
                <w:sz w:val="18"/>
              </w:rPr>
            </w:pPr>
            <w:r>
              <w:rPr>
                <w:b/>
                <w:color w:val="008080"/>
                <w:w w:val="95"/>
                <w:sz w:val="18"/>
              </w:rPr>
              <w:t>17.4%</w:t>
            </w:r>
          </w:p>
        </w:tc>
        <w:tc>
          <w:tcPr>
            <w:tcW w:w="1532" w:type="dxa"/>
          </w:tcPr>
          <w:p>
            <w:pPr>
              <w:pStyle w:val="TableParagraph"/>
              <w:spacing w:before="4"/>
              <w:ind w:right="351"/>
              <w:rPr>
                <w:sz w:val="18"/>
              </w:rPr>
            </w:pPr>
            <w:r>
              <w:rPr>
                <w:sz w:val="18"/>
              </w:rPr>
              <w:t>13.5%</w:t>
            </w:r>
          </w:p>
        </w:tc>
        <w:tc>
          <w:tcPr>
            <w:tcW w:w="1535" w:type="dxa"/>
          </w:tcPr>
          <w:p>
            <w:pPr>
              <w:pStyle w:val="TableParagraph"/>
              <w:spacing w:before="4"/>
              <w:ind w:right="447"/>
              <w:rPr>
                <w:sz w:val="18"/>
              </w:rPr>
            </w:pPr>
            <w:r>
              <w:rPr>
                <w:sz w:val="18"/>
              </w:rPr>
              <w:t>3.9 pts.</w:t>
            </w:r>
          </w:p>
        </w:tc>
      </w:tr>
      <w:tr>
        <w:trPr>
          <w:trHeight w:val="221" w:hRule="exact"/>
        </w:trPr>
        <w:tc>
          <w:tcPr>
            <w:tcW w:w="4546" w:type="dxa"/>
          </w:tcPr>
          <w:p>
            <w:pPr>
              <w:pStyle w:val="TableParagraph"/>
              <w:spacing w:before="4"/>
              <w:ind w:left="19"/>
              <w:jc w:val="left"/>
              <w:rPr>
                <w:sz w:val="18"/>
              </w:rPr>
            </w:pPr>
            <w:r>
              <w:rPr>
                <w:sz w:val="18"/>
              </w:rPr>
              <w:t>Stockholders’ equity per common share  outstanding</w:t>
            </w:r>
          </w:p>
        </w:tc>
        <w:tc>
          <w:tcPr>
            <w:tcW w:w="1498" w:type="dxa"/>
          </w:tcPr>
          <w:p>
            <w:pPr>
              <w:pStyle w:val="TableParagraph"/>
              <w:spacing w:before="4"/>
              <w:ind w:right="263"/>
              <w:rPr>
                <w:b/>
                <w:sz w:val="18"/>
              </w:rPr>
            </w:pPr>
            <w:r>
              <w:rPr>
                <w:b/>
                <w:color w:val="008080"/>
                <w:sz w:val="18"/>
              </w:rPr>
              <w:t>$9.08</w:t>
            </w:r>
          </w:p>
        </w:tc>
        <w:tc>
          <w:tcPr>
            <w:tcW w:w="1532" w:type="dxa"/>
          </w:tcPr>
          <w:p>
            <w:pPr>
              <w:pStyle w:val="TableParagraph"/>
              <w:spacing w:before="4"/>
              <w:ind w:right="354"/>
              <w:rPr>
                <w:sz w:val="18"/>
              </w:rPr>
            </w:pPr>
            <w:r>
              <w:rPr>
                <w:sz w:val="18"/>
              </w:rPr>
              <w:t>$7.57</w:t>
            </w:r>
          </w:p>
        </w:tc>
        <w:tc>
          <w:tcPr>
            <w:tcW w:w="1535" w:type="dxa"/>
          </w:tcPr>
          <w:p>
            <w:pPr>
              <w:pStyle w:val="TableParagraph"/>
              <w:spacing w:before="4"/>
              <w:ind w:right="446"/>
              <w:rPr>
                <w:sz w:val="18"/>
              </w:rPr>
            </w:pPr>
            <w:r>
              <w:rPr>
                <w:sz w:val="18"/>
              </w:rPr>
              <w:t>19.9%</w:t>
            </w:r>
          </w:p>
        </w:tc>
      </w:tr>
      <w:tr>
        <w:trPr>
          <w:trHeight w:val="221" w:hRule="exact"/>
        </w:trPr>
        <w:tc>
          <w:tcPr>
            <w:tcW w:w="4546" w:type="dxa"/>
          </w:tcPr>
          <w:p>
            <w:pPr>
              <w:pStyle w:val="TableParagraph"/>
              <w:spacing w:before="4"/>
              <w:ind w:left="19"/>
              <w:jc w:val="left"/>
              <w:rPr>
                <w:sz w:val="18"/>
              </w:rPr>
            </w:pPr>
            <w:r>
              <w:rPr>
                <w:sz w:val="18"/>
              </w:rPr>
              <w:t>Revenue passengers carried</w:t>
            </w:r>
          </w:p>
        </w:tc>
        <w:tc>
          <w:tcPr>
            <w:tcW w:w="1498" w:type="dxa"/>
          </w:tcPr>
          <w:p>
            <w:pPr>
              <w:pStyle w:val="TableParagraph"/>
              <w:spacing w:before="4"/>
              <w:ind w:right="265"/>
              <w:rPr>
                <w:b/>
                <w:sz w:val="18"/>
              </w:rPr>
            </w:pPr>
            <w:r>
              <w:rPr>
                <w:b/>
                <w:color w:val="008080"/>
                <w:sz w:val="18"/>
              </w:rPr>
              <w:t>50,399,960</w:t>
            </w:r>
          </w:p>
        </w:tc>
        <w:tc>
          <w:tcPr>
            <w:tcW w:w="1532" w:type="dxa"/>
          </w:tcPr>
          <w:p>
            <w:pPr>
              <w:pStyle w:val="TableParagraph"/>
              <w:spacing w:before="4"/>
              <w:ind w:right="353"/>
              <w:rPr>
                <w:sz w:val="18"/>
              </w:rPr>
            </w:pPr>
            <w:r>
              <w:rPr>
                <w:sz w:val="18"/>
              </w:rPr>
              <w:t>49,621,504</w:t>
            </w:r>
          </w:p>
        </w:tc>
        <w:tc>
          <w:tcPr>
            <w:tcW w:w="1535" w:type="dxa"/>
          </w:tcPr>
          <w:p>
            <w:pPr>
              <w:pStyle w:val="TableParagraph"/>
              <w:spacing w:before="4"/>
              <w:ind w:right="446"/>
              <w:rPr>
                <w:sz w:val="18"/>
              </w:rPr>
            </w:pPr>
            <w:r>
              <w:rPr>
                <w:sz w:val="18"/>
              </w:rPr>
              <w:t>1.6%</w:t>
            </w:r>
          </w:p>
        </w:tc>
      </w:tr>
      <w:tr>
        <w:trPr>
          <w:trHeight w:val="221" w:hRule="exact"/>
        </w:trPr>
        <w:tc>
          <w:tcPr>
            <w:tcW w:w="4546" w:type="dxa"/>
          </w:tcPr>
          <w:p>
            <w:pPr>
              <w:pStyle w:val="TableParagraph"/>
              <w:spacing w:before="4"/>
              <w:ind w:left="19"/>
              <w:jc w:val="left"/>
              <w:rPr>
                <w:sz w:val="18"/>
              </w:rPr>
            </w:pPr>
            <w:r>
              <w:rPr>
                <w:sz w:val="18"/>
              </w:rPr>
              <w:t>Revenue passenger miles (RPMs) (000s)</w:t>
            </w:r>
          </w:p>
        </w:tc>
        <w:tc>
          <w:tcPr>
            <w:tcW w:w="1498" w:type="dxa"/>
          </w:tcPr>
          <w:p>
            <w:pPr>
              <w:pStyle w:val="TableParagraph"/>
              <w:spacing w:before="4"/>
              <w:ind w:right="265"/>
              <w:rPr>
                <w:b/>
                <w:sz w:val="18"/>
              </w:rPr>
            </w:pPr>
            <w:r>
              <w:rPr>
                <w:b/>
                <w:color w:val="008080"/>
                <w:sz w:val="18"/>
              </w:rPr>
              <w:t>28,355,169</w:t>
            </w:r>
          </w:p>
        </w:tc>
        <w:tc>
          <w:tcPr>
            <w:tcW w:w="1532" w:type="dxa"/>
          </w:tcPr>
          <w:p>
            <w:pPr>
              <w:pStyle w:val="TableParagraph"/>
              <w:spacing w:before="4"/>
              <w:ind w:right="353"/>
              <w:rPr>
                <w:sz w:val="18"/>
              </w:rPr>
            </w:pPr>
            <w:r>
              <w:rPr>
                <w:sz w:val="18"/>
              </w:rPr>
              <w:t>27,083,483</w:t>
            </w:r>
          </w:p>
        </w:tc>
        <w:tc>
          <w:tcPr>
            <w:tcW w:w="1535" w:type="dxa"/>
          </w:tcPr>
          <w:p>
            <w:pPr>
              <w:pStyle w:val="TableParagraph"/>
              <w:spacing w:before="4"/>
              <w:ind w:right="446"/>
              <w:rPr>
                <w:sz w:val="18"/>
              </w:rPr>
            </w:pPr>
            <w:r>
              <w:rPr>
                <w:sz w:val="18"/>
              </w:rPr>
              <w:t>4.7%</w:t>
            </w:r>
          </w:p>
        </w:tc>
      </w:tr>
      <w:tr>
        <w:trPr>
          <w:trHeight w:val="221" w:hRule="exact"/>
        </w:trPr>
        <w:tc>
          <w:tcPr>
            <w:tcW w:w="4546" w:type="dxa"/>
          </w:tcPr>
          <w:p>
            <w:pPr>
              <w:pStyle w:val="TableParagraph"/>
              <w:spacing w:before="4"/>
              <w:ind w:left="19"/>
              <w:jc w:val="left"/>
              <w:rPr>
                <w:sz w:val="18"/>
              </w:rPr>
            </w:pPr>
            <w:r>
              <w:rPr>
                <w:sz w:val="18"/>
              </w:rPr>
              <w:t>Available seat miles (ASMs) (000s)</w:t>
            </w:r>
          </w:p>
        </w:tc>
        <w:tc>
          <w:tcPr>
            <w:tcW w:w="1498" w:type="dxa"/>
          </w:tcPr>
          <w:p>
            <w:pPr>
              <w:pStyle w:val="TableParagraph"/>
              <w:spacing w:before="4"/>
              <w:ind w:right="265"/>
              <w:rPr>
                <w:b/>
                <w:sz w:val="18"/>
              </w:rPr>
            </w:pPr>
            <w:r>
              <w:rPr>
                <w:b/>
                <w:color w:val="008080"/>
                <w:sz w:val="18"/>
              </w:rPr>
              <w:t>44,487,496</w:t>
            </w:r>
          </w:p>
        </w:tc>
        <w:tc>
          <w:tcPr>
            <w:tcW w:w="1532" w:type="dxa"/>
          </w:tcPr>
          <w:p>
            <w:pPr>
              <w:pStyle w:val="TableParagraph"/>
              <w:spacing w:before="4"/>
              <w:ind w:right="353"/>
              <w:rPr>
                <w:sz w:val="18"/>
              </w:rPr>
            </w:pPr>
            <w:r>
              <w:rPr>
                <w:sz w:val="18"/>
              </w:rPr>
              <w:t>40,727,495</w:t>
            </w:r>
          </w:p>
        </w:tc>
        <w:tc>
          <w:tcPr>
            <w:tcW w:w="1535" w:type="dxa"/>
          </w:tcPr>
          <w:p>
            <w:pPr>
              <w:pStyle w:val="TableParagraph"/>
              <w:spacing w:before="4"/>
              <w:ind w:right="446"/>
              <w:rPr>
                <w:sz w:val="18"/>
              </w:rPr>
            </w:pPr>
            <w:r>
              <w:rPr>
                <w:sz w:val="18"/>
              </w:rPr>
              <w:t>9.2%</w:t>
            </w:r>
          </w:p>
        </w:tc>
      </w:tr>
      <w:tr>
        <w:trPr>
          <w:trHeight w:val="221" w:hRule="exact"/>
        </w:trPr>
        <w:tc>
          <w:tcPr>
            <w:tcW w:w="4546" w:type="dxa"/>
          </w:tcPr>
          <w:p>
            <w:pPr>
              <w:pStyle w:val="TableParagraph"/>
              <w:spacing w:before="4"/>
              <w:ind w:left="19"/>
              <w:jc w:val="left"/>
              <w:rPr>
                <w:sz w:val="18"/>
              </w:rPr>
            </w:pPr>
            <w:r>
              <w:rPr>
                <w:sz w:val="18"/>
              </w:rPr>
              <w:t>Passenger  load factor</w:t>
            </w:r>
          </w:p>
        </w:tc>
        <w:tc>
          <w:tcPr>
            <w:tcW w:w="1498" w:type="dxa"/>
          </w:tcPr>
          <w:p>
            <w:pPr>
              <w:pStyle w:val="TableParagraph"/>
              <w:spacing w:before="4"/>
              <w:ind w:right="263"/>
              <w:rPr>
                <w:b/>
                <w:sz w:val="18"/>
              </w:rPr>
            </w:pPr>
            <w:r>
              <w:rPr>
                <w:b/>
                <w:color w:val="008080"/>
                <w:w w:val="95"/>
                <w:sz w:val="18"/>
              </w:rPr>
              <w:t>63.7%</w:t>
            </w:r>
          </w:p>
        </w:tc>
        <w:tc>
          <w:tcPr>
            <w:tcW w:w="1532" w:type="dxa"/>
          </w:tcPr>
          <w:p>
            <w:pPr>
              <w:pStyle w:val="TableParagraph"/>
              <w:spacing w:before="4"/>
              <w:ind w:right="351"/>
              <w:rPr>
                <w:sz w:val="18"/>
              </w:rPr>
            </w:pPr>
            <w:r>
              <w:rPr>
                <w:sz w:val="18"/>
              </w:rPr>
              <w:t>66.5%</w:t>
            </w:r>
          </w:p>
        </w:tc>
        <w:tc>
          <w:tcPr>
            <w:tcW w:w="1535" w:type="dxa"/>
          </w:tcPr>
          <w:p>
            <w:pPr>
              <w:pStyle w:val="TableParagraph"/>
              <w:spacing w:before="4"/>
              <w:ind w:right="447"/>
              <w:rPr>
                <w:sz w:val="18"/>
              </w:rPr>
            </w:pPr>
            <w:r>
              <w:rPr>
                <w:sz w:val="18"/>
              </w:rPr>
              <w:t>(2.8) pts.</w:t>
            </w:r>
          </w:p>
        </w:tc>
      </w:tr>
      <w:tr>
        <w:trPr>
          <w:trHeight w:val="221" w:hRule="exact"/>
        </w:trPr>
        <w:tc>
          <w:tcPr>
            <w:tcW w:w="4546" w:type="dxa"/>
          </w:tcPr>
          <w:p>
            <w:pPr>
              <w:pStyle w:val="TableParagraph"/>
              <w:spacing w:before="4"/>
              <w:ind w:left="19"/>
              <w:jc w:val="left"/>
              <w:rPr>
                <w:sz w:val="18"/>
              </w:rPr>
            </w:pPr>
            <w:r>
              <w:rPr>
                <w:sz w:val="18"/>
              </w:rPr>
              <w:t>Passenger  revenue yield per RPM</w:t>
            </w:r>
          </w:p>
        </w:tc>
        <w:tc>
          <w:tcPr>
            <w:tcW w:w="1498" w:type="dxa"/>
          </w:tcPr>
          <w:p>
            <w:pPr>
              <w:pStyle w:val="TableParagraph"/>
              <w:spacing w:before="4"/>
              <w:ind w:right="261"/>
              <w:rPr>
                <w:b/>
                <w:sz w:val="18"/>
              </w:rPr>
            </w:pPr>
            <w:r>
              <w:rPr>
                <w:b/>
                <w:color w:val="008080"/>
                <w:sz w:val="18"/>
              </w:rPr>
              <w:t>12.84¢</w:t>
            </w:r>
          </w:p>
        </w:tc>
        <w:tc>
          <w:tcPr>
            <w:tcW w:w="1532" w:type="dxa"/>
          </w:tcPr>
          <w:p>
            <w:pPr>
              <w:pStyle w:val="TableParagraph"/>
              <w:spacing w:before="4"/>
              <w:ind w:right="353"/>
              <w:rPr>
                <w:sz w:val="18"/>
              </w:rPr>
            </w:pPr>
            <w:r>
              <w:rPr>
                <w:sz w:val="18"/>
              </w:rPr>
              <w:t>12.07¢</w:t>
            </w:r>
          </w:p>
        </w:tc>
        <w:tc>
          <w:tcPr>
            <w:tcW w:w="1535" w:type="dxa"/>
          </w:tcPr>
          <w:p>
            <w:pPr>
              <w:pStyle w:val="TableParagraph"/>
              <w:spacing w:before="4"/>
              <w:ind w:right="446"/>
              <w:rPr>
                <w:sz w:val="18"/>
              </w:rPr>
            </w:pPr>
            <w:r>
              <w:rPr>
                <w:sz w:val="18"/>
              </w:rPr>
              <w:t>6.4%</w:t>
            </w:r>
          </w:p>
        </w:tc>
      </w:tr>
      <w:tr>
        <w:trPr>
          <w:trHeight w:val="221" w:hRule="exact"/>
        </w:trPr>
        <w:tc>
          <w:tcPr>
            <w:tcW w:w="4546" w:type="dxa"/>
          </w:tcPr>
          <w:p>
            <w:pPr>
              <w:pStyle w:val="TableParagraph"/>
              <w:spacing w:before="4"/>
              <w:ind w:left="19"/>
              <w:jc w:val="left"/>
              <w:rPr>
                <w:sz w:val="18"/>
              </w:rPr>
            </w:pPr>
            <w:r>
              <w:rPr>
                <w:sz w:val="18"/>
              </w:rPr>
              <w:t>Operating revenue yield per ASM</w:t>
            </w:r>
          </w:p>
        </w:tc>
        <w:tc>
          <w:tcPr>
            <w:tcW w:w="1498" w:type="dxa"/>
          </w:tcPr>
          <w:p>
            <w:pPr>
              <w:pStyle w:val="TableParagraph"/>
              <w:spacing w:before="4"/>
              <w:ind w:right="261"/>
              <w:rPr>
                <w:b/>
                <w:sz w:val="18"/>
              </w:rPr>
            </w:pPr>
            <w:r>
              <w:rPr>
                <w:b/>
                <w:color w:val="008080"/>
                <w:sz w:val="18"/>
              </w:rPr>
              <w:t>8.58¢</w:t>
            </w:r>
          </w:p>
        </w:tc>
        <w:tc>
          <w:tcPr>
            <w:tcW w:w="1532" w:type="dxa"/>
          </w:tcPr>
          <w:p>
            <w:pPr>
              <w:pStyle w:val="TableParagraph"/>
              <w:spacing w:before="4"/>
              <w:ind w:right="353"/>
              <w:rPr>
                <w:sz w:val="18"/>
              </w:rPr>
            </w:pPr>
            <w:r>
              <w:rPr>
                <w:sz w:val="18"/>
              </w:rPr>
              <w:t>8.36¢</w:t>
            </w:r>
          </w:p>
        </w:tc>
        <w:tc>
          <w:tcPr>
            <w:tcW w:w="1535" w:type="dxa"/>
          </w:tcPr>
          <w:p>
            <w:pPr>
              <w:pStyle w:val="TableParagraph"/>
              <w:spacing w:before="4"/>
              <w:ind w:right="446"/>
              <w:rPr>
                <w:sz w:val="18"/>
              </w:rPr>
            </w:pPr>
            <w:r>
              <w:rPr>
                <w:sz w:val="18"/>
              </w:rPr>
              <w:t>2.6%</w:t>
            </w:r>
          </w:p>
        </w:tc>
      </w:tr>
      <w:tr>
        <w:trPr>
          <w:trHeight w:val="221" w:hRule="exact"/>
        </w:trPr>
        <w:tc>
          <w:tcPr>
            <w:tcW w:w="4546" w:type="dxa"/>
          </w:tcPr>
          <w:p>
            <w:pPr>
              <w:pStyle w:val="TableParagraph"/>
              <w:spacing w:before="4"/>
              <w:ind w:left="19"/>
              <w:jc w:val="left"/>
              <w:rPr>
                <w:sz w:val="18"/>
              </w:rPr>
            </w:pPr>
            <w:r>
              <w:rPr>
                <w:sz w:val="18"/>
              </w:rPr>
              <w:t>Operating expenses per ASM</w:t>
            </w:r>
          </w:p>
        </w:tc>
        <w:tc>
          <w:tcPr>
            <w:tcW w:w="1498" w:type="dxa"/>
          </w:tcPr>
          <w:p>
            <w:pPr>
              <w:pStyle w:val="TableParagraph"/>
              <w:spacing w:before="4"/>
              <w:ind w:right="261"/>
              <w:rPr>
                <w:b/>
                <w:sz w:val="18"/>
              </w:rPr>
            </w:pPr>
            <w:r>
              <w:rPr>
                <w:b/>
                <w:color w:val="008080"/>
                <w:sz w:val="18"/>
              </w:rPr>
              <w:t>7.40¢</w:t>
            </w:r>
          </w:p>
        </w:tc>
        <w:tc>
          <w:tcPr>
            <w:tcW w:w="1532" w:type="dxa"/>
          </w:tcPr>
          <w:p>
            <w:pPr>
              <w:pStyle w:val="TableParagraph"/>
              <w:spacing w:before="4"/>
              <w:ind w:right="353"/>
              <w:rPr>
                <w:sz w:val="18"/>
              </w:rPr>
            </w:pPr>
            <w:r>
              <w:rPr>
                <w:sz w:val="18"/>
              </w:rPr>
              <w:t>7.50¢</w:t>
            </w:r>
          </w:p>
        </w:tc>
        <w:tc>
          <w:tcPr>
            <w:tcW w:w="1535" w:type="dxa"/>
          </w:tcPr>
          <w:p>
            <w:pPr>
              <w:pStyle w:val="TableParagraph"/>
              <w:spacing w:before="4"/>
              <w:ind w:right="444"/>
              <w:rPr>
                <w:sz w:val="18"/>
              </w:rPr>
            </w:pPr>
            <w:r>
              <w:rPr>
                <w:sz w:val="18"/>
              </w:rPr>
              <w:t>(1.3)%</w:t>
            </w:r>
          </w:p>
        </w:tc>
      </w:tr>
      <w:tr>
        <w:trPr>
          <w:trHeight w:val="212" w:hRule="exact"/>
        </w:trPr>
        <w:tc>
          <w:tcPr>
            <w:tcW w:w="4546" w:type="dxa"/>
          </w:tcPr>
          <w:p>
            <w:pPr>
              <w:pStyle w:val="TableParagraph"/>
              <w:spacing w:before="4"/>
              <w:ind w:left="19"/>
              <w:jc w:val="left"/>
              <w:rPr>
                <w:sz w:val="18"/>
              </w:rPr>
            </w:pPr>
            <w:r>
              <w:rPr>
                <w:sz w:val="18"/>
              </w:rPr>
              <w:t>Number of Employees at yearend</w:t>
            </w:r>
          </w:p>
        </w:tc>
        <w:tc>
          <w:tcPr>
            <w:tcW w:w="1498" w:type="dxa"/>
          </w:tcPr>
          <w:p>
            <w:pPr>
              <w:pStyle w:val="TableParagraph"/>
              <w:spacing w:before="4"/>
              <w:ind w:right="264"/>
              <w:rPr>
                <w:b/>
                <w:sz w:val="18"/>
              </w:rPr>
            </w:pPr>
            <w:r>
              <w:rPr>
                <w:b/>
                <w:color w:val="008080"/>
                <w:sz w:val="18"/>
              </w:rPr>
              <w:t>23,974</w:t>
            </w:r>
          </w:p>
        </w:tc>
        <w:tc>
          <w:tcPr>
            <w:tcW w:w="1532" w:type="dxa"/>
          </w:tcPr>
          <w:p>
            <w:pPr>
              <w:pStyle w:val="TableParagraph"/>
              <w:spacing w:before="4"/>
              <w:ind w:right="354"/>
              <w:rPr>
                <w:sz w:val="18"/>
              </w:rPr>
            </w:pPr>
            <w:r>
              <w:rPr>
                <w:sz w:val="18"/>
              </w:rPr>
              <w:t>22,944</w:t>
            </w:r>
          </w:p>
        </w:tc>
        <w:tc>
          <w:tcPr>
            <w:tcW w:w="1535" w:type="dxa"/>
          </w:tcPr>
          <w:p>
            <w:pPr>
              <w:pStyle w:val="TableParagraph"/>
              <w:spacing w:before="4"/>
              <w:ind w:right="446"/>
              <w:rPr>
                <w:sz w:val="18"/>
              </w:rPr>
            </w:pPr>
            <w:r>
              <w:rPr>
                <w:sz w:val="18"/>
              </w:rPr>
              <w:t>4.5%</w:t>
            </w:r>
          </w:p>
        </w:tc>
      </w:tr>
    </w:tbl>
    <w:p>
      <w:pPr>
        <w:spacing w:after="0"/>
        <w:rPr>
          <w:sz w:val="18"/>
        </w:rPr>
        <w:sectPr>
          <w:headerReference w:type="default" r:id="rId5"/>
          <w:type w:val="continuous"/>
          <w:pgSz w:w="12240" w:h="15840"/>
          <w:pgMar w:header="1592" w:top="1880" w:bottom="280" w:left="1320" w:right="154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6.75pt;height:159.85pt;mso-position-horizontal-relative:char;mso-position-vertical-relative:line" coordorigin="0,0" coordsize="6735,3197">
            <v:line style="position:absolute" from="5599,1831" to="5940,1831" stroked="true" strokeweight=".24pt" strokecolor="#000000">
              <v:stroke dashstyle="shortdot"/>
            </v:line>
            <v:line style="position:absolute" from="4457,1831" to="5148,1831" stroked="true" strokeweight=".24pt" strokecolor="#000000">
              <v:stroke dashstyle="shortdot"/>
            </v:line>
            <v:line style="position:absolute" from="3319,1831" to="4006,1831" stroked="true" strokeweight=".24pt" strokecolor="#000000">
              <v:stroke dashstyle="shortdot"/>
            </v:line>
            <v:line style="position:absolute" from="2163,1831" to="2854,1831" stroked="true" strokeweight=".24pt" strokecolor="#000000">
              <v:stroke dashstyle="shortdot"/>
            </v:line>
            <v:line style="position:absolute" from="1025,1831" to="1711,1831" stroked="true" strokeweight=".24pt" strokecolor="#000000">
              <v:stroke dashstyle="shortdot"/>
            </v:line>
            <v:line style="position:absolute" from="228,1831" to="574,1831" stroked="true" strokeweight=".24pt" strokecolor="#000000">
              <v:stroke dashstyle="shortdot"/>
            </v:line>
            <v:rect style="position:absolute;left:574;top:1443;width:451;height:1128" filled="true" fillcolor="#ff0000" stroked="false">
              <v:fill type="solid"/>
            </v:rect>
            <v:rect style="position:absolute;left:574;top:1443;width:451;height:1128" filled="false" stroked="true" strokeweight="2.16pt" strokecolor="#ffff00">
              <v:stroke dashstyle="solid"/>
            </v:rect>
            <v:rect style="position:absolute;left:1711;top:1265;width:451;height:1306" filled="true" fillcolor="#ff0000" stroked="false">
              <v:fill type="solid"/>
            </v:rect>
            <v:rect style="position:absolute;left:1711;top:1265;width:451;height:1306" filled="false" stroked="true" strokeweight="2.16pt" strokecolor="#ffff00">
              <v:stroke dashstyle="solid"/>
            </v:rect>
            <v:rect style="position:absolute;left:2854;top:1231;width:466;height:1339" filled="true" fillcolor="#ff0000" stroked="false">
              <v:fill type="solid"/>
            </v:rect>
            <v:rect style="position:absolute;left:2854;top:1231;width:466;height:1339" filled="false" stroked="true" strokeweight="2.16pt" strokecolor="#ffff00">
              <v:stroke dashstyle="solid"/>
            </v:rect>
            <v:line style="position:absolute" from="4457,1111" to="5148,1111" stroked="true" strokeweight=".24pt" strokecolor="#000000">
              <v:stroke dashstyle="shortdot"/>
            </v:line>
            <v:line style="position:absolute" from="228,1111" to="4006,1111" stroked="true" strokeweight=".24pt" strokecolor="#000000">
              <v:stroke dashstyle="shortdot"/>
            </v:line>
            <v:rect style="position:absolute;left:4006;top:1054;width:451;height:1517" filled="true" fillcolor="#ff0000" stroked="false">
              <v:fill type="solid"/>
            </v:rect>
            <v:rect style="position:absolute;left:4006;top:1054;width:451;height:1517" filled="false" stroked="true" strokeweight="2.16pt" strokecolor="#ffff00">
              <v:stroke dashstyle="solid"/>
            </v:rect>
            <v:line style="position:absolute" from="5599,1111" to="5940,1111" stroked="true" strokeweight=".24pt" strokecolor="#000000">
              <v:stroke dashstyle="shortdot"/>
            </v:line>
            <v:line style="position:absolute" from="5599,377" to="5940,377" stroked="true" strokeweight=".24pt" strokecolor="#000000">
              <v:stroke dashstyle="shortdot"/>
            </v:line>
            <v:line style="position:absolute" from="228,377" to="5148,377" stroked="true" strokeweight=".24pt" strokecolor="#000000">
              <v:stroke dashstyle="shortdot"/>
            </v:line>
            <v:rect style="position:absolute;left:5148;top:348;width:451;height:2222" filled="true" fillcolor="#ff0000" stroked="false">
              <v:fill type="solid"/>
            </v:rect>
            <v:rect style="position:absolute;left:5148;top:348;width:451;height:2222" filled="false" stroked="true" strokeweight="2.16pt" strokecolor="#ffff00">
              <v:stroke dashstyle="solid"/>
            </v:rect>
            <v:line style="position:absolute" from="228,377" to="228,2570" stroked="true" strokeweight=".24pt" strokecolor="#000000">
              <v:stroke dashstyle="solid"/>
            </v:line>
            <v:line style="position:absolute" from="185,2570" to="228,2570" stroked="true" strokeweight=".24pt" strokecolor="#000000">
              <v:stroke dashstyle="solid"/>
            </v:line>
            <v:line style="position:absolute" from="185,1831" to="228,1831" stroked="true" strokeweight=".24pt" strokecolor="#000000">
              <v:stroke dashstyle="solid"/>
            </v:line>
            <v:line style="position:absolute" from="185,1111" to="228,1111" stroked="true" strokeweight=".24pt" strokecolor="#000000">
              <v:stroke dashstyle="solid"/>
            </v:line>
            <v:line style="position:absolute" from="185,377" to="228,377" stroked="true" strokeweight=".24pt" strokecolor="#000000">
              <v:stroke dashstyle="solid"/>
            </v:line>
            <v:line style="position:absolute" from="228,2570" to="5940,2570" stroked="true" strokeweight=".24pt" strokecolor="#000000">
              <v:stroke dashstyle="solid"/>
            </v:line>
            <v:line style="position:absolute" from="228,2614" to="228,2523" stroked="true" strokeweight=".24pt" strokecolor="#000000">
              <v:stroke dashstyle="solid"/>
            </v:line>
            <v:line style="position:absolute" from="1366,2614" to="1366,2523" stroked="true" strokeweight=".24pt" strokecolor="#000000">
              <v:stroke dashstyle="solid"/>
            </v:line>
            <v:line style="position:absolute" from="2508,2614" to="2508,2523" stroked="true" strokeweight=".24pt" strokecolor="#000000">
              <v:stroke dashstyle="solid"/>
            </v:line>
            <v:line style="position:absolute" from="3660,2614" to="3660,2523" stroked="true" strokeweight=".24pt" strokecolor="#000000">
              <v:stroke dashstyle="solid"/>
            </v:line>
            <v:line style="position:absolute" from="4803,2614" to="4803,2523" stroked="true" strokeweight=".24pt" strokecolor="#000000">
              <v:stroke dashstyle="solid"/>
            </v:line>
            <v:line style="position:absolute" from="5940,2614" to="5940,2523" stroked="true" strokeweight=".24pt" strokecolor="#000000">
              <v:stroke dashstyle="solid"/>
            </v:line>
            <v:rect style="position:absolute;left:3;top:3;width:6730;height:3192" filled="false" stroked="true" strokeweight=".24pt" strokecolor="#000000">
              <v:stroke dashstyle="solid"/>
            </v:rect>
            <v:shape style="position:absolute;left:5163;top:127;width:379;height:185" type="#_x0000_t202" filled="false" stroked="false">
              <v:textbox inset="0,0,0,0">
                <w:txbxContent>
                  <w:p>
                    <w:pPr>
                      <w:spacing w:line="183" w:lineRule="exact" w:before="0"/>
                      <w:ind w:left="0" w:right="0" w:firstLine="0"/>
                      <w:jc w:val="left"/>
                      <w:rPr>
                        <w:b/>
                        <w:sz w:val="16"/>
                      </w:rPr>
                    </w:pPr>
                    <w:r>
                      <w:rPr>
                        <w:b/>
                        <w:w w:val="105"/>
                        <w:sz w:val="16"/>
                      </w:rPr>
                      <w:t>$318</w:t>
                    </w:r>
                  </w:p>
                </w:txbxContent>
              </v:textbox>
              <w10:wrap type="none"/>
            </v:shape>
            <v:shape style="position:absolute;left:6079;top:275;width:379;height:185" type="#_x0000_t202" filled="false" stroked="false">
              <v:textbox inset="0,0,0,0">
                <w:txbxContent>
                  <w:p>
                    <w:pPr>
                      <w:spacing w:line="183" w:lineRule="exact" w:before="0"/>
                      <w:ind w:left="0" w:right="0" w:firstLine="0"/>
                      <w:jc w:val="left"/>
                      <w:rPr>
                        <w:b/>
                        <w:sz w:val="16"/>
                      </w:rPr>
                    </w:pPr>
                    <w:r>
                      <w:rPr>
                        <w:b/>
                        <w:color w:val="FF0000"/>
                        <w:w w:val="105"/>
                        <w:sz w:val="16"/>
                      </w:rPr>
                      <w:t>$300</w:t>
                    </w:r>
                  </w:p>
                </w:txbxContent>
              </v:textbox>
              <w10:wrap type="none"/>
            </v:shape>
            <v:shape style="position:absolute;left:1740;top:923;width:384;height:185" type="#_x0000_t202" filled="false" stroked="false">
              <v:textbox inset="0,0,0,0">
                <w:txbxContent>
                  <w:p>
                    <w:pPr>
                      <w:spacing w:line="183" w:lineRule="exact" w:before="0"/>
                      <w:ind w:left="0" w:right="0" w:firstLine="0"/>
                      <w:jc w:val="left"/>
                      <w:rPr>
                        <w:b/>
                        <w:sz w:val="16"/>
                      </w:rPr>
                    </w:pPr>
                    <w:r>
                      <w:rPr>
                        <w:b/>
                        <w:w w:val="105"/>
                        <w:sz w:val="16"/>
                      </w:rPr>
                      <w:t>$179</w:t>
                    </w:r>
                  </w:p>
                </w:txbxContent>
              </v:textbox>
              <w10:wrap type="none"/>
            </v:shape>
            <v:shape style="position:absolute;left:2897;top:923;width:379;height:185" type="#_x0000_t202" filled="false" stroked="false">
              <v:textbox inset="0,0,0,0">
                <w:txbxContent>
                  <w:p>
                    <w:pPr>
                      <w:spacing w:line="183" w:lineRule="exact" w:before="0"/>
                      <w:ind w:left="0" w:right="0" w:firstLine="0"/>
                      <w:jc w:val="left"/>
                      <w:rPr>
                        <w:b/>
                        <w:sz w:val="16"/>
                      </w:rPr>
                    </w:pPr>
                    <w:r>
                      <w:rPr>
                        <w:b/>
                        <w:w w:val="105"/>
                        <w:sz w:val="16"/>
                      </w:rPr>
                      <w:t>$183</w:t>
                    </w:r>
                  </w:p>
                </w:txbxContent>
              </v:textbox>
              <w10:wrap type="none"/>
            </v:shape>
            <v:shape style="position:absolute;left:4020;top:803;width:384;height:185" type="#_x0000_t202" filled="false" stroked="false">
              <v:textbox inset="0,0,0,0">
                <w:txbxContent>
                  <w:p>
                    <w:pPr>
                      <w:spacing w:line="183" w:lineRule="exact" w:before="0"/>
                      <w:ind w:left="0" w:right="0" w:firstLine="0"/>
                      <w:jc w:val="left"/>
                      <w:rPr>
                        <w:b/>
                        <w:sz w:val="16"/>
                      </w:rPr>
                    </w:pPr>
                    <w:r>
                      <w:rPr>
                        <w:b/>
                        <w:w w:val="105"/>
                        <w:sz w:val="16"/>
                      </w:rPr>
                      <w:t>$207</w:t>
                    </w:r>
                  </w:p>
                </w:txbxContent>
              </v:textbox>
              <w10:wrap type="none"/>
            </v:shape>
            <v:shape style="position:absolute;left:588;top:1149;width:379;height:185" type="#_x0000_t202" filled="false" stroked="false">
              <v:textbox inset="0,0,0,0">
                <w:txbxContent>
                  <w:p>
                    <w:pPr>
                      <w:spacing w:line="183" w:lineRule="exact" w:before="0"/>
                      <w:ind w:left="0" w:right="0" w:firstLine="0"/>
                      <w:jc w:val="left"/>
                      <w:rPr>
                        <w:b/>
                        <w:sz w:val="16"/>
                      </w:rPr>
                    </w:pPr>
                    <w:r>
                      <w:rPr>
                        <w:b/>
                        <w:w w:val="105"/>
                        <w:sz w:val="16"/>
                      </w:rPr>
                      <w:t>$154</w:t>
                    </w:r>
                  </w:p>
                </w:txbxContent>
              </v:textbox>
              <w10:wrap type="none"/>
            </v:shape>
            <v:shape style="position:absolute;left:6079;top:1015;width:379;height:185" type="#_x0000_t202" filled="false" stroked="false">
              <v:textbox inset="0,0,0,0">
                <w:txbxContent>
                  <w:p>
                    <w:pPr>
                      <w:spacing w:line="183" w:lineRule="exact" w:before="0"/>
                      <w:ind w:left="0" w:right="0" w:firstLine="0"/>
                      <w:jc w:val="left"/>
                      <w:rPr>
                        <w:b/>
                        <w:sz w:val="16"/>
                      </w:rPr>
                    </w:pPr>
                    <w:r>
                      <w:rPr>
                        <w:b/>
                        <w:color w:val="FF0000"/>
                        <w:w w:val="105"/>
                        <w:sz w:val="16"/>
                      </w:rPr>
                      <w:t>$200</w:t>
                    </w:r>
                  </w:p>
                </w:txbxContent>
              </v:textbox>
              <w10:wrap type="none"/>
            </v:shape>
            <v:shape style="position:absolute;left:6079;top:1735;width:379;height:185" type="#_x0000_t202" filled="false" stroked="false">
              <v:textbox inset="0,0,0,0">
                <w:txbxContent>
                  <w:p>
                    <w:pPr>
                      <w:spacing w:line="183" w:lineRule="exact" w:before="0"/>
                      <w:ind w:left="0" w:right="0" w:firstLine="0"/>
                      <w:jc w:val="left"/>
                      <w:rPr>
                        <w:b/>
                        <w:sz w:val="16"/>
                      </w:rPr>
                    </w:pPr>
                    <w:r>
                      <w:rPr>
                        <w:b/>
                        <w:color w:val="FF0000"/>
                        <w:w w:val="105"/>
                        <w:sz w:val="16"/>
                      </w:rPr>
                      <w:t>$100</w:t>
                    </w:r>
                  </w:p>
                </w:txbxContent>
              </v:textbox>
              <w10:wrap type="none"/>
            </v:shape>
            <v:shape style="position:absolute;left:6079;top:2469;width:197;height:185" type="#_x0000_t202" filled="false" stroked="false">
              <v:textbox inset="0,0,0,0">
                <w:txbxContent>
                  <w:p>
                    <w:pPr>
                      <w:spacing w:line="183" w:lineRule="exact" w:before="0"/>
                      <w:ind w:left="0" w:right="0" w:firstLine="0"/>
                      <w:jc w:val="left"/>
                      <w:rPr>
                        <w:b/>
                        <w:sz w:val="16"/>
                      </w:rPr>
                    </w:pPr>
                    <w:r>
                      <w:rPr>
                        <w:b/>
                        <w:color w:val="FF0000"/>
                        <w:w w:val="105"/>
                        <w:sz w:val="16"/>
                      </w:rPr>
                      <w:t>$0</w:t>
                    </w:r>
                  </w:p>
                </w:txbxContent>
              </v:textbox>
              <w10:wrap type="none"/>
            </v:shape>
            <v:shape style="position:absolute;left:708;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46;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3003;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140;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283;top:2709;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pStyle w:val="Heading3"/>
        <w:spacing w:before="51"/>
        <w:ind w:left="120"/>
      </w:pPr>
      <w:r>
        <w:rPr/>
        <w:t>NET INCOME</w:t>
      </w:r>
    </w:p>
    <w:p>
      <w:pPr>
        <w:spacing w:before="10"/>
        <w:ind w:left="120" w:right="0" w:firstLine="0"/>
        <w:jc w:val="left"/>
        <w:rPr>
          <w:i/>
          <w:sz w:val="18"/>
        </w:rPr>
      </w:pPr>
      <w:r>
        <w:rPr>
          <w:i/>
          <w:color w:val="FF0000"/>
          <w:sz w:val="18"/>
        </w:rPr>
        <w:t>(in millions)</w:t>
      </w:r>
    </w:p>
    <w:p>
      <w:pPr>
        <w:pStyle w:val="BodyText"/>
        <w:rPr>
          <w:i/>
          <w:sz w:val="20"/>
        </w:rPr>
      </w:pPr>
    </w:p>
    <w:p>
      <w:pPr>
        <w:pStyle w:val="BodyText"/>
        <w:rPr>
          <w:i/>
          <w:sz w:val="20"/>
        </w:rPr>
      </w:pPr>
    </w:p>
    <w:p>
      <w:pPr>
        <w:pStyle w:val="BodyText"/>
        <w:spacing w:before="5"/>
        <w:rPr>
          <w:i/>
          <w:sz w:val="19"/>
        </w:rPr>
      </w:pPr>
      <w:r>
        <w:rPr/>
        <w:pict>
          <v:group style="position:absolute;margin-left:71.875pt;margin-top:13.123753pt;width:336.75pt;height:141.15pt;mso-position-horizontal-relative:page;mso-position-vertical-relative:paragraph;z-index:1768;mso-wrap-distance-left:0;mso-wrap-distance-right:0" coordorigin="1438,262" coordsize="6735,2823">
            <v:line style="position:absolute" from="6989,1859" to="7334,1859" stroked="true" strokeweight=".24pt" strokecolor="#000000">
              <v:stroke dashstyle="shortdot"/>
            </v:line>
            <v:line style="position:absolute" from="5851,1859" to="6523,1859" stroked="true" strokeweight=".24pt" strokecolor="#000000">
              <v:stroke dashstyle="shortdot"/>
            </v:line>
            <v:line style="position:absolute" from="4723,1859" to="5400,1859" stroked="true" strokeweight=".24pt" strokecolor="#000000">
              <v:stroke dashstyle="shortdot"/>
            </v:line>
            <v:line style="position:absolute" from="3586,1859" to="4258,1859" stroked="true" strokeweight=".24pt" strokecolor="#000000">
              <v:stroke dashstyle="shortdot"/>
            </v:line>
            <v:line style="position:absolute" from="2462,1859" to="3134,1859" stroked="true" strokeweight=".24pt" strokecolor="#000000">
              <v:stroke dashstyle="shortdot"/>
            </v:line>
            <v:line style="position:absolute" from="1666,1859" to="1997,1859" stroked="true" strokeweight=".24pt" strokecolor="#000000">
              <v:stroke dashstyle="shortdot"/>
            </v:line>
            <v:rect style="position:absolute;left:1997;top:1585;width:466;height:874" filled="true" fillcolor="#ff0000" stroked="false">
              <v:fill type="solid"/>
            </v:rect>
            <v:rect style="position:absolute;left:1997;top:1585;width:466;height:874" filled="false" stroked="true" strokeweight="2.16pt" strokecolor="#ffff00">
              <v:stroke dashstyle="solid"/>
            </v:rect>
            <v:rect style="position:absolute;left:3134;top:1436;width:451;height:1022" filled="true" fillcolor="#ff0000" stroked="false">
              <v:fill type="solid"/>
            </v:rect>
            <v:rect style="position:absolute;left:3134;top:1436;width:451;height:1022" filled="false" stroked="true" strokeweight="2.16pt" strokecolor="#ffff00">
              <v:stroke dashstyle="solid"/>
            </v:rect>
            <v:rect style="position:absolute;left:4258;top:1422;width:466;height:1037" filled="true" fillcolor="#ff0000" stroked="false">
              <v:fill type="solid"/>
            </v:rect>
            <v:rect style="position:absolute;left:4258;top:1422;width:466;height:1037" filled="false" stroked="true" strokeweight="2.16pt" strokecolor="#ffff00">
              <v:stroke dashstyle="solid"/>
            </v:rect>
            <v:line style="position:absolute" from="1666,1239" to="6523,1239" stroked="true" strokeweight=".24pt" strokecolor="#000000">
              <v:stroke dashstyle="shortdot"/>
            </v:line>
            <v:rect style="position:absolute;left:5400;top:1302;width:451;height:1157" filled="true" fillcolor="#ff0000" stroked="false">
              <v:fill type="solid"/>
            </v:rect>
            <v:rect style="position:absolute;left:5400;top:1302;width:451;height:1157" filled="false" stroked="true" strokeweight="2.16pt" strokecolor="#ffff00">
              <v:stroke dashstyle="solid"/>
            </v:rect>
            <v:line style="position:absolute" from="6989,1239" to="7334,1239" stroked="true" strokeweight=".24pt" strokecolor="#000000">
              <v:stroke dashstyle="shortdot"/>
            </v:line>
            <v:line style="position:absolute" from="1666,639" to="7334,639" stroked="true" strokeweight=".24pt" strokecolor="#000000">
              <v:stroke dashstyle="shortdot"/>
            </v:line>
            <v:rect style="position:absolute;left:6523;top:702;width:466;height:1757" filled="true" fillcolor="#ff0000" stroked="false">
              <v:fill type="solid"/>
            </v:rect>
            <v:rect style="position:absolute;left:6523;top:702;width:466;height:1757" filled="false" stroked="true" strokeweight="2.16pt" strokecolor="#ffff00">
              <v:stroke dashstyle="solid"/>
            </v:rect>
            <v:line style="position:absolute" from="1666,639" to="1666,2459" stroked="true" strokeweight=".24pt" strokecolor="#000000">
              <v:stroke dashstyle="solid"/>
            </v:line>
            <v:line style="position:absolute" from="1622,2459" to="1666,2459" stroked="true" strokeweight=".24pt" strokecolor="#000000">
              <v:stroke dashstyle="solid"/>
            </v:line>
            <v:line style="position:absolute" from="1622,1859" to="1666,1859" stroked="true" strokeweight=".24pt" strokecolor="#000000">
              <v:stroke dashstyle="solid"/>
            </v:line>
            <v:line style="position:absolute" from="1622,1239" to="1666,1239" stroked="true" strokeweight=".24pt" strokecolor="#000000">
              <v:stroke dashstyle="solid"/>
            </v:line>
            <v:line style="position:absolute" from="1622,639" to="1666,639" stroked="true" strokeweight=".24pt" strokecolor="#000000">
              <v:stroke dashstyle="solid"/>
            </v:line>
            <v:line style="position:absolute" from="1666,2459" to="7334,2459" stroked="true" strokeweight=".24pt" strokecolor="#000000">
              <v:stroke dashstyle="solid"/>
            </v:line>
            <v:line style="position:absolute" from="1666,2502" to="1666,2411" stroked="true" strokeweight=".24pt" strokecolor="#000000">
              <v:stroke dashstyle="solid"/>
            </v:line>
            <v:line style="position:absolute" from="2803,2502" to="2803,2411" stroked="true" strokeweight=".24pt" strokecolor="#000000">
              <v:stroke dashstyle="solid"/>
            </v:line>
            <v:line style="position:absolute" from="3931,2502" to="3931,2411" stroked="true" strokeweight=".24pt" strokecolor="#000000">
              <v:stroke dashstyle="solid"/>
            </v:line>
            <v:line style="position:absolute" from="5069,2502" to="5069,2411" stroked="true" strokeweight=".24pt" strokecolor="#000000">
              <v:stroke dashstyle="solid"/>
            </v:line>
            <v:line style="position:absolute" from="6197,2502" to="6197,2411" stroked="true" strokeweight=".24pt" strokecolor="#000000">
              <v:stroke dashstyle="solid"/>
            </v:line>
            <v:line style="position:absolute" from="7334,2502" to="7334,2411" stroked="true" strokeweight=".24pt" strokecolor="#000000">
              <v:stroke dashstyle="solid"/>
            </v:line>
            <v:rect style="position:absolute;left:1440;top:265;width:6730;height:2818" filled="false" stroked="true" strokeweight=".24pt" strokecolor="#000000">
              <v:stroke dashstyle="solid"/>
            </v:rect>
            <v:shape style="position:absolute;left:6523;top:403;width:427;height:185" type="#_x0000_t202" filled="false" stroked="false">
              <v:textbox inset="0,0,0,0">
                <w:txbxContent>
                  <w:p>
                    <w:pPr>
                      <w:spacing w:line="183" w:lineRule="exact" w:before="0"/>
                      <w:ind w:left="0" w:right="0" w:firstLine="0"/>
                      <w:jc w:val="left"/>
                      <w:rPr>
                        <w:b/>
                        <w:sz w:val="16"/>
                      </w:rPr>
                    </w:pPr>
                    <w:r>
                      <w:rPr>
                        <w:b/>
                        <w:sz w:val="16"/>
                      </w:rPr>
                      <w:t>$1.45</w:t>
                    </w:r>
                  </w:p>
                </w:txbxContent>
              </v:textbox>
              <w10:wrap type="none"/>
            </v:shape>
            <v:shape style="position:absolute;left:7469;top:538;width:427;height:185" type="#_x0000_t202" filled="false" stroked="false">
              <v:textbox inset="0,0,0,0">
                <w:txbxContent>
                  <w:p>
                    <w:pPr>
                      <w:spacing w:line="183" w:lineRule="exact" w:before="0"/>
                      <w:ind w:left="0" w:right="0" w:firstLine="0"/>
                      <w:jc w:val="left"/>
                      <w:rPr>
                        <w:b/>
                        <w:sz w:val="16"/>
                      </w:rPr>
                    </w:pPr>
                    <w:r>
                      <w:rPr>
                        <w:b/>
                        <w:color w:val="FF0000"/>
                        <w:sz w:val="16"/>
                      </w:rPr>
                      <w:t>$1.50</w:t>
                    </w:r>
                  </w:p>
                </w:txbxContent>
              </v:textbox>
              <w10:wrap type="none"/>
            </v:shape>
            <v:shape style="position:absolute;left:3134;top:1051;width:427;height:185" type="#_x0000_t202" filled="false" stroked="false">
              <v:textbox inset="0,0,0,0">
                <w:txbxContent>
                  <w:p>
                    <w:pPr>
                      <w:spacing w:line="183" w:lineRule="exact" w:before="0"/>
                      <w:ind w:left="0" w:right="0" w:firstLine="0"/>
                      <w:jc w:val="left"/>
                      <w:rPr>
                        <w:b/>
                        <w:sz w:val="16"/>
                      </w:rPr>
                    </w:pPr>
                    <w:r>
                      <w:rPr>
                        <w:b/>
                        <w:sz w:val="16"/>
                      </w:rPr>
                      <w:t>$0.84</w:t>
                    </w:r>
                  </w:p>
                </w:txbxContent>
              </v:textbox>
              <w10:wrap type="none"/>
            </v:shape>
            <v:shape style="position:absolute;left:4277;top:1051;width:422;height:185" type="#_x0000_t202" filled="false" stroked="false">
              <v:textbox inset="0,0,0,0">
                <w:txbxContent>
                  <w:p>
                    <w:pPr>
                      <w:spacing w:line="183" w:lineRule="exact" w:before="0"/>
                      <w:ind w:left="0" w:right="0" w:firstLine="0"/>
                      <w:jc w:val="left"/>
                      <w:rPr>
                        <w:b/>
                        <w:sz w:val="16"/>
                      </w:rPr>
                    </w:pPr>
                    <w:r>
                      <w:rPr>
                        <w:b/>
                        <w:w w:val="105"/>
                        <w:sz w:val="16"/>
                      </w:rPr>
                      <w:t>$0.85</w:t>
                    </w:r>
                  </w:p>
                </w:txbxContent>
              </v:textbox>
              <w10:wrap type="none"/>
            </v:shape>
            <v:shape style="position:absolute;left:5400;top:1003;width:427;height:185" type="#_x0000_t202" filled="false" stroked="false">
              <v:textbox inset="0,0,0,0">
                <w:txbxContent>
                  <w:p>
                    <w:pPr>
                      <w:spacing w:line="183" w:lineRule="exact" w:before="0"/>
                      <w:ind w:left="0" w:right="0" w:firstLine="0"/>
                      <w:jc w:val="left"/>
                      <w:rPr>
                        <w:b/>
                        <w:sz w:val="16"/>
                      </w:rPr>
                    </w:pPr>
                    <w:r>
                      <w:rPr>
                        <w:b/>
                        <w:sz w:val="16"/>
                      </w:rPr>
                      <w:t>$0.95</w:t>
                    </w:r>
                  </w:p>
                </w:txbxContent>
              </v:textbox>
              <w10:wrap type="none"/>
            </v:shape>
            <v:shape style="position:absolute;left:7469;top:1138;width:427;height:185" type="#_x0000_t202" filled="false" stroked="false">
              <v:textbox inset="0,0,0,0">
                <w:txbxContent>
                  <w:p>
                    <w:pPr>
                      <w:spacing w:line="183" w:lineRule="exact" w:before="0"/>
                      <w:ind w:left="0" w:right="0" w:firstLine="0"/>
                      <w:jc w:val="left"/>
                      <w:rPr>
                        <w:b/>
                        <w:sz w:val="16"/>
                      </w:rPr>
                    </w:pPr>
                    <w:r>
                      <w:rPr>
                        <w:b/>
                        <w:color w:val="FF0000"/>
                        <w:sz w:val="16"/>
                      </w:rPr>
                      <w:t>$1.00</w:t>
                    </w:r>
                  </w:p>
                </w:txbxContent>
              </v:textbox>
              <w10:wrap type="none"/>
            </v:shape>
            <v:shape style="position:absolute;left:1997;top:1291;width:422;height:185" type="#_x0000_t202" filled="false" stroked="false">
              <v:textbox inset="0,0,0,0">
                <w:txbxContent>
                  <w:p>
                    <w:pPr>
                      <w:spacing w:line="183" w:lineRule="exact" w:before="0"/>
                      <w:ind w:left="0" w:right="0" w:firstLine="0"/>
                      <w:jc w:val="left"/>
                      <w:rPr>
                        <w:b/>
                        <w:sz w:val="16"/>
                      </w:rPr>
                    </w:pPr>
                    <w:r>
                      <w:rPr>
                        <w:b/>
                        <w:w w:val="105"/>
                        <w:sz w:val="16"/>
                      </w:rPr>
                      <w:t>$0.72</w:t>
                    </w:r>
                  </w:p>
                </w:txbxContent>
              </v:textbox>
              <w10:wrap type="none"/>
            </v:shape>
            <v:shape style="position:absolute;left:7469;top:1757;width:427;height:185" type="#_x0000_t202" filled="false" stroked="false">
              <v:textbox inset="0,0,0,0">
                <w:txbxContent>
                  <w:p>
                    <w:pPr>
                      <w:spacing w:line="183" w:lineRule="exact" w:before="0"/>
                      <w:ind w:left="0" w:right="0" w:firstLine="0"/>
                      <w:jc w:val="left"/>
                      <w:rPr>
                        <w:b/>
                        <w:sz w:val="16"/>
                      </w:rPr>
                    </w:pPr>
                    <w:r>
                      <w:rPr>
                        <w:b/>
                        <w:color w:val="FF0000"/>
                        <w:sz w:val="16"/>
                      </w:rPr>
                      <w:t>$0.50</w:t>
                    </w:r>
                  </w:p>
                </w:txbxContent>
              </v:textbox>
              <w10:wrap type="none"/>
            </v:shape>
            <v:shape style="position:absolute;left:7469;top:2357;width:427;height:185" type="#_x0000_t202" filled="false" stroked="false">
              <v:textbox inset="0,0,0,0">
                <w:txbxContent>
                  <w:p>
                    <w:pPr>
                      <w:spacing w:line="183" w:lineRule="exact" w:before="0"/>
                      <w:ind w:left="0" w:right="0" w:firstLine="0"/>
                      <w:jc w:val="left"/>
                      <w:rPr>
                        <w:b/>
                        <w:sz w:val="16"/>
                      </w:rPr>
                    </w:pPr>
                    <w:r>
                      <w:rPr>
                        <w:b/>
                        <w:color w:val="FF0000"/>
                        <w:sz w:val="16"/>
                      </w:rPr>
                      <w:t>$0.00</w:t>
                    </w:r>
                  </w:p>
                </w:txbxContent>
              </v:textbox>
              <w10:wrap type="none"/>
            </v:shape>
            <v:shape style="position:absolute;left:2146;top:2597;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269;top:2597;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411;top:2597;width:197;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549;top:2597;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677;top:2597;width:197;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pStyle w:val="Heading3"/>
        <w:spacing w:before="50"/>
        <w:ind w:left="120"/>
      </w:pPr>
      <w:r>
        <w:rPr/>
        <w:t>NET INCOME PER SHARE, BASIC</w:t>
      </w:r>
    </w:p>
    <w:p>
      <w:pPr>
        <w:pStyle w:val="BodyText"/>
        <w:rPr>
          <w:b/>
          <w:sz w:val="20"/>
        </w:rPr>
      </w:pPr>
    </w:p>
    <w:p>
      <w:pPr>
        <w:pStyle w:val="BodyText"/>
        <w:rPr>
          <w:b/>
          <w:sz w:val="20"/>
        </w:rPr>
      </w:pPr>
    </w:p>
    <w:p>
      <w:pPr>
        <w:pStyle w:val="BodyText"/>
        <w:spacing w:before="6"/>
        <w:rPr>
          <w:b/>
          <w:sz w:val="19"/>
        </w:rPr>
      </w:pPr>
      <w:r>
        <w:rPr/>
        <w:pict>
          <v:group style="position:absolute;margin-left:71.875pt;margin-top:13.184861pt;width:337.45pt;height:126.75pt;mso-position-horizontal-relative:page;mso-position-vertical-relative:paragraph;z-index:1984;mso-wrap-distance-left:0;mso-wrap-distance-right:0" coordorigin="1438,264" coordsize="6749,2535">
            <v:line style="position:absolute" from="7003,1663" to="7349,1663" stroked="true" strokeweight=".24pt" strokecolor="#000000">
              <v:stroke dashstyle="shortdot"/>
            </v:line>
            <v:line style="position:absolute" from="5866,1663" to="6538,1663" stroked="true" strokeweight=".24pt" strokecolor="#000000">
              <v:stroke dashstyle="shortdot"/>
            </v:line>
            <v:line style="position:absolute" from="4723,1663" to="5400,1663" stroked="true" strokeweight=".24pt" strokecolor="#000000">
              <v:stroke dashstyle="shortdot"/>
            </v:line>
            <v:line style="position:absolute" from="3600,1663" to="4277,1663" stroked="true" strokeweight=".24pt" strokecolor="#000000">
              <v:stroke dashstyle="shortdot"/>
            </v:line>
            <v:line style="position:absolute" from="2458,1663" to="3134,1663" stroked="true" strokeweight=".24pt" strokecolor="#000000">
              <v:stroke dashstyle="shortdot"/>
            </v:line>
            <v:line style="position:absolute" from="1666,1663" to="1997,1663" stroked="true" strokeweight=".24pt" strokecolor="#000000">
              <v:stroke dashstyle="shortdot"/>
            </v:line>
            <v:rect style="position:absolute;left:1997;top:1452;width:461;height:720" filled="true" fillcolor="#ff0000" stroked="false">
              <v:fill type="solid"/>
            </v:rect>
            <v:rect style="position:absolute;left:1997;top:1452;width:461;height:720" filled="false" stroked="true" strokeweight="2.16pt" strokecolor="#ffff00">
              <v:stroke dashstyle="solid"/>
            </v:rect>
            <v:rect style="position:absolute;left:3134;top:1332;width:466;height:840" filled="true" fillcolor="#ff0000" stroked="false">
              <v:fill type="solid"/>
            </v:rect>
            <v:rect style="position:absolute;left:3134;top:1332;width:466;height:840" filled="false" stroked="true" strokeweight="2.16pt" strokecolor="#ffff00">
              <v:stroke dashstyle="solid"/>
            </v:rect>
            <v:rect style="position:absolute;left:4277;top:1332;width:446;height:840" filled="true" fillcolor="#ff0000" stroked="false">
              <v:fill type="solid"/>
            </v:rect>
            <v:rect style="position:absolute;left:4277;top:1332;width:446;height:840" filled="false" stroked="true" strokeweight="2.16pt" strokecolor="#ffff00">
              <v:stroke dashstyle="solid"/>
            </v:rect>
            <v:rect style="position:absolute;left:5400;top:1226;width:466;height:946" filled="true" fillcolor="#ff0000" stroked="false">
              <v:fill type="solid"/>
            </v:rect>
            <v:rect style="position:absolute;left:5400;top:1226;width:466;height:946" filled="false" stroked="true" strokeweight="2.16pt" strokecolor="#ffff00">
              <v:stroke dashstyle="solid"/>
            </v:rect>
            <v:line style="position:absolute" from="7003,1149" to="7349,1149" stroked="true" strokeweight=".24pt" strokecolor="#000000">
              <v:stroke dashstyle="shortdot"/>
            </v:line>
            <v:line style="position:absolute" from="1666,1149" to="6538,1149" stroked="true" strokeweight=".24pt" strokecolor="#000000">
              <v:stroke dashstyle="shortdot"/>
            </v:line>
            <v:rect style="position:absolute;left:6538;top:746;width:466;height:1426" filled="true" fillcolor="#ff0000" stroked="false">
              <v:fill type="solid"/>
            </v:rect>
            <v:rect style="position:absolute;left:6538;top:746;width:466;height:1426" filled="false" stroked="true" strokeweight="2.16pt" strokecolor="#ffff00">
              <v:stroke dashstyle="solid"/>
            </v:rect>
            <v:line style="position:absolute" from="1666,641" to="7349,641" stroked="true" strokeweight=".24pt" strokecolor="#000000">
              <v:stroke dashstyle="shortdot"/>
            </v:line>
            <v:line style="position:absolute" from="1666,641" to="1666,2172" stroked="true" strokeweight=".24pt" strokecolor="#000000">
              <v:stroke dashstyle="solid"/>
            </v:line>
            <v:line style="position:absolute" from="1622,2172" to="1666,2172" stroked="true" strokeweight=".24pt" strokecolor="#000000">
              <v:stroke dashstyle="solid"/>
            </v:line>
            <v:line style="position:absolute" from="1622,1663" to="1666,1663" stroked="true" strokeweight=".24pt" strokecolor="#000000">
              <v:stroke dashstyle="solid"/>
            </v:line>
            <v:line style="position:absolute" from="1622,1149" to="1666,1149" stroked="true" strokeweight=".24pt" strokecolor="#000000">
              <v:stroke dashstyle="solid"/>
            </v:line>
            <v:line style="position:absolute" from="1622,641" to="1666,641" stroked="true" strokeweight=".24pt" strokecolor="#000000">
              <v:stroke dashstyle="solid"/>
            </v:line>
            <v:line style="position:absolute" from="1666,2172" to="7349,2172" stroked="true" strokeweight=".24pt" strokecolor="#000000">
              <v:stroke dashstyle="solid"/>
            </v:line>
            <v:line style="position:absolute" from="1666,2215" to="1666,2124" stroked="true" strokeweight=".24pt" strokecolor="#000000">
              <v:stroke dashstyle="solid"/>
            </v:line>
            <v:line style="position:absolute" from="2803,2215" to="2803,2124" stroked="true" strokeweight=".24pt" strokecolor="#000000">
              <v:stroke dashstyle="solid"/>
            </v:line>
            <v:line style="position:absolute" from="3946,2215" to="3946,2124" stroked="true" strokeweight=".24pt" strokecolor="#000000">
              <v:stroke dashstyle="solid"/>
            </v:line>
            <v:line style="position:absolute" from="5069,2215" to="5069,2124" stroked="true" strokeweight=".24pt" strokecolor="#000000">
              <v:stroke dashstyle="solid"/>
            </v:line>
            <v:line style="position:absolute" from="6211,2215" to="6211,2124" stroked="true" strokeweight=".24pt" strokecolor="#000000">
              <v:stroke dashstyle="solid"/>
            </v:line>
            <v:line style="position:absolute" from="7349,2215" to="7349,2124" stroked="true" strokeweight=".24pt" strokecolor="#000000">
              <v:stroke dashstyle="solid"/>
            </v:line>
            <v:rect style="position:absolute;left:1440;top:266;width:6744;height:2530" filled="false" stroked="true" strokeweight=".24pt" strokecolor="#000000">
              <v:stroke dashstyle="solid"/>
            </v:rect>
            <v:shape style="position:absolute;left:6538;top:453;width:427;height:185" type="#_x0000_t202" filled="false" stroked="false">
              <v:textbox inset="0,0,0,0">
                <w:txbxContent>
                  <w:p>
                    <w:pPr>
                      <w:spacing w:line="183" w:lineRule="exact" w:before="0"/>
                      <w:ind w:left="0" w:right="0" w:firstLine="0"/>
                      <w:jc w:val="left"/>
                      <w:rPr>
                        <w:b/>
                        <w:sz w:val="16"/>
                      </w:rPr>
                    </w:pPr>
                    <w:r>
                      <w:rPr>
                        <w:b/>
                        <w:sz w:val="16"/>
                      </w:rPr>
                      <w:t>$1.40</w:t>
                    </w:r>
                  </w:p>
                </w:txbxContent>
              </v:textbox>
              <w10:wrap type="none"/>
            </v:shape>
            <v:shape style="position:absolute;left:7483;top:539;width:427;height:185" type="#_x0000_t202" filled="false" stroked="false">
              <v:textbox inset="0,0,0,0">
                <w:txbxContent>
                  <w:p>
                    <w:pPr>
                      <w:spacing w:line="183" w:lineRule="exact" w:before="0"/>
                      <w:ind w:left="0" w:right="0" w:firstLine="0"/>
                      <w:jc w:val="left"/>
                      <w:rPr>
                        <w:b/>
                        <w:sz w:val="16"/>
                      </w:rPr>
                    </w:pPr>
                    <w:r>
                      <w:rPr>
                        <w:b/>
                        <w:color w:val="FF0000"/>
                        <w:sz w:val="16"/>
                      </w:rPr>
                      <w:t>$1.50</w:t>
                    </w:r>
                  </w:p>
                </w:txbxContent>
              </v:textbox>
              <w10:wrap type="none"/>
            </v:shape>
            <v:shape style="position:absolute;left:3120;top:962;width:427;height:185" type="#_x0000_t202" filled="false" stroked="false">
              <v:textbox inset="0,0,0,0">
                <w:txbxContent>
                  <w:p>
                    <w:pPr>
                      <w:spacing w:line="183" w:lineRule="exact" w:before="0"/>
                      <w:ind w:left="0" w:right="0" w:firstLine="0"/>
                      <w:jc w:val="left"/>
                      <w:rPr>
                        <w:b/>
                        <w:sz w:val="16"/>
                      </w:rPr>
                    </w:pPr>
                    <w:r>
                      <w:rPr>
                        <w:b/>
                        <w:sz w:val="16"/>
                      </w:rPr>
                      <w:t>$0.82</w:t>
                    </w:r>
                  </w:p>
                </w:txbxContent>
              </v:textbox>
              <w10:wrap type="none"/>
            </v:shape>
            <v:shape style="position:absolute;left:4258;top:976;width:427;height:185" type="#_x0000_t202" filled="false" stroked="false">
              <v:textbox inset="0,0,0,0">
                <w:txbxContent>
                  <w:p>
                    <w:pPr>
                      <w:spacing w:line="183" w:lineRule="exact" w:before="0"/>
                      <w:ind w:left="0" w:right="0" w:firstLine="0"/>
                      <w:jc w:val="left"/>
                      <w:rPr>
                        <w:b/>
                        <w:sz w:val="16"/>
                      </w:rPr>
                    </w:pPr>
                    <w:r>
                      <w:rPr>
                        <w:b/>
                        <w:sz w:val="16"/>
                      </w:rPr>
                      <w:t>$0.82</w:t>
                    </w:r>
                  </w:p>
                </w:txbxContent>
              </v:textbox>
              <w10:wrap type="none"/>
            </v:shape>
            <v:shape style="position:absolute;left:5400;top:928;width:427;height:185" type="#_x0000_t202" filled="false" stroked="false">
              <v:textbox inset="0,0,0,0">
                <w:txbxContent>
                  <w:p>
                    <w:pPr>
                      <w:spacing w:line="183" w:lineRule="exact" w:before="0"/>
                      <w:ind w:left="0" w:right="0" w:firstLine="0"/>
                      <w:jc w:val="left"/>
                      <w:rPr>
                        <w:b/>
                        <w:sz w:val="16"/>
                      </w:rPr>
                    </w:pPr>
                    <w:r>
                      <w:rPr>
                        <w:b/>
                        <w:sz w:val="16"/>
                      </w:rPr>
                      <w:t>$0.92</w:t>
                    </w:r>
                  </w:p>
                </w:txbxContent>
              </v:textbox>
              <w10:wrap type="none"/>
            </v:shape>
            <v:shape style="position:absolute;left:1997;top:1154;width:422;height:185" type="#_x0000_t202" filled="false" stroked="false">
              <v:textbox inset="0,0,0,0">
                <w:txbxContent>
                  <w:p>
                    <w:pPr>
                      <w:spacing w:line="183" w:lineRule="exact" w:before="0"/>
                      <w:ind w:left="0" w:right="0" w:firstLine="0"/>
                      <w:jc w:val="left"/>
                      <w:rPr>
                        <w:b/>
                        <w:sz w:val="16"/>
                      </w:rPr>
                    </w:pPr>
                    <w:r>
                      <w:rPr>
                        <w:b/>
                        <w:w w:val="105"/>
                        <w:sz w:val="16"/>
                      </w:rPr>
                      <w:t>$0.70</w:t>
                    </w:r>
                  </w:p>
                </w:txbxContent>
              </v:textbox>
              <w10:wrap type="none"/>
            </v:shape>
            <v:shape style="position:absolute;left:7483;top:1048;width:427;height:1207" type="#_x0000_t202" filled="false" stroked="false">
              <v:textbox inset="0,0,0,0">
                <w:txbxContent>
                  <w:p>
                    <w:pPr>
                      <w:spacing w:line="183" w:lineRule="exact" w:before="0"/>
                      <w:ind w:left="0" w:right="0" w:firstLine="0"/>
                      <w:jc w:val="left"/>
                      <w:rPr>
                        <w:b/>
                        <w:sz w:val="16"/>
                      </w:rPr>
                    </w:pPr>
                    <w:r>
                      <w:rPr>
                        <w:b/>
                        <w:color w:val="FF0000"/>
                        <w:sz w:val="16"/>
                      </w:rPr>
                      <w:t>$1.00</w:t>
                    </w:r>
                  </w:p>
                  <w:p>
                    <w:pPr>
                      <w:spacing w:line="240" w:lineRule="auto" w:before="0"/>
                      <w:rPr>
                        <w:b/>
                        <w:sz w:val="18"/>
                      </w:rPr>
                    </w:pPr>
                  </w:p>
                  <w:p>
                    <w:pPr>
                      <w:spacing w:before="122"/>
                      <w:ind w:left="0" w:right="0" w:firstLine="0"/>
                      <w:jc w:val="left"/>
                      <w:rPr>
                        <w:b/>
                        <w:sz w:val="16"/>
                      </w:rPr>
                    </w:pPr>
                    <w:r>
                      <w:rPr>
                        <w:b/>
                        <w:color w:val="FF0000"/>
                        <w:sz w:val="16"/>
                      </w:rPr>
                      <w:t>$0.50</w:t>
                    </w:r>
                  </w:p>
                  <w:p>
                    <w:pPr>
                      <w:spacing w:line="240" w:lineRule="auto" w:before="0"/>
                      <w:rPr>
                        <w:b/>
                        <w:sz w:val="18"/>
                      </w:rPr>
                    </w:pPr>
                  </w:p>
                  <w:p>
                    <w:pPr>
                      <w:spacing w:before="117"/>
                      <w:ind w:left="0" w:right="0" w:firstLine="0"/>
                      <w:jc w:val="left"/>
                      <w:rPr>
                        <w:b/>
                        <w:sz w:val="16"/>
                      </w:rPr>
                    </w:pPr>
                    <w:r>
                      <w:rPr>
                        <w:b/>
                        <w:color w:val="FF0000"/>
                        <w:sz w:val="16"/>
                      </w:rPr>
                      <w:t>$0.00</w:t>
                    </w:r>
                  </w:p>
                </w:txbxContent>
              </v:textbox>
              <w10:wrap type="none"/>
            </v:shape>
            <v:shape style="position:absolute;left:2146;top:2310;width:4743;height:185" type="#_x0000_t202" filled="false" stroked="false">
              <v:textbox inset="0,0,0,0">
                <w:txbxContent>
                  <w:p>
                    <w:pPr>
                      <w:tabs>
                        <w:tab w:pos="1137" w:val="left" w:leader="none"/>
                        <w:tab w:pos="2279" w:val="left" w:leader="none"/>
                        <w:tab w:pos="3403" w:val="left" w:leader="none"/>
                        <w:tab w:pos="4545" w:val="left" w:leader="none"/>
                      </w:tabs>
                      <w:spacing w:line="183" w:lineRule="exact" w:before="0"/>
                      <w:ind w:left="0" w:right="0" w:firstLine="0"/>
                      <w:jc w:val="left"/>
                      <w:rPr>
                        <w:b/>
                        <w:sz w:val="16"/>
                      </w:rPr>
                    </w:pPr>
                    <w:r>
                      <w:rPr>
                        <w:b/>
                        <w:color w:val="FF0000"/>
                        <w:w w:val="105"/>
                        <w:sz w:val="16"/>
                      </w:rPr>
                      <w:t>93</w:t>
                      <w:tab/>
                      <w:t>94</w:t>
                      <w:tab/>
                      <w:t>95</w:t>
                      <w:tab/>
                      <w:t>96</w:t>
                      <w:tab/>
                    </w:r>
                    <w:r>
                      <w:rPr>
                        <w:b/>
                        <w:color w:val="FF0000"/>
                        <w:spacing w:val="-4"/>
                        <w:w w:val="105"/>
                        <w:sz w:val="16"/>
                      </w:rPr>
                      <w:t>97</w:t>
                    </w:r>
                  </w:p>
                </w:txbxContent>
              </v:textbox>
              <w10:wrap type="none"/>
            </v:shape>
            <w10:wrap type="topAndBottom"/>
          </v:group>
        </w:pict>
      </w:r>
    </w:p>
    <w:p>
      <w:pPr>
        <w:spacing w:before="50"/>
        <w:ind w:left="120" w:right="0" w:firstLine="0"/>
        <w:jc w:val="left"/>
        <w:rPr>
          <w:b/>
          <w:sz w:val="24"/>
        </w:rPr>
      </w:pPr>
      <w:r>
        <w:rPr>
          <w:b/>
          <w:sz w:val="24"/>
        </w:rPr>
        <w:t>NET INCOME PER SHARE, DILUTED</w:t>
      </w:r>
    </w:p>
    <w:p>
      <w:pPr>
        <w:spacing w:after="0"/>
        <w:jc w:val="left"/>
        <w:rPr>
          <w:sz w:val="24"/>
        </w:rPr>
        <w:sectPr>
          <w:footerReference w:type="default" r:id="rId6"/>
          <w:pgSz w:w="12240" w:h="15840"/>
          <w:pgMar w:footer="790" w:header="1592" w:top="2120" w:bottom="980" w:left="1320" w:right="1340"/>
          <w:pgNumType w:start="2"/>
        </w:sectPr>
      </w:pPr>
    </w:p>
    <w:p>
      <w:pPr>
        <w:pStyle w:val="BodyText"/>
        <w:spacing w:before="8"/>
        <w:rPr>
          <w:b/>
        </w:rPr>
      </w:pPr>
    </w:p>
    <w:p>
      <w:pPr>
        <w:spacing w:line="249" w:lineRule="auto" w:before="83"/>
        <w:ind w:left="100" w:right="119" w:firstLine="360"/>
        <w:jc w:val="both"/>
        <w:rPr>
          <w:b/>
          <w:sz w:val="36"/>
        </w:rPr>
      </w:pPr>
      <w:r>
        <w:rPr>
          <w:b/>
          <w:color w:val="008080"/>
          <w:sz w:val="56"/>
        </w:rPr>
        <w:t>S</w:t>
      </w:r>
      <w:r>
        <w:rPr>
          <w:b/>
          <w:color w:val="008080"/>
          <w:sz w:val="36"/>
        </w:rPr>
        <w:t>OUTHWEST AIRLINES IS A SYMBOL OF FREEDOM. </w:t>
      </w:r>
      <w:r>
        <w:rPr>
          <w:b/>
          <w:color w:val="FF0000"/>
          <w:sz w:val="36"/>
        </w:rPr>
        <w:t>SINCE 1971, OUR LOW FARES HAVE GIVEN MILLIONS OF AMERICANS THE FREEDOM TO FLY. FROM OUR FLAG TO OUR OPEN SEATING, FROM OUR ALL-JET FLEET TO OUR DECLARATION OF FREEDOM, OUR SOUTHWEST SPIRIT ILLIMUNATES OUR PAST, GUIDES OUR PRESENT, AND FORGES OUR FUTURE.</w:t>
      </w:r>
    </w:p>
    <w:p>
      <w:pPr>
        <w:pStyle w:val="BodyText"/>
        <w:spacing w:before="10"/>
        <w:rPr>
          <w:b/>
          <w:sz w:val="37"/>
        </w:rPr>
      </w:pPr>
    </w:p>
    <w:p>
      <w:pPr>
        <w:pStyle w:val="BodyText"/>
        <w:spacing w:line="312" w:lineRule="auto"/>
        <w:ind w:left="1540" w:right="215"/>
      </w:pPr>
      <w:r>
        <w:rPr>
          <w:color w:val="FF0000"/>
        </w:rPr>
        <w:t>SOUTHWEST </w:t>
      </w:r>
      <w:r>
        <w:rPr>
          <w:color w:val="FF0000"/>
          <w:spacing w:val="-4"/>
        </w:rPr>
        <w:t>AIRLINES </w:t>
      </w:r>
      <w:r>
        <w:rPr>
          <w:color w:val="FF0000"/>
        </w:rPr>
        <w:t>CO. </w:t>
      </w:r>
      <w:r>
        <w:rPr/>
        <w:t>is the nation’s low fare, high Customer Satisfaction airline. </w:t>
      </w:r>
      <w:r>
        <w:rPr>
          <w:spacing w:val="6"/>
        </w:rPr>
        <w:t>We </w:t>
      </w:r>
      <w:r>
        <w:rPr/>
        <w:t>primarily serve shorthaul city pairs, providing single class air transportation, which targets the business commuter as well as leisure travelers. </w:t>
      </w:r>
      <w:r>
        <w:rPr>
          <w:spacing w:val="2"/>
        </w:rPr>
        <w:t>The </w:t>
      </w:r>
      <w:r>
        <w:rPr/>
        <w:t>Company, incorporated in Texas, commenced Customer Service on June 18, 1971, with three Boeing 737 </w:t>
      </w:r>
      <w:r>
        <w:rPr>
          <w:spacing w:val="2"/>
        </w:rPr>
        <w:t>aircraft </w:t>
      </w:r>
      <w:r>
        <w:rPr/>
        <w:t>serving three Texas cities – Dallas, Houston, and </w:t>
      </w:r>
      <w:r>
        <w:rPr>
          <w:spacing w:val="-3"/>
        </w:rPr>
        <w:t>San </w:t>
      </w:r>
      <w:r>
        <w:rPr/>
        <w:t>Antonio. At yearend 1997, Southwest operated 261 Boeing 737 </w:t>
      </w:r>
      <w:r>
        <w:rPr>
          <w:spacing w:val="2"/>
        </w:rPr>
        <w:t>aircraft </w:t>
      </w:r>
      <w:r>
        <w:rPr/>
        <w:t>and provided service to 52 </w:t>
      </w:r>
      <w:r>
        <w:rPr>
          <w:spacing w:val="2"/>
        </w:rPr>
        <w:t>airports </w:t>
      </w:r>
      <w:r>
        <w:rPr/>
        <w:t>in 51 cities throughout the United </w:t>
      </w:r>
      <w:r>
        <w:rPr>
          <w:spacing w:val="-4"/>
        </w:rPr>
        <w:t>States. </w:t>
      </w:r>
      <w:r>
        <w:rPr/>
        <w:t>Southwest has the lowest operating cost structure in the domestic airline industry  and consistently offers the lowest and simplest fares. Southwest also has one of the best overall Customer Service </w:t>
      </w:r>
      <w:r>
        <w:rPr>
          <w:spacing w:val="2"/>
        </w:rPr>
        <w:t>records. </w:t>
      </w:r>
      <w:r>
        <w:rPr/>
        <w:t>LUV is our stock exchange symbol, selected to </w:t>
      </w:r>
      <w:r>
        <w:rPr>
          <w:spacing w:val="2"/>
        </w:rPr>
        <w:t>represent </w:t>
      </w:r>
      <w:r>
        <w:rPr/>
        <w:t>our home at Dallas Love </w:t>
      </w:r>
      <w:r>
        <w:rPr>
          <w:spacing w:val="2"/>
        </w:rPr>
        <w:t>Field, </w:t>
      </w:r>
      <w:r>
        <w:rPr/>
        <w:t>as well as the theme of our Employee and Customer</w:t>
      </w:r>
      <w:r>
        <w:rPr>
          <w:spacing w:val="-1"/>
        </w:rPr>
        <w:t> </w:t>
      </w:r>
      <w:r>
        <w:rPr/>
        <w:t>relationships.</w:t>
      </w:r>
    </w:p>
    <w:p>
      <w:pPr>
        <w:spacing w:after="0" w:line="312" w:lineRule="auto"/>
        <w:sectPr>
          <w:pgSz w:w="12240" w:h="15840"/>
          <w:pgMar w:header="1592" w:footer="790" w:top="2120" w:bottom="980" w:left="1340" w:right="1320"/>
        </w:sectPr>
      </w:pPr>
    </w:p>
    <w:p>
      <w:pPr>
        <w:pStyle w:val="BodyText"/>
        <w:spacing w:before="8"/>
      </w:pPr>
    </w:p>
    <w:p>
      <w:pPr>
        <w:pStyle w:val="Heading1"/>
        <w:spacing w:line="249" w:lineRule="auto"/>
      </w:pPr>
      <w:r>
        <w:rPr>
          <w:color w:val="008080"/>
          <w:sz w:val="56"/>
        </w:rPr>
        <w:t>T</w:t>
      </w:r>
      <w:r>
        <w:rPr>
          <w:color w:val="008080"/>
        </w:rPr>
        <w:t>O OUR SHAREHOLDERS: </w:t>
      </w:r>
      <w:r>
        <w:rPr>
          <w:color w:val="FF0000"/>
        </w:rPr>
        <w:t>1997 WAS SOUTHWEST AIRLINES’ 25TH CONSECUTIVE YEAR OF PROFITABILITY IN AN INDUSTRY LONG NOTED FOR ITS VULNERABILITY TO ECONOMIC CYCLES. OUR PEOPLE’S ABILITY TO PRODUCE PROFITS IN BAD, AS WELL AS GOOD, ECONOMIC TIMES HAS REWARDED THEM WITH JOB SECURITY AND INCREASING PROSPERITY.</w:t>
      </w:r>
    </w:p>
    <w:p>
      <w:pPr>
        <w:pStyle w:val="BodyText"/>
        <w:spacing w:before="10"/>
        <w:rPr>
          <w:b/>
          <w:sz w:val="37"/>
        </w:rPr>
      </w:pPr>
    </w:p>
    <w:p>
      <w:pPr>
        <w:pStyle w:val="BodyText"/>
        <w:spacing w:line="312" w:lineRule="auto"/>
        <w:ind w:left="1540"/>
      </w:pPr>
      <w:r>
        <w:rPr/>
        <w:t>It has also produced bountiful returns for our Shareholders, including, of course, our Employee-Shareholders. Put very simply, on behalf of our Employees and our Shareholders, our goal for the next 25 years is to replicate our successes of the last 25 years.</w:t>
      </w:r>
    </w:p>
    <w:p>
      <w:pPr>
        <w:pStyle w:val="BodyText"/>
        <w:spacing w:before="7"/>
        <w:rPr>
          <w:sz w:val="31"/>
        </w:rPr>
      </w:pPr>
    </w:p>
    <w:p>
      <w:pPr>
        <w:pStyle w:val="BodyText"/>
        <w:ind w:left="1540"/>
      </w:pPr>
      <w:r>
        <w:rPr/>
        <w:t>Our 1997 earnings of $317.8 million (diluted net income per share of</w:t>
      </w:r>
    </w:p>
    <w:p>
      <w:pPr>
        <w:pStyle w:val="BodyText"/>
        <w:spacing w:line="312" w:lineRule="auto" w:before="84"/>
        <w:ind w:left="1540" w:right="141"/>
      </w:pPr>
      <w:r>
        <w:rPr/>
        <w:t>$1.40) surpassed the $207.3 million of 1996 (diluted net income per share of $.92) by 53.3 percent, as our operating revenues increased 12.1 percent while every category of operating expenses, except salaries, wages, and benefits (up 13.7 percent), increased by a lesser percentage, resulting in an aggregate operating expense growth of 7.8 percent on a</w:t>
      </w:r>
    </w:p>
    <w:p>
      <w:pPr>
        <w:pStyle w:val="BodyText"/>
        <w:spacing w:before="3"/>
        <w:ind w:left="1540"/>
      </w:pPr>
      <w:r>
        <w:rPr/>
        <w:t>9.2 percent expansion of available seat mile capacity.</w:t>
      </w:r>
    </w:p>
    <w:p>
      <w:pPr>
        <w:pStyle w:val="BodyText"/>
        <w:spacing w:before="6"/>
        <w:rPr>
          <w:sz w:val="38"/>
        </w:rPr>
      </w:pPr>
    </w:p>
    <w:p>
      <w:pPr>
        <w:pStyle w:val="BodyText"/>
        <w:spacing w:line="312" w:lineRule="auto"/>
        <w:ind w:left="1540" w:right="239"/>
      </w:pPr>
      <w:r>
        <w:rPr/>
        <w:t>Our first Boeing 737-700s were placed in commercial service in January 1998, and </w:t>
      </w:r>
      <w:r>
        <w:rPr>
          <w:spacing w:val="-3"/>
        </w:rPr>
        <w:t>we </w:t>
      </w:r>
      <w:r>
        <w:rPr/>
        <w:t>anticipate receiving 22 of these greatly advanced and most economical and efficient new model </w:t>
      </w:r>
      <w:r>
        <w:rPr>
          <w:spacing w:val="2"/>
        </w:rPr>
        <w:t>aircraft </w:t>
      </w:r>
      <w:r>
        <w:rPr/>
        <w:t>in 1998. </w:t>
      </w:r>
      <w:r>
        <w:rPr>
          <w:spacing w:val="-4"/>
        </w:rPr>
        <w:t>Because </w:t>
      </w:r>
      <w:r>
        <w:rPr/>
        <w:t>of our confidence in the 737-700 and its importance to the future competitive success of Southwest Airlines, in December 1997 </w:t>
      </w:r>
      <w:r>
        <w:rPr>
          <w:spacing w:val="-3"/>
        </w:rPr>
        <w:t>we </w:t>
      </w:r>
      <w:r>
        <w:rPr/>
        <w:t>exercised options, and placed purchase orders, for 59 additional </w:t>
      </w:r>
      <w:r>
        <w:rPr>
          <w:spacing w:val="2"/>
        </w:rPr>
        <w:t>aircraft, </w:t>
      </w:r>
      <w:r>
        <w:rPr/>
        <w:t>raising our total firm orders to 129 and providing ample coverage, through options, of our potential fleet needs through</w:t>
      </w:r>
      <w:r>
        <w:rPr>
          <w:spacing w:val="13"/>
        </w:rPr>
        <w:t> </w:t>
      </w:r>
      <w:r>
        <w:rPr/>
        <w:t>2006.</w:t>
      </w:r>
    </w:p>
    <w:p>
      <w:pPr>
        <w:spacing w:after="0" w:line="312" w:lineRule="auto"/>
        <w:sectPr>
          <w:pgSz w:w="12240" w:h="15840"/>
          <w:pgMar w:header="1592" w:footer="790" w:top="2120" w:bottom="980" w:left="1340" w:right="1320"/>
        </w:sectPr>
      </w:pPr>
    </w:p>
    <w:p>
      <w:pPr>
        <w:pStyle w:val="BodyText"/>
        <w:rPr>
          <w:sz w:val="20"/>
        </w:rPr>
      </w:pPr>
    </w:p>
    <w:p>
      <w:pPr>
        <w:pStyle w:val="BodyText"/>
        <w:spacing w:line="312" w:lineRule="auto" w:before="207"/>
        <w:ind w:left="1380" w:right="107"/>
      </w:pPr>
      <w:r>
        <w:rPr/>
        <w:t>At present, we anticipate devoting approximately one-third of our 1998 incremental capacity to opening two new cities and the other two-thirds to augmenting service levels in our existing markets.</w:t>
      </w:r>
    </w:p>
    <w:p>
      <w:pPr>
        <w:pStyle w:val="BodyText"/>
        <w:spacing w:before="6"/>
        <w:rPr>
          <w:sz w:val="31"/>
        </w:rPr>
      </w:pPr>
    </w:p>
    <w:p>
      <w:pPr>
        <w:pStyle w:val="BodyText"/>
        <w:spacing w:line="312" w:lineRule="auto"/>
        <w:ind w:left="1379" w:right="107"/>
      </w:pPr>
      <w:r>
        <w:rPr/>
        <w:t>Our People have made Southwest Airlines an enjoyable and exciting place to work, </w:t>
      </w:r>
      <w:r>
        <w:rPr>
          <w:spacing w:val="2"/>
        </w:rPr>
        <w:t>filled </w:t>
      </w:r>
      <w:r>
        <w:rPr/>
        <w:t>with an immense feeling of pride in accomplishment, by them and for our nation. </w:t>
      </w:r>
      <w:r>
        <w:rPr>
          <w:spacing w:val="-4"/>
        </w:rPr>
        <w:t>Every </w:t>
      </w:r>
      <w:r>
        <w:rPr/>
        <w:t>new city that Southwest enters — from Providence to </w:t>
      </w:r>
      <w:r>
        <w:rPr>
          <w:spacing w:val="-3"/>
        </w:rPr>
        <w:t>San </w:t>
      </w:r>
      <w:r>
        <w:rPr/>
        <w:t>Diego and from Seattle to Tampa — immediately experiences enormous increases in air travel for both business and personal </w:t>
      </w:r>
      <w:r>
        <w:rPr>
          <w:spacing w:val="2"/>
        </w:rPr>
        <w:t>reasons. The </w:t>
      </w:r>
      <w:r>
        <w:rPr/>
        <w:t>air service provided by our People frees  Americans to move about their country; enshrines Southwest as a Symbol of Freedom for the United </w:t>
      </w:r>
      <w:r>
        <w:rPr>
          <w:spacing w:val="-4"/>
        </w:rPr>
        <w:t>States; </w:t>
      </w:r>
      <w:r>
        <w:rPr/>
        <w:t>and honors our People as our industry’s foremost Freedom </w:t>
      </w:r>
      <w:r>
        <w:rPr>
          <w:spacing w:val="3"/>
        </w:rPr>
        <w:t>Fighters. </w:t>
      </w:r>
      <w:r>
        <w:rPr>
          <w:i/>
        </w:rPr>
        <w:t>Fortune </w:t>
      </w:r>
      <w:r>
        <w:rPr/>
        <w:t>magazine, after an extensive survey and evaluation, recently pronounced Southwest Airlines the “best place to work for in America.” Our People make it that way: they do well for themselves through doing good for others. I salute their humanistic and altruistic spirits — their goodness that has led to</w:t>
      </w:r>
      <w:r>
        <w:rPr>
          <w:spacing w:val="34"/>
        </w:rPr>
        <w:t> </w:t>
      </w:r>
      <w:r>
        <w:rPr/>
        <w:t>greatness.</w:t>
      </w:r>
    </w:p>
    <w:p>
      <w:pPr>
        <w:pStyle w:val="BodyText"/>
        <w:rPr>
          <w:sz w:val="26"/>
        </w:rPr>
      </w:pPr>
    </w:p>
    <w:p>
      <w:pPr>
        <w:pStyle w:val="BodyText"/>
        <w:spacing w:before="9"/>
        <w:rPr>
          <w:sz w:val="36"/>
        </w:rPr>
      </w:pPr>
    </w:p>
    <w:p>
      <w:pPr>
        <w:pStyle w:val="BodyText"/>
        <w:spacing w:before="1"/>
        <w:ind w:left="5699"/>
      </w:pPr>
      <w:r>
        <w:rPr/>
        <w:t>Most sincerely,</w:t>
      </w:r>
    </w:p>
    <w:p>
      <w:pPr>
        <w:pStyle w:val="BodyText"/>
        <w:rPr>
          <w:sz w:val="26"/>
        </w:rPr>
      </w:pPr>
    </w:p>
    <w:p>
      <w:pPr>
        <w:pStyle w:val="BodyText"/>
        <w:rPr>
          <w:sz w:val="26"/>
        </w:rPr>
      </w:pPr>
    </w:p>
    <w:p>
      <w:pPr>
        <w:pStyle w:val="BodyText"/>
        <w:spacing w:line="312" w:lineRule="auto" w:before="206"/>
        <w:ind w:left="5699" w:right="959"/>
      </w:pPr>
      <w:r>
        <w:rPr/>
        <w:t>Herbert D. Kelleher Chairman, President, and Chief Executive Officer February 1, 1998</w:t>
      </w:r>
    </w:p>
    <w:p>
      <w:pPr>
        <w:spacing w:after="0" w:line="312" w:lineRule="auto"/>
        <w:sectPr>
          <w:pgSz w:w="12240" w:h="15840"/>
          <w:pgMar w:header="1592" w:footer="790" w:top="2120" w:bottom="980" w:left="1500" w:right="1340"/>
        </w:sectPr>
      </w:pPr>
    </w:p>
    <w:p>
      <w:pPr>
        <w:pStyle w:val="BodyText"/>
        <w:spacing w:before="8"/>
      </w:pPr>
    </w:p>
    <w:p>
      <w:pPr>
        <w:pStyle w:val="Heading1"/>
        <w:spacing w:line="249" w:lineRule="auto"/>
        <w:ind w:right="98"/>
      </w:pPr>
      <w:r>
        <w:rPr>
          <w:color w:val="008080"/>
          <w:sz w:val="56"/>
        </w:rPr>
        <w:t>O</w:t>
      </w:r>
      <w:r>
        <w:rPr>
          <w:color w:val="008080"/>
        </w:rPr>
        <w:t>UR SOUTHWEST FLAG </w:t>
      </w:r>
      <w:r>
        <w:rPr>
          <w:color w:val="FF0000"/>
        </w:rPr>
        <w:t>REPRESENTS A HIGH- FLYING TRIBUTE TO OUR PEOPLE </w:t>
      </w:r>
      <w:r>
        <w:rPr>
          <w:color w:val="FF0000"/>
          <w:w w:val="95"/>
        </w:rPr>
        <w:t>— </w:t>
      </w:r>
      <w:r>
        <w:rPr>
          <w:color w:val="FF0000"/>
        </w:rPr>
        <w:t>A SKY-BLUE FIELD EMBRACING OUR FAMOUS WINGED HEART, A CONSTANT REMINDER OF OUR PROUD BEGINNINGS AT DALLAS LOVE FIELD.</w:t>
      </w:r>
    </w:p>
    <w:p>
      <w:pPr>
        <w:pStyle w:val="BodyText"/>
        <w:spacing w:before="10"/>
        <w:rPr>
          <w:b/>
          <w:sz w:val="37"/>
        </w:rPr>
      </w:pPr>
    </w:p>
    <w:p>
      <w:pPr>
        <w:pStyle w:val="BodyText"/>
        <w:spacing w:line="312" w:lineRule="auto"/>
        <w:ind w:left="1540" w:right="169"/>
      </w:pPr>
      <w:r>
        <w:rPr/>
        <w:t>Southwest started 26 years ago with only three planes serving three Texas cities. From those humble beginnings, we grew steadily over the years. Now, we operate the largest Boeing 737 fleet in the world and proudly serve much of the United States, coast to coast. But we have never forgotten our calling, giving Americans the freedom to fly.</w:t>
      </w:r>
    </w:p>
    <w:p>
      <w:pPr>
        <w:pStyle w:val="BodyText"/>
        <w:spacing w:before="7"/>
        <w:rPr>
          <w:sz w:val="31"/>
        </w:rPr>
      </w:pPr>
    </w:p>
    <w:p>
      <w:pPr>
        <w:pStyle w:val="BodyText"/>
        <w:spacing w:line="312" w:lineRule="auto"/>
        <w:ind w:left="1540" w:right="169"/>
      </w:pPr>
      <w:r>
        <w:rPr/>
        <w:t>Since the beginning, Southwest has also stood for low fares. Before Southwest, it was just too expensive to fly. Even today, in markets we do not serve, fares are three times higher, or more, than our everyday coach fares. That puts air travel out of reach of most Americans and puts Southwest fares in great demand across the United States. Last year alone, there were over 100 cities requesting our service. It is not surprising, given that we are a boost to local economies. And for Southwest, it’s a vast air travel market opportunity mostly ignored by our competitors.</w:t>
      </w:r>
    </w:p>
    <w:p>
      <w:pPr>
        <w:pStyle w:val="BodyText"/>
        <w:spacing w:before="7"/>
        <w:rPr>
          <w:sz w:val="31"/>
        </w:rPr>
      </w:pPr>
    </w:p>
    <w:p>
      <w:pPr>
        <w:pStyle w:val="BodyText"/>
        <w:spacing w:line="312" w:lineRule="auto"/>
        <w:ind w:left="1540" w:right="144"/>
      </w:pPr>
      <w:r>
        <w:rPr/>
        <w:t>Since the beginning, Southwest has also stood for the highest standards of quality. </w:t>
      </w:r>
      <w:r>
        <w:rPr>
          <w:spacing w:val="6"/>
        </w:rPr>
        <w:t>We </w:t>
      </w:r>
      <w:r>
        <w:rPr/>
        <w:t>don’t and won’t sacrifice quality for low cost. In fact, at Southwest, it’s just the opposite. Not only do Customers get the lowest price, they get the best </w:t>
      </w:r>
      <w:r>
        <w:rPr>
          <w:u w:val="single"/>
        </w:rPr>
        <w:t>Service</w:t>
      </w:r>
      <w:r>
        <w:rPr/>
        <w:t>. Consider the following: </w:t>
      </w:r>
      <w:r>
        <w:rPr>
          <w:spacing w:val="-3"/>
        </w:rPr>
        <w:t>we </w:t>
      </w:r>
      <w:r>
        <w:rPr/>
        <w:t>operate one of the youngest, most efficient, and most reliable fleets in the world; our Employees are topnotch, highly skilled, tremendously experienced industry leaders; and our history clearly demonstrates our commitment to quality as </w:t>
      </w:r>
      <w:r>
        <w:rPr>
          <w:spacing w:val="-3"/>
        </w:rPr>
        <w:t>we </w:t>
      </w:r>
      <w:r>
        <w:rPr/>
        <w:t>are a perennial leader in safety, ontime performance, baggage handling, and fewest canceled</w:t>
      </w:r>
      <w:r>
        <w:rPr>
          <w:spacing w:val="18"/>
        </w:rPr>
        <w:t> </w:t>
      </w:r>
      <w:r>
        <w:rPr/>
        <w:t>flights.</w:t>
      </w:r>
    </w:p>
    <w:p>
      <w:pPr>
        <w:spacing w:after="0" w:line="312" w:lineRule="auto"/>
        <w:sectPr>
          <w:pgSz w:w="12240" w:h="15840"/>
          <w:pgMar w:header="1592" w:footer="790" w:top="2120" w:bottom="980" w:left="1340" w:right="1340"/>
        </w:sectPr>
      </w:pPr>
    </w:p>
    <w:p>
      <w:pPr>
        <w:pStyle w:val="BodyText"/>
        <w:rPr>
          <w:sz w:val="20"/>
        </w:rPr>
      </w:pPr>
    </w:p>
    <w:p>
      <w:pPr>
        <w:pStyle w:val="BodyText"/>
        <w:spacing w:line="312" w:lineRule="auto" w:before="207"/>
        <w:ind w:left="1540" w:right="141"/>
      </w:pPr>
      <w:r>
        <w:rPr/>
        <w:t>For the second year in a row, Southwest was rated at the top in terms of quality service in the Airline Quality Rating study, conducted annually by the W. Frank Barton School of Business at Wichita State University and the University of Nebraska at Omaha. Southwest also ranked number one in </w:t>
      </w:r>
      <w:r>
        <w:rPr>
          <w:i/>
        </w:rPr>
        <w:t>Money </w:t>
      </w:r>
      <w:r>
        <w:rPr/>
        <w:t>magazine’s first rating of the major United States carriers in 1997, which was based on safety, price, ontime performance, baggage handling, and Customer Service.</w:t>
      </w:r>
    </w:p>
    <w:p>
      <w:pPr>
        <w:pStyle w:val="BodyText"/>
        <w:spacing w:before="6"/>
        <w:rPr>
          <w:sz w:val="31"/>
        </w:rPr>
      </w:pPr>
    </w:p>
    <w:p>
      <w:pPr>
        <w:pStyle w:val="BodyText"/>
        <w:spacing w:line="312" w:lineRule="auto"/>
        <w:ind w:left="1540" w:right="239"/>
      </w:pPr>
      <w:r>
        <w:rPr/>
        <w:t>And, finally, since the beginning, Southwest has been dedicated to People: our Employees and our Customers. </w:t>
      </w:r>
      <w:r>
        <w:rPr>
          <w:i/>
        </w:rPr>
        <w:t>Fortune </w:t>
      </w:r>
      <w:r>
        <w:rPr/>
        <w:t>magazine recently named Southwest as the best company to work for in America. And for our seventh straight year, we had the best Customer Satisfaction record of any major United States airline, based on statistics published by the Department of Transportation.</w:t>
      </w:r>
    </w:p>
    <w:p>
      <w:pPr>
        <w:pStyle w:val="BodyText"/>
        <w:spacing w:before="1"/>
        <w:rPr>
          <w:sz w:val="31"/>
        </w:rPr>
      </w:pPr>
    </w:p>
    <w:p>
      <w:pPr>
        <w:pStyle w:val="Heading3"/>
        <w:spacing w:line="312" w:lineRule="auto"/>
        <w:ind w:left="100" w:right="117"/>
        <w:jc w:val="both"/>
      </w:pPr>
      <w:r>
        <w:rPr>
          <w:color w:val="008080"/>
        </w:rPr>
        <w:t>“WHEN I PLEDGE MY ALLEGIANCE TO THE UNITED STATES OF AMERICA, I SILENTLY ADD MY ALLEGIANCE TO SOUTHWEST AIRLINES. THIS IS MORE THAN A COMPANY, IT IS A CRUSADE.”</w:t>
      </w:r>
    </w:p>
    <w:p>
      <w:pPr>
        <w:pStyle w:val="BodyText"/>
        <w:spacing w:before="6"/>
        <w:rPr>
          <w:b/>
          <w:sz w:val="31"/>
        </w:rPr>
      </w:pPr>
    </w:p>
    <w:p>
      <w:pPr>
        <w:spacing w:line="312" w:lineRule="auto" w:before="0"/>
        <w:ind w:left="5140" w:right="1832" w:firstLine="0"/>
        <w:jc w:val="left"/>
        <w:rPr>
          <w:b/>
          <w:sz w:val="24"/>
        </w:rPr>
      </w:pPr>
      <w:r>
        <w:rPr>
          <w:b/>
          <w:color w:val="FF0000"/>
          <w:sz w:val="24"/>
        </w:rPr>
        <w:t>Elizabeth P. Sartain Vice President -People</w:t>
      </w:r>
    </w:p>
    <w:p>
      <w:pPr>
        <w:spacing w:after="0" w:line="312" w:lineRule="auto"/>
        <w:jc w:val="left"/>
        <w:rPr>
          <w:sz w:val="24"/>
        </w:rPr>
        <w:sectPr>
          <w:pgSz w:w="12240" w:h="15840"/>
          <w:pgMar w:header="1592" w:footer="790" w:top="2120" w:bottom="980" w:left="134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6.75pt;height:135.85pt;mso-position-horizontal-relative:char;mso-position-vertical-relative:line" coordorigin="0,0" coordsize="6735,2717">
            <v:line style="position:absolute" from="5686,1231" to="6031,1231" stroked="true" strokeweight=".24pt" strokecolor="#000000">
              <v:stroke dashstyle="shortdot"/>
            </v:line>
            <v:line style="position:absolute" from="4534,1231" to="5220,1231" stroked="true" strokeweight=".24pt" strokecolor="#000000">
              <v:stroke dashstyle="shortdot"/>
            </v:line>
            <v:line style="position:absolute" from="3363,1231" to="4054,1231" stroked="true" strokeweight=".24pt" strokecolor="#000000">
              <v:stroke dashstyle="shortdot"/>
            </v:line>
            <v:line style="position:absolute" from="2206,1231" to="2897,1231" stroked="true" strokeweight=".24pt" strokecolor="#000000">
              <v:stroke dashstyle="shortdot"/>
            </v:line>
            <v:line style="position:absolute" from="1039,1231" to="1726,1231" stroked="true" strokeweight=".24pt" strokecolor="#000000">
              <v:stroke dashstyle="shortdot"/>
            </v:line>
            <v:line style="position:absolute" from="228,1231" to="574,1231" stroked="true" strokeweight=".24pt" strokecolor="#000000">
              <v:stroke dashstyle="shortdot"/>
            </v:line>
            <v:rect style="position:absolute;left:574;top:665;width:466;height:1426" filled="true" fillcolor="#ff0000" stroked="false">
              <v:fill type="solid"/>
            </v:rect>
            <v:rect style="position:absolute;left:574;top:665;width:466;height:1426" filled="false" stroked="true" strokeweight="2.16pt" strokecolor="#ffff00">
              <v:stroke dashstyle="solid"/>
            </v:rect>
            <v:rect style="position:absolute;left:1726;top:708;width:480;height:1382" filled="true" fillcolor="#ff0000" stroked="false">
              <v:fill type="solid"/>
            </v:rect>
            <v:rect style="position:absolute;left:1726;top:708;width:480;height:1382" filled="false" stroked="true" strokeweight="2.16pt" strokecolor="#ffff00">
              <v:stroke dashstyle="solid"/>
            </v:rect>
            <v:rect style="position:absolute;left:2897;top:723;width:466;height:1368" filled="true" fillcolor="#ff0000" stroked="false">
              <v:fill type="solid"/>
            </v:rect>
            <v:rect style="position:absolute;left:2897;top:723;width:466;height:1368" filled="false" stroked="true" strokeweight="2.16pt" strokecolor="#ffff00">
              <v:stroke dashstyle="solid"/>
            </v:rect>
            <v:rect style="position:absolute;left:4054;top:665;width:480;height:1426" filled="true" fillcolor="#ff0000" stroked="false">
              <v:fill type="solid"/>
            </v:rect>
            <v:rect style="position:absolute;left:4054;top:665;width:480;height:1426" filled="false" stroked="true" strokeweight="2.16pt" strokecolor="#ffff00">
              <v:stroke dashstyle="solid"/>
            </v:rect>
            <v:rect style="position:absolute;left:5220;top:617;width:466;height:1474" filled="true" fillcolor="#ff0000" stroked="false">
              <v:fill type="solid"/>
            </v:rect>
            <v:rect style="position:absolute;left:5220;top:617;width:466;height:1474" filled="false" stroked="true" strokeweight="2.16pt" strokecolor="#ffff00">
              <v:stroke dashstyle="solid"/>
            </v:rect>
            <v:line style="position:absolute" from="228,377" to="6031,377" stroked="true" strokeweight=".24pt" strokecolor="#000000">
              <v:stroke dashstyle="shortdot"/>
            </v:line>
            <v:line style="position:absolute" from="228,377" to="228,2090" stroked="true" strokeweight=".24pt" strokecolor="#000000">
              <v:stroke dashstyle="solid"/>
            </v:line>
            <v:line style="position:absolute" from="185,2091" to="228,2091" stroked="true" strokeweight=".24pt" strokecolor="#000000">
              <v:stroke dashstyle="solid"/>
            </v:line>
            <v:line style="position:absolute" from="185,1231" to="228,1231" stroked="true" strokeweight=".24pt" strokecolor="#000000">
              <v:stroke dashstyle="solid"/>
            </v:line>
            <v:line style="position:absolute" from="185,377" to="228,377" stroked="true" strokeweight=".24pt" strokecolor="#000000">
              <v:stroke dashstyle="solid"/>
            </v:line>
            <v:line style="position:absolute" from="228,2091" to="6031,2091" stroked="true" strokeweight=".24pt" strokecolor="#000000">
              <v:stroke dashstyle="solid"/>
            </v:line>
            <v:line style="position:absolute" from="228,2134" to="228,2043" stroked="true" strokeweight=".24pt" strokecolor="#000000">
              <v:stroke dashstyle="solid"/>
            </v:line>
            <v:line style="position:absolute" from="1385,2134" to="1385,2043" stroked="true" strokeweight=".24pt" strokecolor="#000000">
              <v:stroke dashstyle="solid"/>
            </v:line>
            <v:line style="position:absolute" from="2551,2134" to="2551,2043" stroked="true" strokeweight=".24pt" strokecolor="#000000">
              <v:stroke dashstyle="solid"/>
            </v:line>
            <v:line style="position:absolute" from="3708,2134" to="3708,2043" stroked="true" strokeweight=".24pt" strokecolor="#000000">
              <v:stroke dashstyle="solid"/>
            </v:line>
            <v:line style="position:absolute" from="4879,2134" to="4879,2043" stroked="true" strokeweight=".24pt" strokecolor="#000000">
              <v:stroke dashstyle="solid"/>
            </v:line>
            <v:line style="position:absolute" from="6031,2134" to="6031,2043" stroked="true" strokeweight=".24pt" strokecolor="#000000">
              <v:stroke dashstyle="solid"/>
            </v:line>
            <v:rect style="position:absolute;left:3;top:3;width:6730;height:2712" filled="false" stroked="true" strokeweight=".24pt" strokecolor="#000000">
              <v:stroke dashstyle="solid"/>
            </v:rect>
            <v:shape style="position:absolute;left:574;top:367;width:487;height:185" type="#_x0000_t202" filled="false" stroked="false">
              <v:textbox inset="0,0,0,0">
                <w:txbxContent>
                  <w:p>
                    <w:pPr>
                      <w:spacing w:line="183" w:lineRule="exact" w:before="0"/>
                      <w:ind w:left="0" w:right="0" w:firstLine="0"/>
                      <w:jc w:val="left"/>
                      <w:rPr>
                        <w:b/>
                        <w:sz w:val="16"/>
                      </w:rPr>
                    </w:pPr>
                    <w:r>
                      <w:rPr>
                        <w:b/>
                        <w:w w:val="105"/>
                        <w:sz w:val="16"/>
                      </w:rPr>
                      <w:t>8.35 ¢</w:t>
                    </w:r>
                  </w:p>
                </w:txbxContent>
              </v:textbox>
              <w10:wrap type="none"/>
            </v:shape>
            <v:shape style="position:absolute;left:1726;top:410;width:487;height:185" type="#_x0000_t202" filled="false" stroked="false">
              <v:textbox inset="0,0,0,0">
                <w:txbxContent>
                  <w:p>
                    <w:pPr>
                      <w:spacing w:line="183" w:lineRule="exact" w:before="0"/>
                      <w:ind w:left="0" w:right="0" w:firstLine="0"/>
                      <w:jc w:val="left"/>
                      <w:rPr>
                        <w:b/>
                        <w:sz w:val="16"/>
                      </w:rPr>
                    </w:pPr>
                    <w:r>
                      <w:rPr>
                        <w:b/>
                        <w:w w:val="105"/>
                        <w:sz w:val="16"/>
                      </w:rPr>
                      <w:t>8.07 ¢</w:t>
                    </w:r>
                  </w:p>
                </w:txbxContent>
              </v:textbox>
              <w10:wrap type="none"/>
            </v:shape>
            <v:shape style="position:absolute;left:2897;top:429;width:487;height:185" type="#_x0000_t202" filled="false" stroked="false">
              <v:textbox inset="0,0,0,0">
                <w:txbxContent>
                  <w:p>
                    <w:pPr>
                      <w:spacing w:line="183" w:lineRule="exact" w:before="0"/>
                      <w:ind w:left="0" w:right="0" w:firstLine="0"/>
                      <w:jc w:val="left"/>
                      <w:rPr>
                        <w:b/>
                        <w:sz w:val="16"/>
                      </w:rPr>
                    </w:pPr>
                    <w:r>
                      <w:rPr>
                        <w:b/>
                        <w:w w:val="105"/>
                        <w:sz w:val="16"/>
                      </w:rPr>
                      <w:t>7.94 ¢</w:t>
                    </w:r>
                  </w:p>
                </w:txbxContent>
              </v:textbox>
              <w10:wrap type="none"/>
            </v:shape>
            <v:shape style="position:absolute;left:4068;top:367;width:487;height:185" type="#_x0000_t202" filled="false" stroked="false">
              <v:textbox inset="0,0,0,0">
                <w:txbxContent>
                  <w:p>
                    <w:pPr>
                      <w:spacing w:line="183" w:lineRule="exact" w:before="0"/>
                      <w:ind w:left="0" w:right="0" w:firstLine="0"/>
                      <w:jc w:val="left"/>
                      <w:rPr>
                        <w:b/>
                        <w:sz w:val="16"/>
                      </w:rPr>
                    </w:pPr>
                    <w:r>
                      <w:rPr>
                        <w:b/>
                        <w:w w:val="105"/>
                        <w:sz w:val="16"/>
                      </w:rPr>
                      <w:t>8.36 ¢</w:t>
                    </w:r>
                  </w:p>
                </w:txbxContent>
              </v:textbox>
              <w10:wrap type="none"/>
            </v:shape>
            <v:shape style="position:absolute;left:5220;top:367;width:492;height:185" type="#_x0000_t202" filled="false" stroked="false">
              <v:textbox inset="0,0,0,0">
                <w:txbxContent>
                  <w:p>
                    <w:pPr>
                      <w:spacing w:line="183" w:lineRule="exact" w:before="0"/>
                      <w:ind w:left="0" w:right="0" w:firstLine="0"/>
                      <w:jc w:val="left"/>
                      <w:rPr>
                        <w:b/>
                        <w:sz w:val="16"/>
                      </w:rPr>
                    </w:pPr>
                    <w:r>
                      <w:rPr>
                        <w:b/>
                        <w:w w:val="105"/>
                        <w:sz w:val="16"/>
                      </w:rPr>
                      <w:t>8.58 ¢</w:t>
                    </w:r>
                  </w:p>
                </w:txbxContent>
              </v:textbox>
              <w10:wrap type="none"/>
            </v:shape>
            <v:shape style="position:absolute;left:6166;top:275;width:352;height:185" type="#_x0000_t202" filled="false" stroked="false">
              <v:textbox inset="0,0,0,0">
                <w:txbxContent>
                  <w:p>
                    <w:pPr>
                      <w:spacing w:line="183" w:lineRule="exact" w:before="0"/>
                      <w:ind w:left="0" w:right="0" w:firstLine="0"/>
                      <w:jc w:val="left"/>
                      <w:rPr>
                        <w:b/>
                        <w:sz w:val="16"/>
                      </w:rPr>
                    </w:pPr>
                    <w:r>
                      <w:rPr>
                        <w:b/>
                        <w:color w:val="FF0000"/>
                        <w:w w:val="105"/>
                        <w:sz w:val="16"/>
                      </w:rPr>
                      <w:t>10 ¢</w:t>
                    </w:r>
                  </w:p>
                </w:txbxContent>
              </v:textbox>
              <w10:wrap type="none"/>
            </v:shape>
            <v:shape style="position:absolute;left:6166;top:1135;width:266;height:185" type="#_x0000_t202" filled="false" stroked="false">
              <v:textbox inset="0,0,0,0">
                <w:txbxContent>
                  <w:p>
                    <w:pPr>
                      <w:spacing w:line="183" w:lineRule="exact" w:before="0"/>
                      <w:ind w:left="0" w:right="0" w:firstLine="0"/>
                      <w:jc w:val="left"/>
                      <w:rPr>
                        <w:b/>
                        <w:sz w:val="16"/>
                      </w:rPr>
                    </w:pPr>
                    <w:r>
                      <w:rPr>
                        <w:b/>
                        <w:color w:val="FF0000"/>
                        <w:w w:val="105"/>
                        <w:sz w:val="16"/>
                      </w:rPr>
                      <w:t>5 ¢</w:t>
                    </w:r>
                  </w:p>
                </w:txbxContent>
              </v:textbox>
              <w10:wrap type="none"/>
            </v:shape>
            <v:shape style="position:absolute;left:6166;top:1989;width:266;height:185" type="#_x0000_t202" filled="false" stroked="false">
              <v:textbox inset="0,0,0,0">
                <w:txbxContent>
                  <w:p>
                    <w:pPr>
                      <w:spacing w:line="183" w:lineRule="exact" w:before="0"/>
                      <w:ind w:left="0" w:right="0" w:firstLine="0"/>
                      <w:jc w:val="left"/>
                      <w:rPr>
                        <w:b/>
                        <w:sz w:val="16"/>
                      </w:rPr>
                    </w:pPr>
                    <w:r>
                      <w:rPr>
                        <w:b/>
                        <w:color w:val="FF0000"/>
                        <w:w w:val="105"/>
                        <w:sz w:val="16"/>
                      </w:rPr>
                      <w:t>0 ¢</w:t>
                    </w:r>
                  </w:p>
                </w:txbxContent>
              </v:textbox>
              <w10:wrap type="none"/>
            </v:shape>
            <v:shape style="position:absolute;left:723;top:2229;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79;top:2229;width:197;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3046;top:2229;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203;top:2229;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359;top:2229;width:197;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spacing w:before="51"/>
        <w:ind w:left="120" w:right="0" w:firstLine="0"/>
        <w:jc w:val="left"/>
        <w:rPr>
          <w:b/>
          <w:sz w:val="24"/>
        </w:rPr>
      </w:pPr>
      <w:r>
        <w:rPr>
          <w:b/>
          <w:sz w:val="24"/>
        </w:rPr>
        <w:t>OPERATING REVENUE PER AVAILABLE SEAT MILE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0"/>
        </w:rPr>
      </w:pPr>
      <w:r>
        <w:rPr/>
        <w:pict>
          <v:group style="position:absolute;margin-left:71.875pt;margin-top:8.186780pt;width:339.15pt;height:129.85pt;mso-position-horizontal-relative:page;mso-position-vertical-relative:paragraph;z-index:2656;mso-wrap-distance-left:0;mso-wrap-distance-right:0" coordorigin="1438,164" coordsize="6783,2597">
            <v:line style="position:absolute" from="7157,1337" to="7517,1337" stroked="true" strokeweight=".24pt" strokecolor="#000000">
              <v:stroke dashstyle="shortdot"/>
            </v:line>
            <v:line style="position:absolute" from="5986,1337" to="6691,1337" stroked="true" strokeweight=".24pt" strokecolor="#000000">
              <v:stroke dashstyle="shortdot"/>
            </v:line>
            <v:line style="position:absolute" from="4814,1337" to="5520,1337" stroked="true" strokeweight=".24pt" strokecolor="#000000">
              <v:stroke dashstyle="shortdot"/>
            </v:line>
            <v:line style="position:absolute" from="3648,1337" to="4349,1337" stroked="true" strokeweight=".24pt" strokecolor="#000000">
              <v:stroke dashstyle="shortdot"/>
            </v:line>
            <v:line style="position:absolute" from="2477,1337" to="3182,1337" stroked="true" strokeweight=".24pt" strokecolor="#000000">
              <v:stroke dashstyle="shortdot"/>
            </v:line>
            <v:line style="position:absolute" from="1666,1337" to="2011,1337" stroked="true" strokeweight=".24pt" strokecolor="#000000">
              <v:stroke dashstyle="shortdot"/>
            </v:line>
            <v:rect style="position:absolute;left:2011;top:977;width:466;height:1157" filled="true" fillcolor="#ff0000" stroked="false">
              <v:fill type="solid"/>
            </v:rect>
            <v:rect style="position:absolute;left:2011;top:977;width:466;height:1157" filled="false" stroked="true" strokeweight="2.16pt" strokecolor="#ffff00">
              <v:stroke dashstyle="solid"/>
            </v:rect>
            <v:rect style="position:absolute;left:3182;top:1006;width:466;height:1128" filled="true" fillcolor="#ff0000" stroked="false">
              <v:fill type="solid"/>
            </v:rect>
            <v:rect style="position:absolute;left:3182;top:1006;width:466;height:1128" filled="false" stroked="true" strokeweight="2.16pt" strokecolor="#ffff00">
              <v:stroke dashstyle="solid"/>
            </v:rect>
            <v:rect style="position:absolute;left:4349;top:1006;width:466;height:1128" filled="true" fillcolor="#ff0000" stroked="false">
              <v:fill type="solid"/>
            </v:rect>
            <v:rect style="position:absolute;left:4349;top:1006;width:466;height:1128" filled="false" stroked="true" strokeweight="2.16pt" strokecolor="#ffff00">
              <v:stroke dashstyle="solid"/>
            </v:rect>
            <v:rect style="position:absolute;left:5520;top:949;width:466;height:1186" filled="true" fillcolor="#ff0000" stroked="false">
              <v:fill type="solid"/>
            </v:rect>
            <v:rect style="position:absolute;left:5520;top:949;width:466;height:1186" filled="false" stroked="true" strokeweight="2.16pt" strokecolor="#ffff00">
              <v:stroke dashstyle="solid"/>
            </v:rect>
            <v:rect style="position:absolute;left:6691;top:963;width:466;height:1171" filled="true" fillcolor="#ff0000" stroked="false">
              <v:fill type="solid"/>
            </v:rect>
            <v:rect style="position:absolute;left:6691;top:963;width:466;height:1171" filled="false" stroked="true" strokeweight="2.16pt" strokecolor="#ffff00">
              <v:stroke dashstyle="solid"/>
            </v:rect>
            <v:line style="position:absolute" from="1666,541" to="7517,541" stroked="true" strokeweight=".24pt" strokecolor="#000000">
              <v:stroke dashstyle="shortdot"/>
            </v:line>
            <v:line style="position:absolute" from="1666,541" to="1666,2134" stroked="true" strokeweight=".24pt" strokecolor="#000000">
              <v:stroke dashstyle="solid"/>
            </v:line>
            <v:line style="position:absolute" from="1622,2134" to="1666,2134" stroked="true" strokeweight=".24pt" strokecolor="#000000">
              <v:stroke dashstyle="solid"/>
            </v:line>
            <v:line style="position:absolute" from="1622,1337" to="1666,1337" stroked="true" strokeweight=".24pt" strokecolor="#000000">
              <v:stroke dashstyle="solid"/>
            </v:line>
            <v:line style="position:absolute" from="1622,541" to="1666,541" stroked="true" strokeweight=".24pt" strokecolor="#000000">
              <v:stroke dashstyle="solid"/>
            </v:line>
            <v:line style="position:absolute" from="1666,2134" to="7517,2134" stroked="true" strokeweight=".24pt" strokecolor="#000000">
              <v:stroke dashstyle="solid"/>
            </v:line>
            <v:line style="position:absolute" from="1666,2177" to="1666,2086" stroked="true" strokeweight=".24pt" strokecolor="#000000">
              <v:stroke dashstyle="solid"/>
            </v:line>
            <v:line style="position:absolute" from="2837,2177" to="2837,2086" stroked="true" strokeweight=".24pt" strokecolor="#000000">
              <v:stroke dashstyle="solid"/>
            </v:line>
            <v:line style="position:absolute" from="4008,2177" to="4008,2086" stroked="true" strokeweight=".24pt" strokecolor="#000000">
              <v:stroke dashstyle="solid"/>
            </v:line>
            <v:line style="position:absolute" from="5174,2177" to="5174,2086" stroked="true" strokeweight=".24pt" strokecolor="#000000">
              <v:stroke dashstyle="solid"/>
            </v:line>
            <v:line style="position:absolute" from="6346,2177" to="6346,2086" stroked="true" strokeweight=".24pt" strokecolor="#000000">
              <v:stroke dashstyle="solid"/>
            </v:line>
            <v:line style="position:absolute" from="7517,2177" to="7517,2086" stroked="true" strokeweight=".24pt" strokecolor="#000000">
              <v:stroke dashstyle="solid"/>
            </v:line>
            <v:rect style="position:absolute;left:1440;top:166;width:6778;height:2592" filled="false" stroked="true" strokeweight=".24pt" strokecolor="#000000">
              <v:stroke dashstyle="solid"/>
            </v:rect>
            <v:shape style="position:absolute;left:7651;top:439;width:352;height:185" type="#_x0000_t202" filled="false" stroked="false">
              <v:textbox inset="0,0,0,0">
                <w:txbxContent>
                  <w:p>
                    <w:pPr>
                      <w:spacing w:line="183" w:lineRule="exact" w:before="0"/>
                      <w:ind w:left="0" w:right="0" w:firstLine="0"/>
                      <w:jc w:val="left"/>
                      <w:rPr>
                        <w:b/>
                        <w:sz w:val="16"/>
                      </w:rPr>
                    </w:pPr>
                    <w:r>
                      <w:rPr>
                        <w:b/>
                        <w:color w:val="FF0000"/>
                        <w:w w:val="105"/>
                        <w:sz w:val="16"/>
                      </w:rPr>
                      <w:t>10 ¢</w:t>
                    </w:r>
                  </w:p>
                </w:txbxContent>
              </v:textbox>
              <w10:wrap type="none"/>
            </v:shape>
            <v:shape style="position:absolute;left:2011;top:679;width:487;height:185" type="#_x0000_t202" filled="false" stroked="false">
              <v:textbox inset="0,0,0,0">
                <w:txbxContent>
                  <w:p>
                    <w:pPr>
                      <w:spacing w:line="183" w:lineRule="exact" w:before="0"/>
                      <w:ind w:left="0" w:right="0" w:firstLine="0"/>
                      <w:jc w:val="left"/>
                      <w:rPr>
                        <w:b/>
                        <w:sz w:val="16"/>
                      </w:rPr>
                    </w:pPr>
                    <w:r>
                      <w:rPr>
                        <w:b/>
                        <w:w w:val="105"/>
                        <w:sz w:val="16"/>
                      </w:rPr>
                      <w:t>7.25 ¢</w:t>
                    </w:r>
                  </w:p>
                </w:txbxContent>
              </v:textbox>
              <w10:wrap type="none"/>
            </v:shape>
            <v:shape style="position:absolute;left:3182;top:713;width:487;height:185" type="#_x0000_t202" filled="false" stroked="false">
              <v:textbox inset="0,0,0,0">
                <w:txbxContent>
                  <w:p>
                    <w:pPr>
                      <w:spacing w:line="183" w:lineRule="exact" w:before="0"/>
                      <w:ind w:left="0" w:right="0" w:firstLine="0"/>
                      <w:jc w:val="left"/>
                      <w:rPr>
                        <w:b/>
                        <w:sz w:val="16"/>
                      </w:rPr>
                    </w:pPr>
                    <w:r>
                      <w:rPr>
                        <w:b/>
                        <w:w w:val="105"/>
                        <w:sz w:val="16"/>
                      </w:rPr>
                      <w:t>7.08 ¢</w:t>
                    </w:r>
                  </w:p>
                </w:txbxContent>
              </v:textbox>
              <w10:wrap type="none"/>
            </v:shape>
            <v:shape style="position:absolute;left:4349;top:713;width:492;height:185" type="#_x0000_t202" filled="false" stroked="false">
              <v:textbox inset="0,0,0,0">
                <w:txbxContent>
                  <w:p>
                    <w:pPr>
                      <w:spacing w:line="183" w:lineRule="exact" w:before="0"/>
                      <w:ind w:left="0" w:right="0" w:firstLine="0"/>
                      <w:jc w:val="left"/>
                      <w:rPr>
                        <w:b/>
                        <w:sz w:val="16"/>
                      </w:rPr>
                    </w:pPr>
                    <w:r>
                      <w:rPr>
                        <w:b/>
                        <w:w w:val="105"/>
                        <w:sz w:val="16"/>
                      </w:rPr>
                      <w:t>7.07 ¢</w:t>
                    </w:r>
                  </w:p>
                </w:txbxContent>
              </v:textbox>
              <w10:wrap type="none"/>
            </v:shape>
            <v:shape style="position:absolute;left:5520;top:650;width:487;height:185" type="#_x0000_t202" filled="false" stroked="false">
              <v:textbox inset="0,0,0,0">
                <w:txbxContent>
                  <w:p>
                    <w:pPr>
                      <w:spacing w:line="183" w:lineRule="exact" w:before="0"/>
                      <w:ind w:left="0" w:right="0" w:firstLine="0"/>
                      <w:jc w:val="left"/>
                      <w:rPr>
                        <w:b/>
                        <w:sz w:val="16"/>
                      </w:rPr>
                    </w:pPr>
                    <w:r>
                      <w:rPr>
                        <w:b/>
                        <w:w w:val="105"/>
                        <w:sz w:val="16"/>
                      </w:rPr>
                      <w:t>7.50 ¢</w:t>
                    </w:r>
                  </w:p>
                </w:txbxContent>
              </v:textbox>
              <w10:wrap type="none"/>
            </v:shape>
            <v:shape style="position:absolute;left:6691;top:665;width:487;height:185" type="#_x0000_t202" filled="false" stroked="false">
              <v:textbox inset="0,0,0,0">
                <w:txbxContent>
                  <w:p>
                    <w:pPr>
                      <w:spacing w:line="183" w:lineRule="exact" w:before="0"/>
                      <w:ind w:left="0" w:right="0" w:firstLine="0"/>
                      <w:jc w:val="left"/>
                      <w:rPr>
                        <w:b/>
                        <w:sz w:val="16"/>
                      </w:rPr>
                    </w:pPr>
                    <w:r>
                      <w:rPr>
                        <w:b/>
                        <w:w w:val="105"/>
                        <w:sz w:val="16"/>
                      </w:rPr>
                      <w:t>7.40 ¢</w:t>
                    </w:r>
                  </w:p>
                </w:txbxContent>
              </v:textbox>
              <w10:wrap type="none"/>
            </v:shape>
            <v:shape style="position:absolute;left:7651;top:1236;width:266;height:185" type="#_x0000_t202" filled="false" stroked="false">
              <v:textbox inset="0,0,0,0">
                <w:txbxContent>
                  <w:p>
                    <w:pPr>
                      <w:spacing w:line="183" w:lineRule="exact" w:before="0"/>
                      <w:ind w:left="0" w:right="0" w:firstLine="0"/>
                      <w:jc w:val="left"/>
                      <w:rPr>
                        <w:b/>
                        <w:sz w:val="16"/>
                      </w:rPr>
                    </w:pPr>
                    <w:r>
                      <w:rPr>
                        <w:b/>
                        <w:color w:val="FF0000"/>
                        <w:w w:val="105"/>
                        <w:sz w:val="16"/>
                      </w:rPr>
                      <w:t>5 ¢</w:t>
                    </w:r>
                  </w:p>
                </w:txbxContent>
              </v:textbox>
              <w10:wrap type="none"/>
            </v:shape>
            <v:shape style="position:absolute;left:7651;top:2033;width:266;height:185" type="#_x0000_t202" filled="false" stroked="false">
              <v:textbox inset="0,0,0,0">
                <w:txbxContent>
                  <w:p>
                    <w:pPr>
                      <w:spacing w:line="183" w:lineRule="exact" w:before="0"/>
                      <w:ind w:left="0" w:right="0" w:firstLine="0"/>
                      <w:jc w:val="left"/>
                      <w:rPr>
                        <w:b/>
                        <w:sz w:val="16"/>
                      </w:rPr>
                    </w:pPr>
                    <w:r>
                      <w:rPr>
                        <w:b/>
                        <w:color w:val="FF0000"/>
                        <w:w w:val="105"/>
                        <w:sz w:val="16"/>
                      </w:rPr>
                      <w:t>0 ¢</w:t>
                    </w:r>
                  </w:p>
                </w:txbxContent>
              </v:textbox>
              <w10:wrap type="none"/>
            </v:shape>
            <v:shape style="position:absolute;left:2160;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331;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502;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674;top:2273;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840;top:2273;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spacing w:before="50"/>
        <w:ind w:left="120" w:right="0" w:firstLine="0"/>
        <w:jc w:val="left"/>
        <w:rPr>
          <w:b/>
          <w:sz w:val="24"/>
        </w:rPr>
      </w:pPr>
      <w:r>
        <w:rPr>
          <w:b/>
          <w:sz w:val="24"/>
        </w:rPr>
        <w:t>OPERATING EXPENSES PER AVAILABLE SEAT MILE</w:t>
      </w:r>
    </w:p>
    <w:p>
      <w:pPr>
        <w:spacing w:after="0"/>
        <w:jc w:val="left"/>
        <w:rPr>
          <w:sz w:val="24"/>
        </w:rPr>
        <w:sectPr>
          <w:pgSz w:w="12240" w:h="15840"/>
          <w:pgMar w:header="1592" w:footer="790" w:top="2120" w:bottom="980" w:left="1320" w:right="1340"/>
        </w:sectPr>
      </w:pPr>
    </w:p>
    <w:p>
      <w:pPr>
        <w:pStyle w:val="BodyText"/>
        <w:spacing w:before="8"/>
        <w:rPr>
          <w:b/>
        </w:rPr>
      </w:pPr>
    </w:p>
    <w:p>
      <w:pPr>
        <w:spacing w:line="249" w:lineRule="auto" w:before="83"/>
        <w:ind w:left="100" w:right="117" w:firstLine="360"/>
        <w:jc w:val="both"/>
        <w:rPr>
          <w:b/>
          <w:sz w:val="36"/>
        </w:rPr>
      </w:pPr>
      <w:r>
        <w:rPr>
          <w:b/>
          <w:color w:val="008080"/>
          <w:sz w:val="56"/>
        </w:rPr>
        <w:t>O</w:t>
      </w:r>
      <w:r>
        <w:rPr>
          <w:b/>
          <w:color w:val="008080"/>
          <w:sz w:val="36"/>
        </w:rPr>
        <w:t>UR FARES </w:t>
      </w:r>
      <w:r>
        <w:rPr>
          <w:b/>
          <w:color w:val="FF0000"/>
          <w:sz w:val="36"/>
        </w:rPr>
        <w:t>ARE CONSISTENTLY </w:t>
      </w:r>
      <w:r>
        <w:rPr>
          <w:b/>
          <w:color w:val="FF0000"/>
          <w:spacing w:val="2"/>
          <w:sz w:val="36"/>
        </w:rPr>
        <w:t>THE </w:t>
      </w:r>
      <w:r>
        <w:rPr>
          <w:b/>
          <w:color w:val="FF0000"/>
          <w:sz w:val="36"/>
        </w:rPr>
        <w:t>LOWEST, SIMPLEST </w:t>
      </w:r>
      <w:r>
        <w:rPr>
          <w:b/>
          <w:color w:val="FF0000"/>
          <w:spacing w:val="3"/>
          <w:sz w:val="36"/>
        </w:rPr>
        <w:t>FARES </w:t>
      </w:r>
      <w:r>
        <w:rPr>
          <w:b/>
          <w:color w:val="FF0000"/>
          <w:sz w:val="36"/>
        </w:rPr>
        <w:t>IN </w:t>
      </w:r>
      <w:r>
        <w:rPr>
          <w:b/>
          <w:color w:val="FF0000"/>
          <w:spacing w:val="4"/>
          <w:sz w:val="36"/>
        </w:rPr>
        <w:t>THE </w:t>
      </w:r>
      <w:r>
        <w:rPr>
          <w:b/>
          <w:color w:val="FF0000"/>
          <w:spacing w:val="2"/>
          <w:sz w:val="36"/>
        </w:rPr>
        <w:t>DOMESTIC </w:t>
      </w:r>
      <w:r>
        <w:rPr>
          <w:b/>
          <w:color w:val="FF0000"/>
          <w:sz w:val="36"/>
        </w:rPr>
        <w:t>AIRLINE INDUSTRY. BY KEEPING </w:t>
      </w:r>
      <w:r>
        <w:rPr>
          <w:b/>
          <w:color w:val="FF0000"/>
          <w:spacing w:val="2"/>
          <w:sz w:val="36"/>
        </w:rPr>
        <w:t>COSTS LOW, </w:t>
      </w:r>
      <w:r>
        <w:rPr>
          <w:b/>
          <w:color w:val="FF0000"/>
          <w:sz w:val="36"/>
        </w:rPr>
        <w:t>WE KEEP OUR </w:t>
      </w:r>
      <w:r>
        <w:rPr>
          <w:b/>
          <w:color w:val="FF0000"/>
          <w:spacing w:val="2"/>
          <w:sz w:val="36"/>
        </w:rPr>
        <w:t>FARES LOW. </w:t>
      </w:r>
      <w:r>
        <w:rPr>
          <w:b/>
          <w:color w:val="FF0000"/>
          <w:sz w:val="36"/>
        </w:rPr>
        <w:t>THIS, IN TURN, GIVES CUSTOMERS</w:t>
      </w:r>
      <w:r>
        <w:rPr>
          <w:b/>
          <w:color w:val="FF0000"/>
          <w:spacing w:val="-50"/>
          <w:sz w:val="36"/>
        </w:rPr>
        <w:t> </w:t>
      </w:r>
      <w:r>
        <w:rPr>
          <w:b/>
          <w:color w:val="FF0000"/>
          <w:spacing w:val="3"/>
          <w:sz w:val="36"/>
        </w:rPr>
        <w:t>THE </w:t>
      </w:r>
      <w:r>
        <w:rPr>
          <w:b/>
          <w:color w:val="FF0000"/>
          <w:sz w:val="36"/>
        </w:rPr>
        <w:t>FREEDOM </w:t>
      </w:r>
      <w:r>
        <w:rPr>
          <w:b/>
          <w:color w:val="FF0000"/>
          <w:spacing w:val="4"/>
          <w:sz w:val="36"/>
        </w:rPr>
        <w:t>TO </w:t>
      </w:r>
      <w:r>
        <w:rPr>
          <w:b/>
          <w:color w:val="FF0000"/>
          <w:sz w:val="36"/>
        </w:rPr>
        <w:t>FLY.</w:t>
      </w:r>
    </w:p>
    <w:p>
      <w:pPr>
        <w:pStyle w:val="BodyText"/>
        <w:spacing w:before="10"/>
        <w:rPr>
          <w:b/>
          <w:sz w:val="37"/>
        </w:rPr>
      </w:pPr>
    </w:p>
    <w:p>
      <w:pPr>
        <w:pStyle w:val="BodyText"/>
        <w:spacing w:line="312" w:lineRule="auto"/>
        <w:ind w:left="1540" w:right="141"/>
      </w:pPr>
      <w:r>
        <w:rPr/>
        <w:t>Southwest is and always has been a very different airline — from the operating strategy we employ to the way we treat our Employees and Customers. But the difference we are most famous for is our ability to generate high profits with low fares. The secret, of course, is low costs, and our operating strategy is a significant ingredient of our low cost formula.</w:t>
      </w:r>
    </w:p>
    <w:p>
      <w:pPr>
        <w:pStyle w:val="BodyText"/>
        <w:spacing w:before="7"/>
        <w:rPr>
          <w:sz w:val="31"/>
        </w:rPr>
      </w:pPr>
    </w:p>
    <w:p>
      <w:pPr>
        <w:pStyle w:val="BodyText"/>
        <w:spacing w:line="312" w:lineRule="auto"/>
        <w:ind w:left="1540" w:right="141"/>
      </w:pPr>
      <w:r>
        <w:rPr/>
        <w:t>Our operating strategy is unique in the airline industry, and it has, indeed, revolutionized air travel over the last 26 years. We start with a principal focus on the shorthaul traveler, where our average flight time is about an hour. We streamline service to meet the shorthaul traveler’s needs. Then, we identify city pairs that can generate substantial amounts of business and leisure traffic with Southwest service.</w:t>
      </w:r>
    </w:p>
    <w:p>
      <w:pPr>
        <w:pStyle w:val="BodyText"/>
        <w:spacing w:before="7"/>
        <w:rPr>
          <w:sz w:val="31"/>
        </w:rPr>
      </w:pPr>
    </w:p>
    <w:p>
      <w:pPr>
        <w:pStyle w:val="BodyText"/>
        <w:spacing w:line="312" w:lineRule="auto"/>
        <w:ind w:left="1540" w:right="141"/>
      </w:pPr>
      <w:r>
        <w:rPr/>
        <w:t>We offer lots of flights to meet business travelers’ demands for schedule convenience and flexibility. We offer low fares that meet all travelers’ needs, especially leisure travelers. We specialize in nonstop, not connecting, service. In our experience, this is what Customers want in shorthaul markets. And it is far more cost-efficient than the accepted “hub and spoke” industry standard.</w:t>
      </w:r>
    </w:p>
    <w:p>
      <w:pPr>
        <w:pStyle w:val="BodyText"/>
        <w:spacing w:before="7"/>
        <w:rPr>
          <w:sz w:val="31"/>
        </w:rPr>
      </w:pPr>
    </w:p>
    <w:p>
      <w:pPr>
        <w:pStyle w:val="BodyText"/>
        <w:spacing w:line="312" w:lineRule="auto"/>
        <w:ind w:left="1540" w:right="239"/>
      </w:pPr>
      <w:r>
        <w:rPr/>
        <w:t>This market focus allows us to be substantially more efficient and productive than the rest of the airline industry. Our aircraft and airport facilities are used continuously throughout the day, maximizing utilization and minimizing ground time. Our aircraft “turn” times at the airport are less</w:t>
      </w:r>
    </w:p>
    <w:p>
      <w:pPr>
        <w:spacing w:after="0" w:line="312" w:lineRule="auto"/>
        <w:sectPr>
          <w:pgSz w:w="12240" w:h="15840"/>
          <w:pgMar w:header="1592" w:footer="790" w:top="2120" w:bottom="980" w:left="1340" w:right="1320"/>
        </w:sectPr>
      </w:pPr>
    </w:p>
    <w:p>
      <w:pPr>
        <w:pStyle w:val="BodyText"/>
        <w:rPr>
          <w:sz w:val="20"/>
        </w:rPr>
      </w:pPr>
    </w:p>
    <w:p>
      <w:pPr>
        <w:pStyle w:val="BodyText"/>
        <w:spacing w:line="312" w:lineRule="auto" w:before="207"/>
        <w:ind w:left="1559" w:right="203"/>
      </w:pPr>
      <w:r>
        <w:rPr/>
        <w:t>than half the industry standard. Therefore, we get lots more use of our aircraft and much lower unit costs.</w:t>
      </w:r>
    </w:p>
    <w:p>
      <w:pPr>
        <w:pStyle w:val="BodyText"/>
        <w:spacing w:before="6"/>
        <w:rPr>
          <w:sz w:val="31"/>
        </w:rPr>
      </w:pPr>
    </w:p>
    <w:p>
      <w:pPr>
        <w:pStyle w:val="BodyText"/>
        <w:spacing w:line="312" w:lineRule="auto"/>
        <w:ind w:left="1559" w:right="203"/>
      </w:pPr>
      <w:r>
        <w:rPr/>
        <w:t>We also use only one aircraft type, the Boeing 737, in an all-coach configuration. This substantially reduces costs versus the industry due to simplified operations, training, scheduling, and maintenance. Our fleet of 737s is young, safe, comfortable, clean, and perfectly suited for shorthaul flights.</w:t>
      </w:r>
    </w:p>
    <w:p>
      <w:pPr>
        <w:pStyle w:val="BodyText"/>
        <w:spacing w:before="6"/>
        <w:rPr>
          <w:sz w:val="31"/>
        </w:rPr>
      </w:pPr>
    </w:p>
    <w:p>
      <w:pPr>
        <w:pStyle w:val="BodyText"/>
        <w:spacing w:line="312" w:lineRule="auto"/>
        <w:ind w:left="1559" w:right="203"/>
      </w:pPr>
      <w:r>
        <w:rPr/>
        <w:t>Our fare structure is simple and this means the cost of selling our product is less than industry average. Over 60 percent of our Customers buy travel on Southwest on a ticketless basis — it is easier for our Customers and less expensive for Southwest than a paper ticket. Boarding the aircraft is also fast and efficient.</w:t>
      </w:r>
    </w:p>
    <w:p>
      <w:pPr>
        <w:pStyle w:val="BodyText"/>
        <w:spacing w:before="6"/>
        <w:rPr>
          <w:sz w:val="31"/>
        </w:rPr>
      </w:pPr>
    </w:p>
    <w:p>
      <w:pPr>
        <w:pStyle w:val="BodyText"/>
        <w:spacing w:line="312" w:lineRule="auto"/>
        <w:ind w:left="1559" w:right="203"/>
      </w:pPr>
      <w:r>
        <w:rPr/>
        <w:t>Finally, and most importantly, we have a Culture that values efficiency, hard work, innovation, and simplicity. Our People have the will and the desire to produce low costs. That’s how the low cost producer keeps finding ways to reduce costs further.</w:t>
      </w:r>
    </w:p>
    <w:p>
      <w:pPr>
        <w:pStyle w:val="BodyText"/>
        <w:spacing w:before="1"/>
        <w:rPr>
          <w:sz w:val="31"/>
        </w:rPr>
      </w:pPr>
    </w:p>
    <w:p>
      <w:pPr>
        <w:pStyle w:val="Heading3"/>
        <w:spacing w:line="312" w:lineRule="auto"/>
        <w:ind w:right="119"/>
        <w:jc w:val="both"/>
      </w:pPr>
      <w:r>
        <w:rPr>
          <w:color w:val="008080"/>
        </w:rPr>
        <w:t>“WE ARE A LOW FARE AIRLINE BY PHILOSOPHY. WHEN WE GO INTO A NEW MARKET OUR COMPETITORS USUALLY LOWER THEIR FARES. THE DIFFERENCE IS OUR FARES STAY LOW </w:t>
      </w:r>
      <w:r>
        <w:rPr>
          <w:color w:val="008080"/>
          <w:w w:val="95"/>
        </w:rPr>
        <w:t>— </w:t>
      </w:r>
      <w:r>
        <w:rPr>
          <w:color w:val="008080"/>
        </w:rPr>
        <w:t>WHENEVER AND WHEREVER WE FLY.”</w:t>
      </w:r>
    </w:p>
    <w:p>
      <w:pPr>
        <w:pStyle w:val="BodyText"/>
        <w:spacing w:before="6"/>
        <w:rPr>
          <w:b/>
          <w:sz w:val="31"/>
        </w:rPr>
      </w:pPr>
    </w:p>
    <w:p>
      <w:pPr>
        <w:spacing w:line="312" w:lineRule="auto" w:before="0"/>
        <w:ind w:left="5159" w:right="833" w:firstLine="0"/>
        <w:jc w:val="left"/>
        <w:rPr>
          <w:b/>
          <w:sz w:val="24"/>
        </w:rPr>
      </w:pPr>
      <w:r>
        <w:rPr>
          <w:b/>
          <w:color w:val="FF0000"/>
          <w:sz w:val="24"/>
        </w:rPr>
        <w:t>Gary C. Kelly, Vice President - Finance, Chief Financial Officer</w:t>
      </w:r>
    </w:p>
    <w:p>
      <w:pPr>
        <w:spacing w:after="0" w:line="312" w:lineRule="auto"/>
        <w:jc w:val="left"/>
        <w:rPr>
          <w:sz w:val="24"/>
        </w:rPr>
        <w:sectPr>
          <w:footerReference w:type="default" r:id="rId7"/>
          <w:pgSz w:w="12240" w:h="15840"/>
          <w:pgMar w:footer="790" w:header="1592"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9.85pt;height:134.2pt;mso-position-horizontal-relative:char;mso-position-vertical-relative:line" coordorigin="0,0" coordsize="6797,2684">
            <v:line style="position:absolute" from="5734,1217" to="6094,1217" stroked="true" strokeweight=".24pt" strokecolor="#000000">
              <v:stroke dashstyle="shortdot"/>
            </v:line>
            <v:line style="position:absolute" from="4563,1217" to="5268,1217" stroked="true" strokeweight=".24pt" strokecolor="#000000">
              <v:stroke dashstyle="shortdot"/>
            </v:line>
            <v:line style="position:absolute" from="3391,1217" to="4097,1217" stroked="true" strokeweight=".24pt" strokecolor="#000000">
              <v:stroke dashstyle="shortdot"/>
            </v:line>
            <v:line style="position:absolute" from="2211,1217" to="2911,1217" stroked="true" strokeweight=".24pt" strokecolor="#000000">
              <v:stroke dashstyle="shortdot"/>
            </v:line>
            <v:line style="position:absolute" from="1039,1217" to="1745,1217" stroked="true" strokeweight=".24pt" strokecolor="#000000">
              <v:stroke dashstyle="shortdot"/>
            </v:line>
            <v:line style="position:absolute" from="228,1217" to="574,1217" stroked="true" strokeweight=".24pt" strokecolor="#000000">
              <v:stroke dashstyle="shortdot"/>
            </v:line>
            <v:rect style="position:absolute;left:574;top:1020;width:466;height:1037" filled="true" fillcolor="#ff0000" stroked="false">
              <v:fill type="solid"/>
            </v:rect>
            <v:rect style="position:absolute;left:574;top:1020;width:466;height:1037" filled="false" stroked="true" strokeweight="2.16pt" strokecolor="#ffff00">
              <v:stroke dashstyle="solid"/>
            </v:rect>
            <v:rect style="position:absolute;left:1745;top:1039;width:466;height:1018" filled="true" fillcolor="#ff0000" stroked="false">
              <v:fill type="solid"/>
            </v:rect>
            <v:rect style="position:absolute;left:1745;top:1039;width:466;height:1018" filled="false" stroked="true" strokeweight="2.16pt" strokecolor="#ffff00">
              <v:stroke dashstyle="solid"/>
            </v:rect>
            <v:rect style="position:absolute;left:2911;top:1039;width:480;height:1018" filled="true" fillcolor="#ff0000" stroked="false">
              <v:fill type="solid"/>
            </v:rect>
            <v:rect style="position:absolute;left:2911;top:1039;width:480;height:1018" filled="false" stroked="true" strokeweight="2.16pt" strokecolor="#ffff00">
              <v:stroke dashstyle="solid"/>
            </v:rect>
            <v:rect style="position:absolute;left:4097;top:1006;width:466;height:1051" filled="true" fillcolor="#ff0000" stroked="false">
              <v:fill type="solid"/>
            </v:rect>
            <v:rect style="position:absolute;left:4097;top:1006;width:466;height:1051" filled="false" stroked="true" strokeweight="2.16pt" strokecolor="#ffff00">
              <v:stroke dashstyle="solid"/>
            </v:rect>
            <v:rect style="position:absolute;left:5268;top:1006;width:466;height:1051" filled="true" fillcolor="#ff0000" stroked="false">
              <v:fill type="solid"/>
            </v:rect>
            <v:rect style="position:absolute;left:5268;top:1006;width:466;height:1051" filled="false" stroked="true" strokeweight="2.16pt" strokecolor="#ffff00">
              <v:stroke dashstyle="solid"/>
            </v:rect>
            <v:line style="position:absolute" from="228,377" to="6094,377" stroked="true" strokeweight=".24pt" strokecolor="#000000">
              <v:stroke dashstyle="shortdot"/>
            </v:line>
            <v:line style="position:absolute" from="228,377" to="228,2057" stroked="true" strokeweight=".24pt" strokecolor="#000000">
              <v:stroke dashstyle="solid"/>
            </v:line>
            <v:line style="position:absolute" from="185,2057" to="228,2057" stroked="true" strokeweight=".24pt" strokecolor="#000000">
              <v:stroke dashstyle="solid"/>
            </v:line>
            <v:line style="position:absolute" from="185,1217" to="228,1217" stroked="true" strokeweight=".24pt" strokecolor="#000000">
              <v:stroke dashstyle="solid"/>
            </v:line>
            <v:line style="position:absolute" from="185,377" to="228,377" stroked="true" strokeweight=".24pt" strokecolor="#000000">
              <v:stroke dashstyle="solid"/>
            </v:line>
            <v:line style="position:absolute" from="228,2057" to="6094,2057" stroked="true" strokeweight=".24pt" strokecolor="#000000">
              <v:stroke dashstyle="solid"/>
            </v:line>
            <v:line style="position:absolute" from="228,2100" to="228,2014" stroked="true" strokeweight=".24pt" strokecolor="#000000">
              <v:stroke dashstyle="solid"/>
            </v:line>
            <v:line style="position:absolute" from="1399,2100" to="1399,2014" stroked="true" strokeweight=".24pt" strokecolor="#000000">
              <v:stroke dashstyle="solid"/>
            </v:line>
            <v:line style="position:absolute" from="2570,2100" to="2570,2014" stroked="true" strokeweight=".24pt" strokecolor="#000000">
              <v:stroke dashstyle="solid"/>
            </v:line>
            <v:line style="position:absolute" from="3751,2100" to="3751,2014" stroked="true" strokeweight=".24pt" strokecolor="#000000">
              <v:stroke dashstyle="solid"/>
            </v:line>
            <v:line style="position:absolute" from="4923,2100" to="4923,2014" stroked="true" strokeweight=".24pt" strokecolor="#000000">
              <v:stroke dashstyle="solid"/>
            </v:line>
            <v:line style="position:absolute" from="6094,2100" to="6094,2014" stroked="true" strokeweight=".24pt" strokecolor="#000000">
              <v:stroke dashstyle="solid"/>
            </v:line>
            <v:rect style="position:absolute;left:3;top:3;width:6792;height:2678" filled="false" stroked="true" strokeweight=".24pt" strokecolor="#000000">
              <v:stroke dashstyle="solid"/>
            </v:rect>
            <v:shape style="position:absolute;left:6228;top:276;width:352;height:185" type="#_x0000_t202" filled="false" stroked="false">
              <v:textbox inset="0,0,0,0">
                <w:txbxContent>
                  <w:p>
                    <w:pPr>
                      <w:spacing w:line="183" w:lineRule="exact" w:before="0"/>
                      <w:ind w:left="0" w:right="0" w:firstLine="0"/>
                      <w:jc w:val="left"/>
                      <w:rPr>
                        <w:b/>
                        <w:sz w:val="16"/>
                      </w:rPr>
                    </w:pPr>
                    <w:r>
                      <w:rPr>
                        <w:b/>
                        <w:color w:val="FF0000"/>
                        <w:w w:val="105"/>
                        <w:sz w:val="16"/>
                      </w:rPr>
                      <w:t>10 ¢</w:t>
                    </w:r>
                  </w:p>
                </w:txbxContent>
              </v:textbox>
              <w10:wrap type="none"/>
            </v:shape>
            <v:shape style="position:absolute;left:574;top:727;width:487;height:185" type="#_x0000_t202" filled="false" stroked="false">
              <v:textbox inset="0,0,0,0">
                <w:txbxContent>
                  <w:p>
                    <w:pPr>
                      <w:spacing w:line="183" w:lineRule="exact" w:before="0"/>
                      <w:ind w:left="0" w:right="0" w:firstLine="0"/>
                      <w:jc w:val="left"/>
                      <w:rPr>
                        <w:b/>
                        <w:sz w:val="16"/>
                      </w:rPr>
                    </w:pPr>
                    <w:r>
                      <w:rPr>
                        <w:b/>
                        <w:w w:val="105"/>
                        <w:sz w:val="16"/>
                      </w:rPr>
                      <w:t>6.18 ¢</w:t>
                    </w:r>
                  </w:p>
                </w:txbxContent>
              </v:textbox>
              <w10:wrap type="none"/>
            </v:shape>
            <v:shape style="position:absolute;left:1745;top:741;width:487;height:185" type="#_x0000_t202" filled="false" stroked="false">
              <v:textbox inset="0,0,0,0">
                <w:txbxContent>
                  <w:p>
                    <w:pPr>
                      <w:spacing w:line="183" w:lineRule="exact" w:before="0"/>
                      <w:ind w:left="0" w:right="0" w:firstLine="0"/>
                      <w:jc w:val="left"/>
                      <w:rPr>
                        <w:b/>
                        <w:sz w:val="16"/>
                      </w:rPr>
                    </w:pPr>
                    <w:r>
                      <w:rPr>
                        <w:b/>
                        <w:w w:val="105"/>
                        <w:sz w:val="16"/>
                      </w:rPr>
                      <w:t>6.09 ¢</w:t>
                    </w:r>
                  </w:p>
                </w:txbxContent>
              </v:textbox>
              <w10:wrap type="none"/>
            </v:shape>
            <v:shape style="position:absolute;left:2930;top:741;width:487;height:185" type="#_x0000_t202" filled="false" stroked="false">
              <v:textbox inset="0,0,0,0">
                <w:txbxContent>
                  <w:p>
                    <w:pPr>
                      <w:spacing w:line="183" w:lineRule="exact" w:before="0"/>
                      <w:ind w:left="0" w:right="0" w:firstLine="0"/>
                      <w:jc w:val="left"/>
                      <w:rPr>
                        <w:b/>
                        <w:sz w:val="16"/>
                      </w:rPr>
                    </w:pPr>
                    <w:r>
                      <w:rPr>
                        <w:b/>
                        <w:w w:val="105"/>
                        <w:sz w:val="16"/>
                      </w:rPr>
                      <w:t>6.04 ¢</w:t>
                    </w:r>
                  </w:p>
                </w:txbxContent>
              </v:textbox>
              <w10:wrap type="none"/>
            </v:shape>
            <v:shape style="position:absolute;left:4097;top:712;width:491;height:185" type="#_x0000_t202" filled="false" stroked="false">
              <v:textbox inset="0,0,0,0">
                <w:txbxContent>
                  <w:p>
                    <w:pPr>
                      <w:spacing w:line="183" w:lineRule="exact" w:before="0"/>
                      <w:ind w:left="0" w:right="0" w:firstLine="0"/>
                      <w:jc w:val="left"/>
                      <w:rPr>
                        <w:b/>
                        <w:sz w:val="16"/>
                      </w:rPr>
                    </w:pPr>
                    <w:r>
                      <w:rPr>
                        <w:b/>
                        <w:w w:val="105"/>
                        <w:sz w:val="16"/>
                      </w:rPr>
                      <w:t>6.23 ¢</w:t>
                    </w:r>
                  </w:p>
                </w:txbxContent>
              </v:textbox>
              <w10:wrap type="none"/>
            </v:shape>
            <v:shape style="position:absolute;left:5268;top:712;width:487;height:185" type="#_x0000_t202" filled="false" stroked="false">
              <v:textbox inset="0,0,0,0">
                <w:txbxContent>
                  <w:p>
                    <w:pPr>
                      <w:spacing w:line="183" w:lineRule="exact" w:before="0"/>
                      <w:ind w:left="0" w:right="0" w:firstLine="0"/>
                      <w:jc w:val="left"/>
                      <w:rPr>
                        <w:b/>
                        <w:sz w:val="16"/>
                      </w:rPr>
                    </w:pPr>
                    <w:r>
                      <w:rPr>
                        <w:b/>
                        <w:w w:val="105"/>
                        <w:sz w:val="16"/>
                      </w:rPr>
                      <w:t>6.21 ¢</w:t>
                    </w:r>
                  </w:p>
                </w:txbxContent>
              </v:textbox>
              <w10:wrap type="none"/>
            </v:shape>
            <v:shape style="position:absolute;left:6228;top:1116;width:266;height:185" type="#_x0000_t202" filled="false" stroked="false">
              <v:textbox inset="0,0,0,0">
                <w:txbxContent>
                  <w:p>
                    <w:pPr>
                      <w:spacing w:line="183" w:lineRule="exact" w:before="0"/>
                      <w:ind w:left="0" w:right="0" w:firstLine="0"/>
                      <w:jc w:val="left"/>
                      <w:rPr>
                        <w:b/>
                        <w:sz w:val="16"/>
                      </w:rPr>
                    </w:pPr>
                    <w:r>
                      <w:rPr>
                        <w:b/>
                        <w:color w:val="FF0000"/>
                        <w:w w:val="105"/>
                        <w:sz w:val="16"/>
                      </w:rPr>
                      <w:t>5 ¢</w:t>
                    </w:r>
                  </w:p>
                </w:txbxContent>
              </v:textbox>
              <w10:wrap type="none"/>
            </v:shape>
            <v:shape style="position:absolute;left:6228;top:1956;width:266;height:185" type="#_x0000_t202" filled="false" stroked="false">
              <v:textbox inset="0,0,0,0">
                <w:txbxContent>
                  <w:p>
                    <w:pPr>
                      <w:spacing w:line="183" w:lineRule="exact" w:before="0"/>
                      <w:ind w:left="0" w:right="0" w:firstLine="0"/>
                      <w:jc w:val="left"/>
                      <w:rPr>
                        <w:b/>
                        <w:sz w:val="16"/>
                      </w:rPr>
                    </w:pPr>
                    <w:r>
                      <w:rPr>
                        <w:b/>
                        <w:color w:val="FF0000"/>
                        <w:w w:val="105"/>
                        <w:sz w:val="16"/>
                      </w:rPr>
                      <w:t>0 ¢</w:t>
                    </w:r>
                  </w:p>
                </w:txbxContent>
              </v:textbox>
              <w10:wrap type="none"/>
            </v:shape>
            <v:shape style="position:absolute;left:723;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94;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3079;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250;top:2196;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417;top:2196;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pStyle w:val="Heading3"/>
        <w:spacing w:line="272" w:lineRule="exact"/>
        <w:ind w:left="120"/>
      </w:pPr>
      <w:r>
        <w:rPr/>
        <w:t>OPERATING EXPENSES PER AVAILABLE SEAT MILE</w:t>
      </w:r>
    </w:p>
    <w:p>
      <w:pPr>
        <w:spacing w:before="10"/>
        <w:ind w:left="120" w:right="0" w:firstLine="0"/>
        <w:jc w:val="left"/>
        <w:rPr>
          <w:i/>
          <w:sz w:val="18"/>
        </w:rPr>
      </w:pPr>
      <w:r>
        <w:rPr>
          <w:i/>
          <w:color w:val="FF0000"/>
          <w:sz w:val="18"/>
        </w:rPr>
        <w:t>(excluding fuel and related taxes)</w:t>
      </w:r>
    </w:p>
    <w:p>
      <w:pPr>
        <w:pStyle w:val="BodyText"/>
        <w:rPr>
          <w:i/>
          <w:sz w:val="20"/>
        </w:rPr>
      </w:pPr>
    </w:p>
    <w:p>
      <w:pPr>
        <w:pStyle w:val="BodyText"/>
        <w:rPr>
          <w:i/>
          <w:sz w:val="20"/>
        </w:rPr>
      </w:pPr>
    </w:p>
    <w:p>
      <w:pPr>
        <w:pStyle w:val="BodyText"/>
        <w:spacing w:before="4"/>
        <w:rPr>
          <w:i/>
          <w:sz w:val="19"/>
        </w:rPr>
      </w:pPr>
      <w:r>
        <w:rPr/>
        <w:pict>
          <v:group style="position:absolute;margin-left:71.875pt;margin-top:13.094612pt;width:339.85pt;height:132.050pt;mso-position-horizontal-relative:page;mso-position-vertical-relative:paragraph;z-index:3328;mso-wrap-distance-left:0;mso-wrap-distance-right:0" coordorigin="1438,262" coordsize="6797,2641">
            <v:line style="position:absolute" from="7186,1464" to="7546,1464" stroked="true" strokeweight=".24pt" strokecolor="#000000">
              <v:stroke dashstyle="shortdot"/>
            </v:line>
            <v:line style="position:absolute" from="6014,1464" to="6720,1464" stroked="true" strokeweight=".24pt" strokecolor="#000000">
              <v:stroke dashstyle="shortdot"/>
            </v:line>
            <v:line style="position:absolute" from="4829,1464" to="5534,1464" stroked="true" strokeweight=".24pt" strokecolor="#000000">
              <v:stroke dashstyle="shortdot"/>
            </v:line>
            <v:line style="position:absolute" from="3662,1464" to="4368,1464" stroked="true" strokeweight=".24pt" strokecolor="#000000">
              <v:stroke dashstyle="shortdot"/>
            </v:line>
            <v:line style="position:absolute" from="2477,1464" to="3182,1464" stroked="true" strokeweight=".24pt" strokecolor="#000000">
              <v:stroke dashstyle="shortdot"/>
            </v:line>
            <v:line style="position:absolute" from="1666,1464" to="2011,1464" stroked="true" strokeweight=".24pt" strokecolor="#000000">
              <v:stroke dashstyle="shortdot"/>
            </v:line>
            <v:rect style="position:absolute;left:2011;top:1181;width:466;height:1094" filled="true" fillcolor="#ff0000" stroked="false">
              <v:fill type="solid"/>
            </v:rect>
            <v:rect style="position:absolute;left:2011;top:1181;width:466;height:1094" filled="false" stroked="true" strokeweight="2.16pt" strokecolor="#ffff00">
              <v:stroke dashstyle="solid"/>
            </v:rect>
            <v:rect style="position:absolute;left:3182;top:1148;width:480;height:1128" filled="true" fillcolor="#ff0000" stroked="false">
              <v:fill type="solid"/>
            </v:rect>
            <v:rect style="position:absolute;left:3182;top:1148;width:480;height:1128" filled="false" stroked="true" strokeweight="2.16pt" strokecolor="#ffff00">
              <v:stroke dashstyle="solid"/>
            </v:rect>
            <v:rect style="position:absolute;left:4368;top:1224;width:461;height:1051" filled="true" fillcolor="#ff0000" stroked="false">
              <v:fill type="solid"/>
            </v:rect>
            <v:rect style="position:absolute;left:4368;top:1224;width:461;height:1051" filled="false" stroked="true" strokeweight="2.16pt" strokecolor="#ffff00">
              <v:stroke dashstyle="solid"/>
            </v:rect>
            <v:rect style="position:absolute;left:5534;top:1287;width:480;height:989" filled="true" fillcolor="#ff0000" stroked="false">
              <v:fill type="solid"/>
            </v:rect>
            <v:rect style="position:absolute;left:5534;top:1287;width:480;height:989" filled="false" stroked="true" strokeweight="2.16pt" strokecolor="#ffff00">
              <v:stroke dashstyle="solid"/>
            </v:rect>
            <v:rect style="position:absolute;left:6720;top:927;width:466;height:1349" filled="true" fillcolor="#ff0000" stroked="false">
              <v:fill type="solid"/>
            </v:rect>
            <v:rect style="position:absolute;left:6720;top:927;width:466;height:1349" filled="false" stroked="true" strokeweight="2.16pt" strokecolor="#ffff00">
              <v:stroke dashstyle="solid"/>
            </v:rect>
            <v:line style="position:absolute" from="1666,639" to="7546,639" stroked="true" strokeweight=".24pt" strokecolor="#000000">
              <v:stroke dashstyle="shortdot"/>
            </v:line>
            <v:line style="position:absolute" from="1666,639" to="1666,2276" stroked="true" strokeweight=".24pt" strokecolor="#000000">
              <v:stroke dashstyle="solid"/>
            </v:line>
            <v:line style="position:absolute" from="1622,2276" to="1666,2276" stroked="true" strokeweight=".24pt" strokecolor="#000000">
              <v:stroke dashstyle="solid"/>
            </v:line>
            <v:line style="position:absolute" from="1622,1464" to="1666,1464" stroked="true" strokeweight=".24pt" strokecolor="#000000">
              <v:stroke dashstyle="solid"/>
            </v:line>
            <v:line style="position:absolute" from="1622,639" to="1666,639" stroked="true" strokeweight=".24pt" strokecolor="#000000">
              <v:stroke dashstyle="solid"/>
            </v:line>
            <v:line style="position:absolute" from="1666,2276" to="7546,2276" stroked="true" strokeweight=".24pt" strokecolor="#000000">
              <v:stroke dashstyle="solid"/>
            </v:line>
            <v:line style="position:absolute" from="1666,2319" to="1666,2228" stroked="true" strokeweight=".24pt" strokecolor="#000000">
              <v:stroke dashstyle="solid"/>
            </v:line>
            <v:line style="position:absolute" from="2837,2319" to="2837,2228" stroked="true" strokeweight=".24pt" strokecolor="#000000">
              <v:stroke dashstyle="solid"/>
            </v:line>
            <v:line style="position:absolute" from="4022,2319" to="4022,2228" stroked="true" strokeweight=".24pt" strokecolor="#000000">
              <v:stroke dashstyle="solid"/>
            </v:line>
            <v:line style="position:absolute" from="5189,2319" to="5189,2228" stroked="true" strokeweight=".24pt" strokecolor="#000000">
              <v:stroke dashstyle="solid"/>
            </v:line>
            <v:line style="position:absolute" from="6374,2319" to="6374,2228" stroked="true" strokeweight=".24pt" strokecolor="#000000">
              <v:stroke dashstyle="solid"/>
            </v:line>
            <v:line style="position:absolute" from="7546,2319" to="7546,2228" stroked="true" strokeweight=".24pt" strokecolor="#000000">
              <v:stroke dashstyle="solid"/>
            </v:line>
            <v:rect style="position:absolute;left:1440;top:264;width:6792;height:2635" filled="false" stroked="true" strokeweight=".24pt" strokecolor="#000000">
              <v:stroke dashstyle="solid"/>
            </v:rect>
            <v:shape style="position:absolute;left:6768;top:629;width:395;height:185" type="#_x0000_t202" filled="false" stroked="false">
              <v:textbox inset="0,0,0,0">
                <w:txbxContent>
                  <w:p>
                    <w:pPr>
                      <w:spacing w:line="183" w:lineRule="exact" w:before="0"/>
                      <w:ind w:left="0" w:right="0" w:firstLine="0"/>
                      <w:jc w:val="left"/>
                      <w:rPr>
                        <w:b/>
                        <w:sz w:val="16"/>
                      </w:rPr>
                    </w:pPr>
                    <w:r>
                      <w:rPr>
                        <w:b/>
                        <w:sz w:val="16"/>
                      </w:rPr>
                      <w:t>8.3%</w:t>
                    </w:r>
                  </w:p>
                </w:txbxContent>
              </v:textbox>
              <w10:wrap type="none"/>
            </v:shape>
            <v:shape style="position:absolute;left:7680;top:537;width:351;height:185" type="#_x0000_t202" filled="false" stroked="false">
              <v:textbox inset="0,0,0,0">
                <w:txbxContent>
                  <w:p>
                    <w:pPr>
                      <w:spacing w:line="183" w:lineRule="exact" w:before="0"/>
                      <w:ind w:left="0" w:right="0" w:firstLine="0"/>
                      <w:jc w:val="left"/>
                      <w:rPr>
                        <w:b/>
                        <w:sz w:val="16"/>
                      </w:rPr>
                    </w:pPr>
                    <w:r>
                      <w:rPr>
                        <w:b/>
                        <w:color w:val="FF0000"/>
                        <w:sz w:val="16"/>
                      </w:rPr>
                      <w:t>10%</w:t>
                    </w:r>
                  </w:p>
                </w:txbxContent>
              </v:textbox>
              <w10:wrap type="none"/>
            </v:shape>
            <v:shape style="position:absolute;left:2054;top:883;width:395;height:185" type="#_x0000_t202" filled="false" stroked="false">
              <v:textbox inset="0,0,0,0">
                <w:txbxContent>
                  <w:p>
                    <w:pPr>
                      <w:spacing w:line="183" w:lineRule="exact" w:before="0"/>
                      <w:ind w:left="0" w:right="0" w:firstLine="0"/>
                      <w:jc w:val="left"/>
                      <w:rPr>
                        <w:b/>
                        <w:sz w:val="16"/>
                      </w:rPr>
                    </w:pPr>
                    <w:r>
                      <w:rPr>
                        <w:b/>
                        <w:sz w:val="16"/>
                      </w:rPr>
                      <w:t>6.7%</w:t>
                    </w:r>
                  </w:p>
                </w:txbxContent>
              </v:textbox>
              <w10:wrap type="none"/>
            </v:shape>
            <v:shape style="position:absolute;left:3240;top:854;width:395;height:185" type="#_x0000_t202" filled="false" stroked="false">
              <v:textbox inset="0,0,0,0">
                <w:txbxContent>
                  <w:p>
                    <w:pPr>
                      <w:spacing w:line="183" w:lineRule="exact" w:before="0"/>
                      <w:ind w:left="0" w:right="0" w:firstLine="0"/>
                      <w:jc w:val="left"/>
                      <w:rPr>
                        <w:b/>
                        <w:sz w:val="16"/>
                      </w:rPr>
                    </w:pPr>
                    <w:r>
                      <w:rPr>
                        <w:b/>
                        <w:sz w:val="16"/>
                      </w:rPr>
                      <w:t>6.9%</w:t>
                    </w:r>
                  </w:p>
                </w:txbxContent>
              </v:textbox>
              <w10:wrap type="none"/>
            </v:shape>
            <v:shape style="position:absolute;left:4411;top:931;width:395;height:185" type="#_x0000_t202" filled="false" stroked="false">
              <v:textbox inset="0,0,0,0">
                <w:txbxContent>
                  <w:p>
                    <w:pPr>
                      <w:spacing w:line="183" w:lineRule="exact" w:before="0"/>
                      <w:ind w:left="0" w:right="0" w:firstLine="0"/>
                      <w:jc w:val="left"/>
                      <w:rPr>
                        <w:b/>
                        <w:sz w:val="16"/>
                      </w:rPr>
                    </w:pPr>
                    <w:r>
                      <w:rPr>
                        <w:b/>
                        <w:sz w:val="16"/>
                      </w:rPr>
                      <w:t>6.4%</w:t>
                    </w:r>
                  </w:p>
                </w:txbxContent>
              </v:textbox>
              <w10:wrap type="none"/>
            </v:shape>
            <v:shape style="position:absolute;left:5582;top:989;width:395;height:185" type="#_x0000_t202" filled="false" stroked="false">
              <v:textbox inset="0,0,0,0">
                <w:txbxContent>
                  <w:p>
                    <w:pPr>
                      <w:spacing w:line="183" w:lineRule="exact" w:before="0"/>
                      <w:ind w:left="0" w:right="0" w:firstLine="0"/>
                      <w:jc w:val="left"/>
                      <w:rPr>
                        <w:b/>
                        <w:sz w:val="16"/>
                      </w:rPr>
                    </w:pPr>
                    <w:r>
                      <w:rPr>
                        <w:b/>
                        <w:sz w:val="16"/>
                      </w:rPr>
                      <w:t>6.1%</w:t>
                    </w:r>
                  </w:p>
                </w:txbxContent>
              </v:textbox>
              <w10:wrap type="none"/>
            </v:shape>
            <v:shape style="position:absolute;left:7680;top:1363;width:260;height:185" type="#_x0000_t202" filled="false" stroked="false">
              <v:textbox inset="0,0,0,0">
                <w:txbxContent>
                  <w:p>
                    <w:pPr>
                      <w:spacing w:line="183" w:lineRule="exact" w:before="0"/>
                      <w:ind w:left="0" w:right="0" w:firstLine="0"/>
                      <w:jc w:val="left"/>
                      <w:rPr>
                        <w:b/>
                        <w:sz w:val="16"/>
                      </w:rPr>
                    </w:pPr>
                    <w:r>
                      <w:rPr>
                        <w:b/>
                        <w:color w:val="FF0000"/>
                        <w:sz w:val="16"/>
                      </w:rPr>
                      <w:t>5%</w:t>
                    </w:r>
                  </w:p>
                </w:txbxContent>
              </v:textbox>
              <w10:wrap type="none"/>
            </v:shape>
            <v:shape style="position:absolute;left:7680;top:2174;width:260;height:185" type="#_x0000_t202" filled="false" stroked="false">
              <v:textbox inset="0,0,0,0">
                <w:txbxContent>
                  <w:p>
                    <w:pPr>
                      <w:spacing w:line="183" w:lineRule="exact" w:before="0"/>
                      <w:ind w:left="0" w:right="0" w:firstLine="0"/>
                      <w:jc w:val="left"/>
                      <w:rPr>
                        <w:b/>
                        <w:sz w:val="16"/>
                      </w:rPr>
                    </w:pPr>
                    <w:r>
                      <w:rPr>
                        <w:b/>
                        <w:color w:val="FF0000"/>
                        <w:sz w:val="16"/>
                      </w:rPr>
                      <w:t>0%</w:t>
                    </w:r>
                  </w:p>
                </w:txbxContent>
              </v:textbox>
              <w10:wrap type="none"/>
            </v:shape>
            <v:shape style="position:absolute;left:2160;top:2414;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346;top:2414;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517;top:2414;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688;top:2414;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874;top:2414;width:197;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pStyle w:val="Heading3"/>
        <w:spacing w:before="50"/>
        <w:ind w:left="120"/>
      </w:pPr>
      <w:r>
        <w:rPr/>
        <w:t>NET MARGIN</w:t>
      </w:r>
    </w:p>
    <w:p>
      <w:pPr>
        <w:spacing w:after="0"/>
        <w:sectPr>
          <w:footerReference w:type="default" r:id="rId8"/>
          <w:pgSz w:w="12240" w:h="15840"/>
          <w:pgMar w:footer="790" w:header="1592" w:top="2120" w:bottom="980" w:left="1320" w:right="1320"/>
          <w:pgNumType w:start="11"/>
        </w:sectPr>
      </w:pPr>
    </w:p>
    <w:p>
      <w:pPr>
        <w:pStyle w:val="BodyText"/>
        <w:spacing w:before="8"/>
        <w:rPr>
          <w:b/>
        </w:rPr>
      </w:pPr>
    </w:p>
    <w:p>
      <w:pPr>
        <w:spacing w:line="249" w:lineRule="auto" w:before="83"/>
        <w:ind w:left="119" w:right="117" w:firstLine="360"/>
        <w:jc w:val="both"/>
        <w:rPr>
          <w:b/>
          <w:sz w:val="36"/>
        </w:rPr>
      </w:pPr>
      <w:r>
        <w:rPr>
          <w:b/>
          <w:color w:val="008080"/>
          <w:sz w:val="56"/>
        </w:rPr>
        <w:t>O</w:t>
      </w:r>
      <w:r>
        <w:rPr>
          <w:b/>
          <w:color w:val="008080"/>
          <w:sz w:val="36"/>
        </w:rPr>
        <w:t>UR SOUTHWEST SPIRIT </w:t>
      </w:r>
      <w:r>
        <w:rPr>
          <w:b/>
          <w:color w:val="FF0000"/>
          <w:sz w:val="36"/>
        </w:rPr>
        <w:t>BURNS AS BRIGHTLY TODAY AS IT HAS FOR THE PAST 26 YEARS </w:t>
      </w:r>
      <w:r>
        <w:rPr>
          <w:b/>
          <w:color w:val="FF0000"/>
          <w:w w:val="95"/>
          <w:sz w:val="36"/>
        </w:rPr>
        <w:t>— </w:t>
      </w:r>
      <w:r>
        <w:rPr>
          <w:b/>
          <w:color w:val="FF0000"/>
          <w:sz w:val="36"/>
        </w:rPr>
        <w:t>A TORCH THAT SYMBOLIZES OUR PLEDGE TO OUR CUSTOMERS: “WE GIVE YOU THE FREEDOM TO FLY.”</w:t>
      </w:r>
    </w:p>
    <w:p>
      <w:pPr>
        <w:pStyle w:val="BodyText"/>
        <w:spacing w:before="10"/>
        <w:rPr>
          <w:b/>
          <w:sz w:val="37"/>
        </w:rPr>
      </w:pPr>
    </w:p>
    <w:p>
      <w:pPr>
        <w:pStyle w:val="BodyText"/>
        <w:spacing w:line="312" w:lineRule="auto"/>
        <w:ind w:left="1559" w:right="165"/>
      </w:pPr>
      <w:r>
        <w:rPr/>
        <w:t>If not for the fighting Southwest Spirit and determination exemplified by our founders 26 years ago, </w:t>
      </w:r>
      <w:r>
        <w:rPr>
          <w:spacing w:val="-3"/>
        </w:rPr>
        <w:t>we </w:t>
      </w:r>
      <w:r>
        <w:rPr/>
        <w:t>would never have been cleared for takeoff. From the start, seemingly insurmountable odds were stacked against Southwest. It was only the remarkable courage, perseverance, and innovation of our early leaders that enabled us to overcome adversity and prove that an airline can profitably offer low fares. </w:t>
      </w:r>
      <w:r>
        <w:rPr>
          <w:spacing w:val="3"/>
        </w:rPr>
        <w:t>That </w:t>
      </w:r>
      <w:r>
        <w:rPr/>
        <w:t>tradition of Southwest Spirit continues</w:t>
      </w:r>
      <w:r>
        <w:rPr>
          <w:spacing w:val="7"/>
        </w:rPr>
        <w:t> </w:t>
      </w:r>
      <w:r>
        <w:rPr/>
        <w:t>today.</w:t>
      </w:r>
    </w:p>
    <w:p>
      <w:pPr>
        <w:pStyle w:val="BodyText"/>
        <w:spacing w:before="7"/>
        <w:rPr>
          <w:sz w:val="31"/>
        </w:rPr>
      </w:pPr>
    </w:p>
    <w:p>
      <w:pPr>
        <w:pStyle w:val="BodyText"/>
        <w:spacing w:line="312" w:lineRule="auto"/>
        <w:ind w:left="1559" w:right="203"/>
      </w:pPr>
      <w:r>
        <w:rPr/>
        <w:t>Because of our People’s devoted efforts, 1997 was outstanding for Southwest Airlines. We posted our sixth consecutive yearly record profit and our 25th consecutive year of profitability, outperforming the airline industry once again in terms of Customer Satisfaction and financial results. It was the culmination of many things, not the least of which was lower costs.</w:t>
      </w:r>
    </w:p>
    <w:p>
      <w:pPr>
        <w:pStyle w:val="BodyText"/>
        <w:spacing w:before="7"/>
        <w:rPr>
          <w:sz w:val="31"/>
        </w:rPr>
      </w:pPr>
    </w:p>
    <w:p>
      <w:pPr>
        <w:pStyle w:val="BodyText"/>
        <w:spacing w:line="312" w:lineRule="auto"/>
        <w:ind w:left="1559" w:right="203"/>
      </w:pPr>
      <w:r>
        <w:rPr/>
        <w:t>In recent years, we have had many challenges, including increased competition and taxes. As competition increased in our markets and as federal taxes increased, we found ways to reduce other costs, ensuring strong profitability and future growth.</w:t>
      </w:r>
    </w:p>
    <w:p>
      <w:pPr>
        <w:pStyle w:val="BodyText"/>
        <w:spacing w:before="7"/>
        <w:rPr>
          <w:sz w:val="31"/>
        </w:rPr>
      </w:pPr>
    </w:p>
    <w:p>
      <w:pPr>
        <w:pStyle w:val="BodyText"/>
        <w:spacing w:line="312" w:lineRule="auto"/>
        <w:ind w:left="1559" w:right="136"/>
      </w:pPr>
      <w:r>
        <w:rPr/>
        <w:t>We recently reached a ten-year engine maintenance agreement with General Electric Engine Services, which will help control engine repair costs on our 737-300 and -500 aircraft. We also have a similar agreement on our 737-700 aircraft.</w:t>
      </w:r>
    </w:p>
    <w:p>
      <w:pPr>
        <w:spacing w:after="0" w:line="312" w:lineRule="auto"/>
        <w:sectPr>
          <w:pgSz w:w="12240" w:h="15840"/>
          <w:pgMar w:header="1592" w:footer="790" w:top="2120" w:bottom="980" w:left="1320" w:right="1320"/>
        </w:sectPr>
      </w:pPr>
    </w:p>
    <w:p>
      <w:pPr>
        <w:pStyle w:val="BodyText"/>
        <w:rPr>
          <w:sz w:val="20"/>
        </w:rPr>
      </w:pPr>
    </w:p>
    <w:p>
      <w:pPr>
        <w:pStyle w:val="BodyText"/>
        <w:spacing w:line="312" w:lineRule="auto" w:before="207"/>
        <w:ind w:left="1559" w:right="136"/>
      </w:pPr>
      <w:r>
        <w:rPr/>
        <w:t>As the launch customer of the 737-700 and the largest operator of 737s in the world, our agreement with Boeing provides us with lower capital costs. In addition, the -700 is expected to be quieter, more fuel efficient, and more easily maintainable than its -300 counterpart, which will result in lower maintenance and fuel costs.</w:t>
      </w:r>
    </w:p>
    <w:p>
      <w:pPr>
        <w:pStyle w:val="BodyText"/>
        <w:spacing w:before="6"/>
        <w:rPr>
          <w:sz w:val="31"/>
        </w:rPr>
      </w:pPr>
    </w:p>
    <w:p>
      <w:pPr>
        <w:pStyle w:val="BodyText"/>
        <w:spacing w:line="312" w:lineRule="auto"/>
        <w:ind w:left="1559"/>
      </w:pPr>
      <w:r>
        <w:rPr/>
        <w:t>We also have many other efforts underway in all areas of the Company to improve productivity and reduce costs.</w:t>
      </w:r>
    </w:p>
    <w:p>
      <w:pPr>
        <w:pStyle w:val="BodyText"/>
        <w:spacing w:before="6"/>
        <w:rPr>
          <w:sz w:val="31"/>
        </w:rPr>
      </w:pPr>
    </w:p>
    <w:p>
      <w:pPr>
        <w:pStyle w:val="BodyText"/>
        <w:spacing w:line="312" w:lineRule="auto"/>
        <w:ind w:left="1559" w:right="203"/>
      </w:pPr>
      <w:r>
        <w:rPr/>
        <w:t>Only the People of Southwest could produce such a banner year. They are warm, caring, compassionate individuals who are willing to do whatever it takes to bring the freedom of flight to their fellow Americans. They have built a unique and powerful Culture that is the envy of corporate America. In every respect, our Employees are the very best, which is the reason we are one of the most successful carriers in the domestic airline industry today.</w:t>
      </w:r>
    </w:p>
    <w:p>
      <w:pPr>
        <w:pStyle w:val="BodyText"/>
        <w:spacing w:before="1"/>
        <w:rPr>
          <w:sz w:val="31"/>
        </w:rPr>
      </w:pPr>
    </w:p>
    <w:p>
      <w:pPr>
        <w:pStyle w:val="Heading3"/>
        <w:spacing w:line="312" w:lineRule="auto" w:before="1"/>
        <w:ind w:right="119"/>
        <w:jc w:val="both"/>
      </w:pPr>
      <w:r>
        <w:rPr>
          <w:color w:val="008080"/>
        </w:rPr>
        <w:t>“THERE’S A CERTAIN SOUTHWEST SPIRIT THAT REFLECTS EVERYTHING WE STAND FOR, EVERYTHING WE STRIVE FOR. IT IS OUR GUIDING PRINCIPLE,  OUR</w:t>
      </w:r>
      <w:r>
        <w:rPr>
          <w:color w:val="008080"/>
          <w:spacing w:val="-8"/>
        </w:rPr>
        <w:t> </w:t>
      </w:r>
      <w:r>
        <w:rPr>
          <w:color w:val="008080"/>
        </w:rPr>
        <w:t>COMMON</w:t>
      </w:r>
      <w:r>
        <w:rPr>
          <w:color w:val="008080"/>
          <w:spacing w:val="-6"/>
        </w:rPr>
        <w:t> </w:t>
      </w:r>
      <w:r>
        <w:rPr>
          <w:color w:val="008080"/>
        </w:rPr>
        <w:t>GOAL,</w:t>
      </w:r>
      <w:r>
        <w:rPr>
          <w:color w:val="008080"/>
          <w:spacing w:val="-6"/>
        </w:rPr>
        <w:t> </w:t>
      </w:r>
      <w:r>
        <w:rPr>
          <w:color w:val="008080"/>
        </w:rPr>
        <w:t>OUR</w:t>
      </w:r>
      <w:r>
        <w:rPr>
          <w:color w:val="008080"/>
          <w:spacing w:val="-8"/>
        </w:rPr>
        <w:t> </w:t>
      </w:r>
      <w:r>
        <w:rPr>
          <w:color w:val="008080"/>
        </w:rPr>
        <w:t>FIERY</w:t>
      </w:r>
      <w:r>
        <w:rPr>
          <w:color w:val="008080"/>
          <w:spacing w:val="-13"/>
        </w:rPr>
        <w:t> </w:t>
      </w:r>
      <w:r>
        <w:rPr>
          <w:color w:val="008080"/>
        </w:rPr>
        <w:t>FLAME</w:t>
      </w:r>
      <w:r>
        <w:rPr>
          <w:color w:val="008080"/>
          <w:spacing w:val="-11"/>
        </w:rPr>
        <w:t> </w:t>
      </w:r>
      <w:r>
        <w:rPr>
          <w:color w:val="008080"/>
        </w:rPr>
        <w:t>OF</w:t>
      </w:r>
      <w:r>
        <w:rPr>
          <w:color w:val="008080"/>
          <w:spacing w:val="-5"/>
        </w:rPr>
        <w:t> </w:t>
      </w:r>
      <w:r>
        <w:rPr>
          <w:color w:val="008080"/>
        </w:rPr>
        <w:t>FREEDOM.”</w:t>
      </w:r>
    </w:p>
    <w:p>
      <w:pPr>
        <w:pStyle w:val="BodyText"/>
        <w:spacing w:before="7"/>
        <w:rPr>
          <w:b/>
          <w:sz w:val="31"/>
        </w:rPr>
      </w:pPr>
    </w:p>
    <w:p>
      <w:pPr>
        <w:spacing w:before="0"/>
        <w:ind w:left="5159" w:right="0" w:firstLine="0"/>
        <w:jc w:val="left"/>
        <w:rPr>
          <w:b/>
          <w:sz w:val="24"/>
        </w:rPr>
      </w:pPr>
      <w:r>
        <w:rPr>
          <w:b/>
          <w:color w:val="FF0000"/>
          <w:sz w:val="24"/>
        </w:rPr>
        <w:t>Colleen C. Barrett</w:t>
      </w:r>
    </w:p>
    <w:p>
      <w:pPr>
        <w:spacing w:before="84"/>
        <w:ind w:left="5159" w:right="0" w:firstLine="0"/>
        <w:jc w:val="left"/>
        <w:rPr>
          <w:b/>
          <w:sz w:val="24"/>
        </w:rPr>
      </w:pPr>
      <w:r>
        <w:rPr>
          <w:b/>
          <w:color w:val="FF0000"/>
          <w:sz w:val="24"/>
        </w:rPr>
        <w:t>Executive Vice President -Customers</w:t>
      </w:r>
    </w:p>
    <w:p>
      <w:pPr>
        <w:spacing w:after="0"/>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9.85pt;height:129.85pt;mso-position-horizontal-relative:char;mso-position-vertical-relative:line" coordorigin="0,0" coordsize="6797,2597">
            <v:line style="position:absolute" from="5585,1654" to="5930,1654" stroked="true" strokeweight=".24pt" strokecolor="#000000">
              <v:stroke dashstyle="shortdot"/>
            </v:line>
            <v:line style="position:absolute" from="4443,1654" to="5134,1654" stroked="true" strokeweight=".24pt" strokecolor="#000000">
              <v:stroke dashstyle="shortdot"/>
            </v:line>
            <v:line style="position:absolute" from="3305,1654" to="3996,1654" stroked="true" strokeweight=".24pt" strokecolor="#000000">
              <v:stroke dashstyle="shortdot"/>
            </v:line>
            <v:line style="position:absolute" from="2163,1654" to="2854,1654" stroked="true" strokeweight=".24pt" strokecolor="#000000">
              <v:stroke dashstyle="shortdot"/>
            </v:line>
            <v:line style="position:absolute" from="1025,1654" to="1711,1654" stroked="true" strokeweight=".24pt" strokecolor="#000000">
              <v:stroke dashstyle="shortdot"/>
            </v:line>
            <v:line style="position:absolute" from="228,1654" to="574,1654" stroked="true" strokeweight=".24pt" strokecolor="#000000">
              <v:stroke dashstyle="shortdot"/>
            </v:line>
            <v:line style="position:absolute" from="1025,1337" to="1711,1337" stroked="true" strokeweight=".24pt" strokecolor="#000000">
              <v:stroke dashstyle="shortdot"/>
            </v:line>
            <v:line style="position:absolute" from="228,1337" to="574,1337" stroked="true" strokeweight=".24pt" strokecolor="#000000">
              <v:stroke dashstyle="shortdot"/>
            </v:line>
            <v:rect style="position:absolute;left:574;top:1097;width:451;height:874" filled="true" fillcolor="#ff0000" stroked="false">
              <v:fill type="solid"/>
            </v:rect>
            <v:rect style="position:absolute;left:574;top:1097;width:451;height:874" filled="false" stroked="true" strokeweight="2.16pt" strokecolor="#ffff00">
              <v:stroke dashstyle="solid"/>
            </v:rect>
            <v:line style="position:absolute" from="2163,1337" to="2854,1337" stroked="true" strokeweight=".24pt" strokecolor="#000000">
              <v:stroke dashstyle="shortdot"/>
            </v:line>
            <v:line style="position:absolute" from="2163,1011" to="2854,1011" stroked="true" strokeweight=".24pt" strokecolor="#000000">
              <v:stroke dashstyle="shortdot"/>
            </v:line>
            <v:line style="position:absolute" from="228,1011" to="1711,1011" stroked="true" strokeweight=".24pt" strokecolor="#000000">
              <v:stroke dashstyle="shortdot"/>
            </v:line>
            <v:rect style="position:absolute;left:1711;top:948;width:451;height:1022" filled="true" fillcolor="#ff0000" stroked="false">
              <v:fill type="solid"/>
            </v:rect>
            <v:rect style="position:absolute;left:1711;top:948;width:451;height:1022" filled="false" stroked="true" strokeweight="2.16pt" strokecolor="#ffff00">
              <v:stroke dashstyle="solid"/>
            </v:rect>
            <v:line style="position:absolute" from="3305,1337" to="3996,1337" stroked="true" strokeweight=".24pt" strokecolor="#000000">
              <v:stroke dashstyle="shortdot"/>
            </v:line>
            <v:line style="position:absolute" from="3305,1011" to="3996,1011" stroked="true" strokeweight=".24pt" strokecolor="#000000">
              <v:stroke dashstyle="shortdot"/>
            </v:line>
            <v:rect style="position:absolute;left:2854;top:814;width:451;height:1157" filled="true" fillcolor="#ff0000" stroked="false">
              <v:fill type="solid"/>
            </v:rect>
            <v:rect style="position:absolute;left:2854;top:814;width:451;height:1157" filled="false" stroked="true" strokeweight="2.16pt" strokecolor="#ffff00">
              <v:stroke dashstyle="solid"/>
            </v:rect>
            <v:line style="position:absolute" from="4443,1337" to="5134,1337" stroked="true" strokeweight=".24pt" strokecolor="#000000">
              <v:stroke dashstyle="shortdot"/>
            </v:line>
            <v:line style="position:absolute" from="4443,1011" to="5134,1011" stroked="true" strokeweight=".24pt" strokecolor="#000000">
              <v:stroke dashstyle="shortdot"/>
            </v:line>
            <v:line style="position:absolute" from="228,694" to="5134,694" stroked="true" strokeweight=".24pt" strokecolor="#000000">
              <v:stroke dashstyle="shortdot"/>
            </v:line>
            <v:rect style="position:absolute;left:3996;top:679;width:446;height:1291" filled="true" fillcolor="#ff0000" stroked="false">
              <v:fill type="solid"/>
            </v:rect>
            <v:rect style="position:absolute;left:3996;top:679;width:446;height:1291" filled="false" stroked="true" strokeweight="2.16pt" strokecolor="#ffff00">
              <v:stroke dashstyle="solid"/>
            </v:rect>
            <v:line style="position:absolute" from="5585,1337" to="5930,1337" stroked="true" strokeweight=".24pt" strokecolor="#000000">
              <v:stroke dashstyle="shortdot"/>
            </v:line>
            <v:line style="position:absolute" from="5585,1011" to="5930,1011" stroked="true" strokeweight=".24pt" strokecolor="#000000">
              <v:stroke dashstyle="shortdot"/>
            </v:line>
            <v:line style="position:absolute" from="5585,694" to="5930,694" stroked="true" strokeweight=".24pt" strokecolor="#000000">
              <v:stroke dashstyle="shortdot"/>
            </v:line>
            <v:rect style="position:absolute;left:5134;top:559;width:451;height:1411" filled="true" fillcolor="#ff0000" stroked="false">
              <v:fill type="solid"/>
            </v:rect>
            <v:rect style="position:absolute;left:5134;top:559;width:451;height:1411" filled="false" stroked="true" strokeweight="2.16pt" strokecolor="#ffff00">
              <v:stroke dashstyle="solid"/>
            </v:rect>
            <v:line style="position:absolute" from="228,377" to="5930,377" stroked="true" strokeweight=".24pt" strokecolor="#000000">
              <v:stroke dashstyle="shortdot"/>
            </v:line>
            <v:line style="position:absolute" from="228,377" to="228,1970" stroked="true" strokeweight=".24pt" strokecolor="#000000">
              <v:stroke dashstyle="solid"/>
            </v:line>
            <v:line style="position:absolute" from="185,1971" to="228,1971" stroked="true" strokeweight=".24pt" strokecolor="#000000">
              <v:stroke dashstyle="solid"/>
            </v:line>
            <v:line style="position:absolute" from="185,1654" to="228,1654" stroked="true" strokeweight=".24pt" strokecolor="#000000">
              <v:stroke dashstyle="solid"/>
            </v:line>
            <v:line style="position:absolute" from="185,1337" to="228,1337" stroked="true" strokeweight=".24pt" strokecolor="#000000">
              <v:stroke dashstyle="solid"/>
            </v:line>
            <v:line style="position:absolute" from="185,1011" to="228,1011" stroked="true" strokeweight=".24pt" strokecolor="#000000">
              <v:stroke dashstyle="solid"/>
            </v:line>
            <v:line style="position:absolute" from="185,694" to="228,694" stroked="true" strokeweight=".24pt" strokecolor="#000000">
              <v:stroke dashstyle="solid"/>
            </v:line>
            <v:line style="position:absolute" from="185,377" to="228,377" stroked="true" strokeweight=".24pt" strokecolor="#000000">
              <v:stroke dashstyle="solid"/>
            </v:line>
            <v:line style="position:absolute" from="228,1971" to="5930,1971" stroked="true" strokeweight=".24pt" strokecolor="#000000">
              <v:stroke dashstyle="solid"/>
            </v:line>
            <v:line style="position:absolute" from="228,2014" to="228,1923" stroked="true" strokeweight=".24pt" strokecolor="#000000">
              <v:stroke dashstyle="solid"/>
            </v:line>
            <v:line style="position:absolute" from="1366,2014" to="1366,1923" stroked="true" strokeweight=".24pt" strokecolor="#000000">
              <v:stroke dashstyle="solid"/>
            </v:line>
            <v:line style="position:absolute" from="2508,2014" to="2508,1923" stroked="true" strokeweight=".24pt" strokecolor="#000000">
              <v:stroke dashstyle="solid"/>
            </v:line>
            <v:line style="position:absolute" from="3650,2014" to="3650,1923" stroked="true" strokeweight=".24pt" strokecolor="#000000">
              <v:stroke dashstyle="solid"/>
            </v:line>
            <v:line style="position:absolute" from="4788,2014" to="4788,1923" stroked="true" strokeweight=".24pt" strokecolor="#000000">
              <v:stroke dashstyle="solid"/>
            </v:line>
            <v:line style="position:absolute" from="5930,2014" to="5930,1923" stroked="true" strokeweight=".24pt" strokecolor="#000000">
              <v:stroke dashstyle="solid"/>
            </v:line>
            <v:rect style="position:absolute;left:3;top:3;width:6792;height:2592" filled="false" stroked="true" strokeweight=".24pt" strokecolor="#000000">
              <v:stroke dashstyle="solid"/>
            </v:rect>
            <v:shape style="position:absolute;left:5148;top:155;width:518;height:185" type="#_x0000_t202" filled="false" stroked="false">
              <v:textbox inset="0,0,0,0">
                <w:txbxContent>
                  <w:p>
                    <w:pPr>
                      <w:spacing w:line="183" w:lineRule="exact" w:before="0"/>
                      <w:ind w:left="0" w:right="0" w:firstLine="0"/>
                      <w:jc w:val="left"/>
                      <w:rPr>
                        <w:b/>
                        <w:sz w:val="16"/>
                      </w:rPr>
                    </w:pPr>
                    <w:r>
                      <w:rPr>
                        <w:b/>
                        <w:w w:val="105"/>
                        <w:sz w:val="16"/>
                      </w:rPr>
                      <w:t>44,487</w:t>
                    </w:r>
                  </w:p>
                </w:txbxContent>
              </v:textbox>
              <w10:wrap type="none"/>
            </v:shape>
            <v:shape style="position:absolute;left:2839;top:515;width:513;height:185" type="#_x0000_t202" filled="false" stroked="false">
              <v:textbox inset="0,0,0,0">
                <w:txbxContent>
                  <w:p>
                    <w:pPr>
                      <w:spacing w:line="183" w:lineRule="exact" w:before="0"/>
                      <w:ind w:left="0" w:right="0" w:firstLine="0"/>
                      <w:jc w:val="left"/>
                      <w:rPr>
                        <w:b/>
                        <w:sz w:val="16"/>
                      </w:rPr>
                    </w:pPr>
                    <w:r>
                      <w:rPr>
                        <w:b/>
                        <w:spacing w:val="-3"/>
                        <w:w w:val="105"/>
                        <w:sz w:val="16"/>
                      </w:rPr>
                      <w:t>36,180</w:t>
                    </w:r>
                  </w:p>
                </w:txbxContent>
              </v:textbox>
              <w10:wrap type="none"/>
            </v:shape>
            <v:shape style="position:absolute;left:3977;top:381;width:518;height:185" type="#_x0000_t202" filled="false" stroked="false">
              <v:textbox inset="0,0,0,0">
                <w:txbxContent>
                  <w:p>
                    <w:pPr>
                      <w:spacing w:line="183" w:lineRule="exact" w:before="0"/>
                      <w:ind w:left="0" w:right="0" w:firstLine="0"/>
                      <w:jc w:val="left"/>
                      <w:rPr>
                        <w:b/>
                        <w:sz w:val="16"/>
                      </w:rPr>
                    </w:pPr>
                    <w:r>
                      <w:rPr>
                        <w:b/>
                        <w:w w:val="105"/>
                        <w:sz w:val="16"/>
                      </w:rPr>
                      <w:t>40,727</w:t>
                    </w:r>
                  </w:p>
                </w:txbxContent>
              </v:textbox>
              <w10:wrap type="none"/>
            </v:shape>
            <v:shape style="position:absolute;left:559;top:803;width:513;height:185" type="#_x0000_t202" filled="false" stroked="false">
              <v:textbox inset="0,0,0,0">
                <w:txbxContent>
                  <w:p>
                    <w:pPr>
                      <w:spacing w:line="183" w:lineRule="exact" w:before="0"/>
                      <w:ind w:left="0" w:right="0" w:firstLine="0"/>
                      <w:jc w:val="left"/>
                      <w:rPr>
                        <w:b/>
                        <w:sz w:val="16"/>
                      </w:rPr>
                    </w:pPr>
                    <w:r>
                      <w:rPr>
                        <w:b/>
                        <w:spacing w:val="-3"/>
                        <w:w w:val="105"/>
                        <w:sz w:val="16"/>
                      </w:rPr>
                      <w:t>27,511</w:t>
                    </w:r>
                  </w:p>
                </w:txbxContent>
              </v:textbox>
              <w10:wrap type="none"/>
            </v:shape>
            <v:shape style="position:absolute;left:1697;top:727;width:518;height:185" type="#_x0000_t202" filled="false" stroked="false">
              <v:textbox inset="0,0,0,0">
                <w:txbxContent>
                  <w:p>
                    <w:pPr>
                      <w:spacing w:line="183" w:lineRule="exact" w:before="0"/>
                      <w:ind w:left="0" w:right="0" w:firstLine="0"/>
                      <w:jc w:val="left"/>
                      <w:rPr>
                        <w:b/>
                        <w:sz w:val="16"/>
                      </w:rPr>
                    </w:pPr>
                    <w:r>
                      <w:rPr>
                        <w:b/>
                        <w:w w:val="105"/>
                        <w:sz w:val="16"/>
                      </w:rPr>
                      <w:t>32,124</w:t>
                    </w:r>
                  </w:p>
                </w:txbxContent>
              </v:textbox>
              <w10:wrap type="none"/>
            </v:shape>
            <v:shape style="position:absolute;left:6065;top:275;width:513;height:1779" type="#_x0000_t202" filled="false" stroked="false">
              <v:textbox inset="0,0,0,0">
                <w:txbxContent>
                  <w:p>
                    <w:pPr>
                      <w:spacing w:line="183" w:lineRule="exact" w:before="0"/>
                      <w:ind w:left="0" w:right="0" w:firstLine="0"/>
                      <w:jc w:val="left"/>
                      <w:rPr>
                        <w:b/>
                        <w:sz w:val="16"/>
                      </w:rPr>
                    </w:pPr>
                    <w:r>
                      <w:rPr>
                        <w:b/>
                        <w:color w:val="FF0000"/>
                        <w:spacing w:val="-3"/>
                        <w:w w:val="105"/>
                        <w:sz w:val="16"/>
                      </w:rPr>
                      <w:t>50,000</w:t>
                    </w:r>
                  </w:p>
                  <w:p>
                    <w:pPr>
                      <w:spacing w:before="133"/>
                      <w:ind w:left="0" w:right="0" w:firstLine="0"/>
                      <w:jc w:val="left"/>
                      <w:rPr>
                        <w:b/>
                        <w:sz w:val="16"/>
                      </w:rPr>
                    </w:pPr>
                    <w:r>
                      <w:rPr>
                        <w:b/>
                        <w:color w:val="FF0000"/>
                        <w:spacing w:val="-3"/>
                        <w:w w:val="105"/>
                        <w:sz w:val="16"/>
                      </w:rPr>
                      <w:t>40,000</w:t>
                    </w:r>
                  </w:p>
                  <w:p>
                    <w:pPr>
                      <w:spacing w:before="133"/>
                      <w:ind w:left="0" w:right="0" w:firstLine="0"/>
                      <w:jc w:val="left"/>
                      <w:rPr>
                        <w:b/>
                        <w:sz w:val="16"/>
                      </w:rPr>
                    </w:pPr>
                    <w:r>
                      <w:rPr>
                        <w:b/>
                        <w:color w:val="FF0000"/>
                        <w:spacing w:val="-3"/>
                        <w:w w:val="105"/>
                        <w:sz w:val="16"/>
                      </w:rPr>
                      <w:t>30,000</w:t>
                    </w:r>
                  </w:p>
                  <w:p>
                    <w:pPr>
                      <w:spacing w:before="142"/>
                      <w:ind w:left="0" w:right="0" w:firstLine="0"/>
                      <w:jc w:val="left"/>
                      <w:rPr>
                        <w:b/>
                        <w:sz w:val="16"/>
                      </w:rPr>
                    </w:pPr>
                    <w:r>
                      <w:rPr>
                        <w:b/>
                        <w:color w:val="FF0000"/>
                        <w:spacing w:val="-3"/>
                        <w:w w:val="105"/>
                        <w:sz w:val="16"/>
                      </w:rPr>
                      <w:t>20,000</w:t>
                    </w:r>
                  </w:p>
                  <w:p>
                    <w:pPr>
                      <w:spacing w:before="132"/>
                      <w:ind w:left="0" w:right="0" w:firstLine="0"/>
                      <w:jc w:val="left"/>
                      <w:rPr>
                        <w:b/>
                        <w:sz w:val="16"/>
                      </w:rPr>
                    </w:pPr>
                    <w:r>
                      <w:rPr>
                        <w:b/>
                        <w:color w:val="FF0000"/>
                        <w:spacing w:val="-3"/>
                        <w:w w:val="105"/>
                        <w:sz w:val="16"/>
                      </w:rPr>
                      <w:t>10,000</w:t>
                    </w:r>
                  </w:p>
                  <w:p>
                    <w:pPr>
                      <w:spacing w:before="132"/>
                      <w:ind w:left="0" w:right="0" w:firstLine="0"/>
                      <w:jc w:val="left"/>
                      <w:rPr>
                        <w:b/>
                        <w:sz w:val="16"/>
                      </w:rPr>
                    </w:pPr>
                    <w:r>
                      <w:rPr>
                        <w:b/>
                        <w:color w:val="FF0000"/>
                        <w:w w:val="103"/>
                        <w:sz w:val="16"/>
                      </w:rPr>
                      <w:t>0</w:t>
                    </w:r>
                  </w:p>
                </w:txbxContent>
              </v:textbox>
              <w10:wrap type="none"/>
            </v:shape>
            <v:shape style="position:absolute;left:708;top:2109;width:4762;height:185" type="#_x0000_t202" filled="false" stroked="false">
              <v:textbox inset="0,0,0,0">
                <w:txbxContent>
                  <w:p>
                    <w:pPr>
                      <w:tabs>
                        <w:tab w:pos="1142" w:val="left" w:leader="none"/>
                        <w:tab w:pos="2279" w:val="left" w:leader="none"/>
                        <w:tab w:pos="3422" w:val="left" w:leader="none"/>
                        <w:tab w:pos="4559" w:val="left" w:leader="none"/>
                      </w:tabs>
                      <w:spacing w:line="183" w:lineRule="exact" w:before="0"/>
                      <w:ind w:left="0" w:right="0" w:firstLine="0"/>
                      <w:jc w:val="left"/>
                      <w:rPr>
                        <w:b/>
                        <w:sz w:val="16"/>
                      </w:rPr>
                    </w:pPr>
                    <w:r>
                      <w:rPr>
                        <w:b/>
                        <w:color w:val="FF0000"/>
                        <w:w w:val="105"/>
                        <w:sz w:val="16"/>
                      </w:rPr>
                      <w:t>93</w:t>
                      <w:tab/>
                      <w:t>94</w:t>
                      <w:tab/>
                      <w:t>95</w:t>
                      <w:tab/>
                      <w:t>96</w:t>
                      <w:tab/>
                      <w:t>97</w:t>
                    </w:r>
                  </w:p>
                </w:txbxContent>
              </v:textbox>
              <w10:wrap type="none"/>
            </v:shape>
          </v:group>
        </w:pict>
      </w:r>
      <w:r>
        <w:rPr>
          <w:sz w:val="20"/>
        </w:rPr>
      </w:r>
    </w:p>
    <w:p>
      <w:pPr>
        <w:spacing w:line="260" w:lineRule="exact" w:before="0"/>
        <w:ind w:left="120" w:right="0" w:firstLine="0"/>
        <w:jc w:val="left"/>
        <w:rPr>
          <w:b/>
          <w:sz w:val="24"/>
        </w:rPr>
      </w:pPr>
      <w:r>
        <w:rPr>
          <w:b/>
          <w:sz w:val="24"/>
        </w:rPr>
        <w:t>AVAILABLE SEAT MILES</w:t>
      </w:r>
    </w:p>
    <w:p>
      <w:pPr>
        <w:spacing w:before="10"/>
        <w:ind w:left="120" w:right="0" w:firstLine="0"/>
        <w:jc w:val="left"/>
        <w:rPr>
          <w:i/>
          <w:sz w:val="18"/>
        </w:rPr>
      </w:pPr>
      <w:r>
        <w:rPr>
          <w:i/>
          <w:color w:val="FF0000"/>
          <w:sz w:val="18"/>
        </w:rPr>
        <w:t>(in millions)</w:t>
      </w:r>
    </w:p>
    <w:p>
      <w:pPr>
        <w:pStyle w:val="BodyText"/>
        <w:rPr>
          <w:i/>
          <w:sz w:val="20"/>
        </w:rPr>
      </w:pPr>
    </w:p>
    <w:p>
      <w:pPr>
        <w:pStyle w:val="BodyText"/>
        <w:rPr>
          <w:i/>
          <w:sz w:val="20"/>
        </w:rPr>
      </w:pPr>
    </w:p>
    <w:p>
      <w:pPr>
        <w:pStyle w:val="BodyText"/>
        <w:spacing w:before="4"/>
        <w:rPr>
          <w:i/>
          <w:sz w:val="19"/>
        </w:rPr>
      </w:pPr>
      <w:r>
        <w:rPr/>
        <w:pict>
          <v:group style="position:absolute;margin-left:71.875pt;margin-top:13.094558pt;width:341.3pt;height:129.15pt;mso-position-horizontal-relative:page;mso-position-vertical-relative:paragraph;z-index:3712;mso-wrap-distance-left:0;mso-wrap-distance-right:0" coordorigin="1438,262" coordsize="6826,2583">
            <v:line style="position:absolute" from="7214,1824" to="7574,1824" stroked="true" strokeweight=".24pt" strokecolor="#000000">
              <v:stroke dashstyle="shortdot"/>
            </v:line>
            <v:line style="position:absolute" from="6029,1824" to="6734,1824" stroked="true" strokeweight=".24pt" strokecolor="#000000">
              <v:stroke dashstyle="shortdot"/>
            </v:line>
            <v:line style="position:absolute" from="4843,1824" to="5549,1824" stroked="true" strokeweight=".24pt" strokecolor="#000000">
              <v:stroke dashstyle="shortdot"/>
            </v:line>
            <v:line style="position:absolute" from="3677,1824" to="4382,1824" stroked="true" strokeweight=".24pt" strokecolor="#000000">
              <v:stroke dashstyle="shortdot"/>
            </v:line>
            <v:line style="position:absolute" from="2491,1824" to="3197,1824" stroked="true" strokeweight=".24pt" strokecolor="#000000">
              <v:stroke dashstyle="shortdot"/>
            </v:line>
            <v:line style="position:absolute" from="1666,1824" to="2011,1824" stroked="true" strokeweight=".24pt" strokecolor="#000000">
              <v:stroke dashstyle="shortdot"/>
            </v:line>
            <v:line style="position:absolute" from="2491,1436" to="3197,1436" stroked="true" strokeweight=".24pt" strokecolor="#000000">
              <v:stroke dashstyle="shortdot"/>
            </v:line>
            <v:line style="position:absolute" from="1666,1436" to="2011,1436" stroked="true" strokeweight=".24pt" strokecolor="#000000">
              <v:stroke dashstyle="shortdot"/>
            </v:line>
            <v:line style="position:absolute" from="2491,1032" to="3197,1032" stroked="true" strokeweight=".24pt" strokecolor="#000000">
              <v:stroke dashstyle="shortdot"/>
            </v:line>
            <v:line style="position:absolute" from="1666,1032" to="2011,1032" stroked="true" strokeweight=".24pt" strokecolor="#000000">
              <v:stroke dashstyle="shortdot"/>
            </v:line>
            <v:rect style="position:absolute;left:2011;top:864;width:480;height:1354" filled="true" fillcolor="#ff0000" stroked="false">
              <v:fill type="solid"/>
            </v:rect>
            <v:rect style="position:absolute;left:2011;top:864;width:480;height:1354" filled="false" stroked="true" strokeweight="2.16pt" strokecolor="#ffff00">
              <v:stroke dashstyle="solid"/>
            </v:rect>
            <v:line style="position:absolute" from="3677,1436" to="4382,1436" stroked="true" strokeweight=".24pt" strokecolor="#000000">
              <v:stroke dashstyle="shortdot"/>
            </v:line>
            <v:line style="position:absolute" from="3677,1032" to="4382,1032" stroked="true" strokeweight=".24pt" strokecolor="#000000">
              <v:stroke dashstyle="shortdot"/>
            </v:line>
            <v:rect style="position:absolute;left:3197;top:893;width:480;height:1325" filled="true" fillcolor="#ff0000" stroked="false">
              <v:fill type="solid"/>
            </v:rect>
            <v:rect style="position:absolute;left:3197;top:893;width:480;height:1325" filled="false" stroked="true" strokeweight="2.16pt" strokecolor="#ffff00">
              <v:stroke dashstyle="solid"/>
            </v:rect>
            <v:line style="position:absolute" from="4843,1436" to="5549,1436" stroked="true" strokeweight=".24pt" strokecolor="#000000">
              <v:stroke dashstyle="shortdot"/>
            </v:line>
            <v:line style="position:absolute" from="4843,1032" to="5549,1032" stroked="true" strokeweight=".24pt" strokecolor="#000000">
              <v:stroke dashstyle="shortdot"/>
            </v:line>
            <v:rect style="position:absolute;left:4382;top:941;width:461;height:1277" filled="true" fillcolor="#ff0000" stroked="false">
              <v:fill type="solid"/>
            </v:rect>
            <v:rect style="position:absolute;left:4382;top:941;width:461;height:1277" filled="false" stroked="true" strokeweight="2.16pt" strokecolor="#ffff00">
              <v:stroke dashstyle="solid"/>
            </v:rect>
            <v:line style="position:absolute" from="6029,1436" to="6734,1436" stroked="true" strokeweight=".24pt" strokecolor="#000000">
              <v:stroke dashstyle="shortdot"/>
            </v:line>
            <v:line style="position:absolute" from="6029,1032" to="6734,1032" stroked="true" strokeweight=".24pt" strokecolor="#000000">
              <v:stroke dashstyle="shortdot"/>
            </v:line>
            <v:rect style="position:absolute;left:5549;top:912;width:480;height:1306" filled="true" fillcolor="#ff0000" stroked="false">
              <v:fill type="solid"/>
            </v:rect>
            <v:rect style="position:absolute;left:5549;top:912;width:480;height:1306" filled="false" stroked="true" strokeweight="2.16pt" strokecolor="#ffff00">
              <v:stroke dashstyle="solid"/>
            </v:rect>
            <v:line style="position:absolute" from="7214,1436" to="7574,1436" stroked="true" strokeweight=".24pt" strokecolor="#000000">
              <v:stroke dashstyle="shortdot"/>
            </v:line>
            <v:line style="position:absolute" from="7214,1032" to="7574,1032" stroked="true" strokeweight=".24pt" strokecolor="#000000">
              <v:stroke dashstyle="shortdot"/>
            </v:line>
            <v:rect style="position:absolute;left:6734;top:956;width:480;height:1262" filled="true" fillcolor="#ff0000" stroked="false">
              <v:fill type="solid"/>
            </v:rect>
            <v:rect style="position:absolute;left:6734;top:956;width:480;height:1262" filled="false" stroked="true" strokeweight="2.16pt" strokecolor="#ffff00">
              <v:stroke dashstyle="solid"/>
            </v:rect>
            <v:line style="position:absolute" from="1666,639" to="7574,639" stroked="true" strokeweight=".24pt" strokecolor="#000000">
              <v:stroke dashstyle="shortdot"/>
            </v:line>
            <v:line style="position:absolute" from="1666,639" to="1666,2218" stroked="true" strokeweight=".24pt" strokecolor="#000000">
              <v:stroke dashstyle="shortdot"/>
            </v:line>
            <v:line style="position:absolute" from="1622,2218" to="1666,2218" stroked="true" strokeweight=".24pt" strokecolor="#000000">
              <v:stroke dashstyle="shortdot"/>
            </v:line>
            <v:line style="position:absolute" from="1622,1824" to="1666,1824" stroked="true" strokeweight=".24pt" strokecolor="#000000">
              <v:stroke dashstyle="shortdot"/>
            </v:line>
            <v:line style="position:absolute" from="1622,1436" to="1666,1436" stroked="true" strokeweight=".24pt" strokecolor="#000000">
              <v:stroke dashstyle="shortdot"/>
            </v:line>
            <v:line style="position:absolute" from="1622,1032" to="1666,1032" stroked="true" strokeweight=".24pt" strokecolor="#000000">
              <v:stroke dashstyle="shortdot"/>
            </v:line>
            <v:line style="position:absolute" from="1622,639" to="1666,639" stroked="true" strokeweight=".24pt" strokecolor="#000000">
              <v:stroke dashstyle="shortdot"/>
            </v:line>
            <v:line style="position:absolute" from="1666,2218" to="7574,2218" stroked="true" strokeweight=".24pt" strokecolor="#ffffff">
              <v:stroke dashstyle="shortdot"/>
            </v:line>
            <v:line style="position:absolute" from="1666,2218" to="7574,2218" stroked="true" strokeweight=".24pt" strokecolor="#000000">
              <v:stroke dashstyle="shortdot"/>
            </v:line>
            <v:line style="position:absolute" from="1666,2261" to="1666,2170" stroked="true" strokeweight=".24pt" strokecolor="#ffffff">
              <v:stroke dashstyle="shortdot"/>
            </v:line>
            <v:line style="position:absolute" from="1666,2261" to="1666,2170" stroked="true" strokeweight=".24pt" strokecolor="#000000">
              <v:stroke dashstyle="shortdot"/>
            </v:line>
            <v:line style="position:absolute" from="2851,2261" to="2851,2170" stroked="true" strokeweight=".24pt" strokecolor="#ffffff">
              <v:stroke dashstyle="shortdot"/>
            </v:line>
            <v:line style="position:absolute" from="2851,2261" to="2851,2170" stroked="true" strokeweight=".24pt" strokecolor="#000000">
              <v:stroke dashstyle="shortdot"/>
            </v:line>
            <v:line style="position:absolute" from="4037,2261" to="4037,2170" stroked="true" strokeweight=".24pt" strokecolor="#ffffff">
              <v:stroke dashstyle="shortdot"/>
            </v:line>
            <v:line style="position:absolute" from="4037,2261" to="4037,2170" stroked="true" strokeweight=".24pt" strokecolor="#000000">
              <v:stroke dashstyle="shortdot"/>
            </v:line>
            <v:line style="position:absolute" from="5203,2261" to="5203,2170" stroked="true" strokeweight=".24pt" strokecolor="#ffffff">
              <v:stroke dashstyle="shortdot"/>
            </v:line>
            <v:line style="position:absolute" from="5203,2261" to="5203,2170" stroked="true" strokeweight=".24pt" strokecolor="#000000">
              <v:stroke dashstyle="shortdot"/>
            </v:line>
            <v:line style="position:absolute" from="6389,2261" to="6389,2170" stroked="true" strokeweight=".24pt" strokecolor="#ffffff">
              <v:stroke dashstyle="shortdot"/>
            </v:line>
            <v:line style="position:absolute" from="6389,2261" to="6389,2170" stroked="true" strokeweight=".24pt" strokecolor="#000000">
              <v:stroke dashstyle="shortdot"/>
            </v:line>
            <v:line style="position:absolute" from="7574,2261" to="7574,2170" stroked="true" strokeweight=".24pt" strokecolor="#000000">
              <v:stroke dashstyle="shortdot"/>
            </v:line>
            <v:rect style="position:absolute;left:1440;top:264;width:6821;height:2578" filled="false" stroked="true" strokeweight=".24pt" strokecolor="#000000">
              <v:stroke dashstyle="shortdot"/>
            </v:rect>
            <v:shape style="position:absolute;left:2069;top:643;width:485;height:185" type="#_x0000_t202" filled="false" stroked="false">
              <v:textbox inset="0,0,0,0">
                <w:txbxContent>
                  <w:p>
                    <w:pPr>
                      <w:spacing w:line="183" w:lineRule="exact" w:before="0"/>
                      <w:ind w:left="0" w:right="0" w:firstLine="0"/>
                      <w:jc w:val="left"/>
                      <w:rPr>
                        <w:b/>
                        <w:sz w:val="16"/>
                      </w:rPr>
                    </w:pPr>
                    <w:r>
                      <w:rPr>
                        <w:b/>
                        <w:sz w:val="16"/>
                      </w:rPr>
                      <w:t>68.4%</w:t>
                    </w:r>
                  </w:p>
                </w:txbxContent>
              </v:textbox>
              <w10:wrap type="none"/>
            </v:shape>
            <v:shape style="position:absolute;left:3226;top:643;width:485;height:185" type="#_x0000_t202" filled="false" stroked="false">
              <v:textbox inset="0,0,0,0">
                <w:txbxContent>
                  <w:p>
                    <w:pPr>
                      <w:spacing w:line="183" w:lineRule="exact" w:before="0"/>
                      <w:ind w:left="0" w:right="0" w:firstLine="0"/>
                      <w:jc w:val="left"/>
                      <w:rPr>
                        <w:b/>
                        <w:sz w:val="16"/>
                      </w:rPr>
                    </w:pPr>
                    <w:r>
                      <w:rPr>
                        <w:b/>
                        <w:sz w:val="16"/>
                      </w:rPr>
                      <w:t>67.3%</w:t>
                    </w:r>
                  </w:p>
                </w:txbxContent>
              </v:textbox>
              <w10:wrap type="none"/>
            </v:shape>
            <v:shape style="position:absolute;left:4382;top:643;width:481;height:185" type="#_x0000_t202" filled="false" stroked="false">
              <v:textbox inset="0,0,0,0">
                <w:txbxContent>
                  <w:p>
                    <w:pPr>
                      <w:spacing w:line="183" w:lineRule="exact" w:before="0"/>
                      <w:ind w:left="0" w:right="0" w:firstLine="0"/>
                      <w:jc w:val="left"/>
                      <w:rPr>
                        <w:b/>
                        <w:sz w:val="16"/>
                      </w:rPr>
                    </w:pPr>
                    <w:r>
                      <w:rPr>
                        <w:b/>
                        <w:sz w:val="16"/>
                      </w:rPr>
                      <w:t>64.5%</w:t>
                    </w:r>
                  </w:p>
                </w:txbxContent>
              </v:textbox>
              <w10:wrap type="none"/>
            </v:shape>
            <v:shape style="position:absolute;left:5611;top:657;width:481;height:185" type="#_x0000_t202" filled="false" stroked="false">
              <v:textbox inset="0,0,0,0">
                <w:txbxContent>
                  <w:p>
                    <w:pPr>
                      <w:spacing w:line="183" w:lineRule="exact" w:before="0"/>
                      <w:ind w:left="0" w:right="0" w:firstLine="0"/>
                      <w:jc w:val="left"/>
                      <w:rPr>
                        <w:b/>
                        <w:sz w:val="16"/>
                      </w:rPr>
                    </w:pPr>
                    <w:r>
                      <w:rPr>
                        <w:b/>
                        <w:sz w:val="16"/>
                      </w:rPr>
                      <w:t>66.5%</w:t>
                    </w:r>
                  </w:p>
                </w:txbxContent>
              </v:textbox>
              <w10:wrap type="none"/>
            </v:shape>
            <v:shape style="position:absolute;left:6734;top:657;width:485;height:185" type="#_x0000_t202" filled="false" stroked="false">
              <v:textbox inset="0,0,0,0">
                <w:txbxContent>
                  <w:p>
                    <w:pPr>
                      <w:spacing w:line="183" w:lineRule="exact" w:before="0"/>
                      <w:ind w:left="0" w:right="0" w:firstLine="0"/>
                      <w:jc w:val="left"/>
                      <w:rPr>
                        <w:b/>
                        <w:sz w:val="16"/>
                      </w:rPr>
                    </w:pPr>
                    <w:r>
                      <w:rPr>
                        <w:b/>
                        <w:sz w:val="16"/>
                      </w:rPr>
                      <w:t>63.7%</w:t>
                    </w:r>
                  </w:p>
                </w:txbxContent>
              </v:textbox>
              <w10:wrap type="none"/>
            </v:shape>
            <v:shape style="position:absolute;left:7709;top:537;width:351;height:1764" type="#_x0000_t202" filled="false" stroked="false">
              <v:textbox inset="0,0,0,0">
                <w:txbxContent>
                  <w:p>
                    <w:pPr>
                      <w:spacing w:line="183" w:lineRule="exact" w:before="0"/>
                      <w:ind w:left="0" w:right="0" w:firstLine="0"/>
                      <w:jc w:val="left"/>
                      <w:rPr>
                        <w:b/>
                        <w:sz w:val="16"/>
                      </w:rPr>
                    </w:pPr>
                    <w:r>
                      <w:rPr>
                        <w:b/>
                        <w:color w:val="FF0000"/>
                        <w:sz w:val="16"/>
                      </w:rPr>
                      <w:t>80%</w:t>
                    </w:r>
                  </w:p>
                  <w:p>
                    <w:pPr>
                      <w:spacing w:line="240" w:lineRule="auto" w:before="2"/>
                      <w:rPr>
                        <w:i/>
                        <w:sz w:val="18"/>
                      </w:rPr>
                    </w:pPr>
                  </w:p>
                  <w:p>
                    <w:pPr>
                      <w:spacing w:before="0"/>
                      <w:ind w:left="0" w:right="0" w:firstLine="0"/>
                      <w:jc w:val="left"/>
                      <w:rPr>
                        <w:b/>
                        <w:sz w:val="16"/>
                      </w:rPr>
                    </w:pPr>
                    <w:r>
                      <w:rPr>
                        <w:b/>
                        <w:color w:val="FF0000"/>
                        <w:sz w:val="16"/>
                      </w:rPr>
                      <w:t>60%</w:t>
                    </w:r>
                  </w:p>
                  <w:p>
                    <w:pPr>
                      <w:spacing w:line="240" w:lineRule="auto" w:before="0"/>
                      <w:rPr>
                        <w:i/>
                        <w:sz w:val="19"/>
                      </w:rPr>
                    </w:pPr>
                  </w:p>
                  <w:p>
                    <w:pPr>
                      <w:spacing w:before="0"/>
                      <w:ind w:left="0" w:right="0" w:firstLine="0"/>
                      <w:jc w:val="left"/>
                      <w:rPr>
                        <w:b/>
                        <w:sz w:val="16"/>
                      </w:rPr>
                    </w:pPr>
                    <w:r>
                      <w:rPr>
                        <w:b/>
                        <w:color w:val="FF0000"/>
                        <w:sz w:val="16"/>
                      </w:rPr>
                      <w:t>40%</w:t>
                    </w:r>
                  </w:p>
                  <w:p>
                    <w:pPr>
                      <w:spacing w:line="240" w:lineRule="auto" w:before="9"/>
                      <w:rPr>
                        <w:i/>
                        <w:sz w:val="17"/>
                      </w:rPr>
                    </w:pPr>
                  </w:p>
                  <w:p>
                    <w:pPr>
                      <w:spacing w:before="0"/>
                      <w:ind w:left="0" w:right="0" w:firstLine="0"/>
                      <w:jc w:val="left"/>
                      <w:rPr>
                        <w:b/>
                        <w:sz w:val="16"/>
                      </w:rPr>
                    </w:pPr>
                    <w:r>
                      <w:rPr>
                        <w:b/>
                        <w:color w:val="FF0000"/>
                        <w:sz w:val="16"/>
                      </w:rPr>
                      <w:t>20%</w:t>
                    </w:r>
                  </w:p>
                  <w:p>
                    <w:pPr>
                      <w:spacing w:line="240" w:lineRule="auto" w:before="2"/>
                      <w:rPr>
                        <w:i/>
                        <w:sz w:val="18"/>
                      </w:rPr>
                    </w:pPr>
                  </w:p>
                  <w:p>
                    <w:pPr>
                      <w:spacing w:before="0"/>
                      <w:ind w:left="0" w:right="0" w:firstLine="0"/>
                      <w:jc w:val="left"/>
                      <w:rPr>
                        <w:b/>
                        <w:sz w:val="16"/>
                      </w:rPr>
                    </w:pPr>
                    <w:r>
                      <w:rPr>
                        <w:b/>
                        <w:color w:val="FF0000"/>
                        <w:sz w:val="16"/>
                      </w:rPr>
                      <w:t>0%</w:t>
                    </w:r>
                  </w:p>
                </w:txbxContent>
              </v:textbox>
              <w10:wrap type="none"/>
            </v:shape>
            <v:shape style="position:absolute;left:2160;top:2356;width:4940;height:185" type="#_x0000_t202" filled="false" stroked="false">
              <v:textbox inset="0,0,0,0">
                <w:txbxContent>
                  <w:p>
                    <w:pPr>
                      <w:tabs>
                        <w:tab w:pos="1185" w:val="left" w:leader="none"/>
                        <w:tab w:pos="2371" w:val="left" w:leader="none"/>
                        <w:tab w:pos="3556" w:val="left" w:leader="none"/>
                        <w:tab w:pos="4742" w:val="left" w:leader="none"/>
                      </w:tabs>
                      <w:spacing w:line="183" w:lineRule="exact" w:before="0"/>
                      <w:ind w:left="0" w:right="0" w:firstLine="0"/>
                      <w:jc w:val="left"/>
                      <w:rPr>
                        <w:b/>
                        <w:sz w:val="16"/>
                      </w:rPr>
                    </w:pPr>
                    <w:r>
                      <w:rPr>
                        <w:b/>
                        <w:color w:val="FF0000"/>
                        <w:w w:val="105"/>
                        <w:sz w:val="16"/>
                      </w:rPr>
                      <w:t>93</w:t>
                      <w:tab/>
                      <w:t>94</w:t>
                      <w:tab/>
                      <w:t>95</w:t>
                      <w:tab/>
                      <w:t>96</w:t>
                      <w:tab/>
                    </w:r>
                    <w:r>
                      <w:rPr>
                        <w:b/>
                        <w:color w:val="FF0000"/>
                        <w:spacing w:val="-4"/>
                        <w:w w:val="105"/>
                        <w:sz w:val="16"/>
                      </w:rPr>
                      <w:t>97</w:t>
                    </w:r>
                  </w:p>
                </w:txbxContent>
              </v:textbox>
              <w10:wrap type="none"/>
            </v:shape>
            <w10:wrap type="topAndBottom"/>
          </v:group>
        </w:pict>
      </w:r>
    </w:p>
    <w:p>
      <w:pPr>
        <w:pStyle w:val="Heading3"/>
        <w:spacing w:before="50"/>
        <w:ind w:left="120"/>
      </w:pPr>
      <w:r>
        <w:rPr/>
        <w:t>PASSENGER LOAD FACTOR</w:t>
      </w:r>
    </w:p>
    <w:p>
      <w:pPr>
        <w:spacing w:after="0"/>
        <w:sectPr>
          <w:pgSz w:w="12240" w:h="15840"/>
          <w:pgMar w:header="1592" w:footer="790" w:top="2120" w:bottom="980" w:left="1320" w:right="1320"/>
        </w:sectPr>
      </w:pPr>
    </w:p>
    <w:p>
      <w:pPr>
        <w:pStyle w:val="BodyText"/>
        <w:spacing w:before="8"/>
        <w:rPr>
          <w:b/>
        </w:rPr>
      </w:pPr>
    </w:p>
    <w:p>
      <w:pPr>
        <w:spacing w:line="249" w:lineRule="auto" w:before="83"/>
        <w:ind w:left="119" w:right="117" w:firstLine="360"/>
        <w:jc w:val="both"/>
        <w:rPr>
          <w:b/>
          <w:sz w:val="36"/>
        </w:rPr>
      </w:pPr>
      <w:r>
        <w:rPr>
          <w:b/>
          <w:color w:val="008080"/>
          <w:sz w:val="56"/>
        </w:rPr>
        <w:t>O</w:t>
      </w:r>
      <w:r>
        <w:rPr>
          <w:b/>
          <w:color w:val="008080"/>
          <w:sz w:val="36"/>
        </w:rPr>
        <w:t>UR FLIGHTS </w:t>
      </w:r>
      <w:r>
        <w:rPr>
          <w:b/>
          <w:color w:val="FF0000"/>
          <w:sz w:val="36"/>
        </w:rPr>
        <w:t>ARE DESIGNED TO GIVE OUR CUSTOMERS FLEXIBILITY. BEFORE WE VENTURE INTO A NEW CITY, WE FIRST MAKE SURE THAT THERE ARE LOTS OF DAILY FLIGHTS TO THE CITIES WE CURRENTLY SERVE.</w:t>
      </w:r>
    </w:p>
    <w:p>
      <w:pPr>
        <w:pStyle w:val="BodyText"/>
        <w:spacing w:before="10"/>
        <w:rPr>
          <w:b/>
          <w:sz w:val="37"/>
        </w:rPr>
      </w:pPr>
    </w:p>
    <w:p>
      <w:pPr>
        <w:pStyle w:val="BodyText"/>
        <w:spacing w:line="312" w:lineRule="auto"/>
        <w:ind w:left="1559" w:right="203"/>
      </w:pPr>
      <w:r>
        <w:rPr/>
        <w:t>Southwest provides service to communities that can benefit from high- frequency, low cost air transportation and have sufficient local traffic to support our operations profitably. Because we focus primarily on the local shorthaul Customer, we schedule our aircraft on a point-to-point, not hub and spoke, basis. Consequently, 75 to 80 percent of our Customers fly nonstop. This is in sharp contrast to the rest of the industry, where the majority of traffic connects.</w:t>
      </w:r>
    </w:p>
    <w:p>
      <w:pPr>
        <w:pStyle w:val="BodyText"/>
        <w:spacing w:before="7"/>
        <w:rPr>
          <w:sz w:val="31"/>
        </w:rPr>
      </w:pPr>
    </w:p>
    <w:p>
      <w:pPr>
        <w:pStyle w:val="BodyText"/>
        <w:spacing w:line="312" w:lineRule="auto"/>
        <w:ind w:left="1559" w:right="119"/>
      </w:pPr>
      <w:r>
        <w:rPr/>
        <w:t>Southwest’s point-to-point </w:t>
      </w:r>
      <w:r>
        <w:rPr>
          <w:spacing w:val="2"/>
        </w:rPr>
        <w:t>route </w:t>
      </w:r>
      <w:r>
        <w:rPr/>
        <w:t>system, as compared to hub and spoke, provides our Customers with extensive nonstop routings that minimize connections, delays, and travel time. </w:t>
      </w:r>
      <w:r>
        <w:rPr>
          <w:spacing w:val="-4"/>
        </w:rPr>
        <w:t>Because </w:t>
      </w:r>
      <w:r>
        <w:rPr/>
        <w:t>of our high frequencies and quick turnarounds (approximately 20 minutes), ground time is also  minimal for the 20 to 25 percent of our passengers who have connecting flights. </w:t>
      </w:r>
      <w:r>
        <w:rPr>
          <w:spacing w:val="2"/>
        </w:rPr>
        <w:t>The </w:t>
      </w:r>
      <w:r>
        <w:rPr/>
        <w:t>combination of our extensive </w:t>
      </w:r>
      <w:r>
        <w:rPr>
          <w:spacing w:val="2"/>
        </w:rPr>
        <w:t>route </w:t>
      </w:r>
      <w:r>
        <w:rPr/>
        <w:t>system and high frequency approach provides both our business and leisure travelers </w:t>
      </w:r>
      <w:r>
        <w:rPr>
          <w:spacing w:val="-3"/>
        </w:rPr>
        <w:t>maximum </w:t>
      </w:r>
      <w:r>
        <w:rPr/>
        <w:t>flexibility and</w:t>
      </w:r>
      <w:r>
        <w:rPr>
          <w:spacing w:val="22"/>
        </w:rPr>
        <w:t> </w:t>
      </w:r>
      <w:r>
        <w:rPr/>
        <w:t>convenience.</w:t>
      </w:r>
    </w:p>
    <w:p>
      <w:pPr>
        <w:pStyle w:val="BodyText"/>
        <w:spacing w:before="7"/>
        <w:rPr>
          <w:sz w:val="31"/>
        </w:rPr>
      </w:pPr>
    </w:p>
    <w:p>
      <w:pPr>
        <w:pStyle w:val="BodyText"/>
        <w:spacing w:line="312" w:lineRule="auto"/>
        <w:ind w:left="1559" w:right="174"/>
      </w:pPr>
      <w:r>
        <w:rPr/>
        <w:t>Since </w:t>
      </w:r>
      <w:r>
        <w:rPr>
          <w:spacing w:val="-3"/>
        </w:rPr>
        <w:t>we </w:t>
      </w:r>
      <w:r>
        <w:rPr/>
        <w:t>fully understand the value of our Customers’ time and money, </w:t>
      </w:r>
      <w:r>
        <w:rPr>
          <w:spacing w:val="-3"/>
        </w:rPr>
        <w:t>we </w:t>
      </w:r>
      <w:r>
        <w:rPr/>
        <w:t>also serve many conveniently located satellite or downtown airports, such as Dallas Love </w:t>
      </w:r>
      <w:r>
        <w:rPr>
          <w:spacing w:val="3"/>
        </w:rPr>
        <w:t>Field, </w:t>
      </w:r>
      <w:r>
        <w:rPr/>
        <w:t>Houston Hobby, Chicago Midway, Oakland, </w:t>
      </w:r>
      <w:r>
        <w:rPr>
          <w:spacing w:val="-4"/>
        </w:rPr>
        <w:t>Burbank, </w:t>
      </w:r>
      <w:r>
        <w:rPr>
          <w:spacing w:val="2"/>
        </w:rPr>
        <w:t>Ft. </w:t>
      </w:r>
      <w:r>
        <w:rPr/>
        <w:t>Lauderdale, Providence, and Baltimore to name a few, which further </w:t>
      </w:r>
      <w:r>
        <w:rPr>
          <w:spacing w:val="2"/>
        </w:rPr>
        <w:t>reduces </w:t>
      </w:r>
      <w:r>
        <w:rPr/>
        <w:t>total trip time and transportation expenses to and from the </w:t>
      </w:r>
      <w:r>
        <w:rPr>
          <w:spacing w:val="2"/>
        </w:rPr>
        <w:t>airport. </w:t>
      </w:r>
      <w:r>
        <w:rPr/>
        <w:t>By avoiding congested hub </w:t>
      </w:r>
      <w:r>
        <w:rPr>
          <w:spacing w:val="2"/>
        </w:rPr>
        <w:t>airports, </w:t>
      </w:r>
      <w:r>
        <w:rPr>
          <w:spacing w:val="-3"/>
        </w:rPr>
        <w:t>we </w:t>
      </w:r>
      <w:r>
        <w:rPr/>
        <w:t>also enhance our ability to sustain high ontime</w:t>
      </w:r>
      <w:r>
        <w:rPr>
          <w:spacing w:val="2"/>
        </w:rPr>
        <w:t> </w:t>
      </w:r>
      <w:r>
        <w:rPr/>
        <w:t>performance.</w:t>
      </w:r>
    </w:p>
    <w:p>
      <w:pPr>
        <w:spacing w:after="0" w:line="312" w:lineRule="auto"/>
        <w:sectPr>
          <w:pgSz w:w="12240" w:h="15840"/>
          <w:pgMar w:header="1592" w:footer="790" w:top="2120" w:bottom="980" w:left="1320" w:right="1320"/>
        </w:sectPr>
      </w:pPr>
    </w:p>
    <w:p>
      <w:pPr>
        <w:pStyle w:val="BodyText"/>
        <w:rPr>
          <w:sz w:val="20"/>
        </w:rPr>
      </w:pPr>
    </w:p>
    <w:p>
      <w:pPr>
        <w:pStyle w:val="BodyText"/>
        <w:spacing w:line="312" w:lineRule="auto" w:before="207"/>
        <w:ind w:left="1559" w:right="406"/>
      </w:pPr>
      <w:r>
        <w:rPr/>
        <w:t>In today’s fast-paced society, Customers demand not only low fares but flexibility and convenience as well. That is why our extensive route system, frequent flights, and uncongested airport selection are so important, especially in such a highly competitive industry. Although we serve only 52 airports, we have 2,300 flights per day. The average number of daily departures per airport is approximately 44, providing maximum convenience and flexibility to our valued Customers.</w:t>
      </w:r>
    </w:p>
    <w:p>
      <w:pPr>
        <w:pStyle w:val="BodyText"/>
        <w:spacing w:before="6"/>
        <w:rPr>
          <w:sz w:val="31"/>
        </w:rPr>
      </w:pPr>
    </w:p>
    <w:p>
      <w:pPr>
        <w:pStyle w:val="BodyText"/>
        <w:spacing w:line="312" w:lineRule="auto"/>
        <w:ind w:left="1559" w:right="136"/>
      </w:pPr>
      <w:r>
        <w:rPr/>
        <w:t>Not coincidentally, our desire to offer convenient, frequent flights at convenient, uncongested airports meshes well with our desire to operate efficiently. Scheduling frequent flights with minimum ground time at efficient airports contributes to the highest productivity in the industry and, in turn, the lowest operating costs.</w:t>
      </w:r>
    </w:p>
    <w:p>
      <w:pPr>
        <w:pStyle w:val="BodyText"/>
        <w:spacing w:before="1"/>
        <w:rPr>
          <w:sz w:val="31"/>
        </w:rPr>
      </w:pPr>
    </w:p>
    <w:p>
      <w:pPr>
        <w:pStyle w:val="Heading3"/>
        <w:spacing w:line="312" w:lineRule="auto"/>
        <w:ind w:right="117"/>
        <w:jc w:val="both"/>
      </w:pPr>
      <w:r>
        <w:rPr>
          <w:color w:val="008080"/>
        </w:rPr>
        <w:t>“SOUTHWEST’S FREQUENT FLIGHTS ARE AS FUNDAMENTAL TO OUR SUCCESS AS LOW FARES. SO IF YOU MISS A FLIGHT, CHANCES ARE GOOD THERE WILL BE ANOTHER ONE DEPARTING WITHIN THE NEXT HOUR OR SO.”</w:t>
      </w:r>
    </w:p>
    <w:p>
      <w:pPr>
        <w:pStyle w:val="BodyText"/>
        <w:spacing w:before="6"/>
        <w:rPr>
          <w:b/>
          <w:sz w:val="31"/>
        </w:rPr>
      </w:pPr>
    </w:p>
    <w:p>
      <w:pPr>
        <w:spacing w:line="312" w:lineRule="auto" w:before="0"/>
        <w:ind w:left="5159" w:right="406" w:firstLine="0"/>
        <w:jc w:val="left"/>
        <w:rPr>
          <w:b/>
          <w:sz w:val="24"/>
        </w:rPr>
      </w:pPr>
      <w:r>
        <w:rPr>
          <w:b/>
          <w:color w:val="FF0000"/>
          <w:sz w:val="24"/>
        </w:rPr>
        <w:t>Gary A. Barron, Executive Vice President -Chief Operations Officer</w:t>
      </w:r>
    </w:p>
    <w:p>
      <w:pPr>
        <w:spacing w:after="0" w:line="312" w:lineRule="auto"/>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5.3pt;height:132.75pt;mso-position-horizontal-relative:char;mso-position-vertical-relative:line" coordorigin="0,0" coordsize="6706,2655">
            <v:line style="position:absolute" from="5585,1471" to="5930,1471" stroked="true" strokeweight=".24pt" strokecolor="#000000">
              <v:stroke dashstyle="shortdot"/>
            </v:line>
            <v:line style="position:absolute" from="4443,1471" to="5134,1471" stroked="true" strokeweight=".24pt" strokecolor="#000000">
              <v:stroke dashstyle="shortdot"/>
            </v:line>
            <v:line style="position:absolute" from="3305,1471" to="3991,1471" stroked="true" strokeweight=".24pt" strokecolor="#000000">
              <v:stroke dashstyle="shortdot"/>
            </v:line>
            <v:line style="position:absolute" from="2163,1471" to="2854,1471" stroked="true" strokeweight=".24pt" strokecolor="#000000">
              <v:stroke dashstyle="shortdot"/>
            </v:line>
            <v:line style="position:absolute" from="1025,1471" to="1711,1471" stroked="true" strokeweight=".24pt" strokecolor="#000000">
              <v:stroke dashstyle="shortdot"/>
            </v:line>
            <v:line style="position:absolute" from="228,1471" to="574,1471" stroked="true" strokeweight=".24pt" strokecolor="#000000">
              <v:stroke dashstyle="shortdot"/>
            </v:line>
            <v:line style="position:absolute" from="1025,934" to="1711,934" stroked="true" strokeweight=".24pt" strokecolor="#000000">
              <v:stroke dashstyle="shortdot"/>
            </v:line>
            <v:line style="position:absolute" from="228,934" to="574,934" stroked="true" strokeweight=".24pt" strokecolor="#000000">
              <v:stroke dashstyle="shortdot"/>
            </v:line>
            <v:rect style="position:absolute;left:574;top:828;width:451;height:1200" filled="true" fillcolor="#ff0000" stroked="false">
              <v:fill type="solid"/>
            </v:rect>
            <v:rect style="position:absolute;left:574;top:828;width:451;height:1200" filled="false" stroked="true" strokeweight="2.16pt" strokecolor="#ffff00">
              <v:stroke dashstyle="solid"/>
            </v:rect>
            <v:line style="position:absolute" from="2163,934" to="2854,934" stroked="true" strokeweight=".24pt" strokecolor="#000000">
              <v:stroke dashstyle="shortdot"/>
            </v:line>
            <v:rect style="position:absolute;left:1711;top:799;width:451;height:1229" filled="true" fillcolor="#ff0000" stroked="false">
              <v:fill type="solid"/>
            </v:rect>
            <v:rect style="position:absolute;left:1711;top:799;width:451;height:1229" filled="false" stroked="true" strokeweight="2.16pt" strokecolor="#ffff00">
              <v:stroke dashstyle="solid"/>
            </v:rect>
            <v:line style="position:absolute" from="3305,934" to="3991,934" stroked="true" strokeweight=".24pt" strokecolor="#000000">
              <v:stroke dashstyle="shortdot"/>
            </v:line>
            <v:rect style="position:absolute;left:2854;top:814;width:451;height:1214" filled="true" fillcolor="#ff0000" stroked="false">
              <v:fill type="solid"/>
            </v:rect>
            <v:rect style="position:absolute;left:2854;top:814;width:451;height:1214" filled="false" stroked="true" strokeweight="2.16pt" strokecolor="#ffff00">
              <v:stroke dashstyle="solid"/>
            </v:rect>
            <v:line style="position:absolute" from="4443,934" to="5134,934" stroked="true" strokeweight=".24pt" strokecolor="#000000">
              <v:stroke dashstyle="shortdot"/>
            </v:line>
            <v:rect style="position:absolute;left:3991;top:799;width:451;height:1229" filled="true" fillcolor="#ff0000" stroked="false">
              <v:fill type="solid"/>
            </v:rect>
            <v:rect style="position:absolute;left:3991;top:799;width:451;height:1229" filled="false" stroked="true" strokeweight="2.16pt" strokecolor="#ffff00">
              <v:stroke dashstyle="solid"/>
            </v:rect>
            <v:line style="position:absolute" from="5585,934" to="5930,934" stroked="true" strokeweight=".24pt" strokecolor="#000000">
              <v:stroke dashstyle="shortdot"/>
            </v:line>
            <v:rect style="position:absolute;left:5134;top:799;width:451;height:1229" filled="true" fillcolor="#ff0000" stroked="false">
              <v:fill type="solid"/>
            </v:rect>
            <v:rect style="position:absolute;left:5134;top:799;width:451;height:1229" filled="false" stroked="true" strokeweight="2.16pt" strokecolor="#ffff00">
              <v:stroke dashstyle="solid"/>
            </v:rect>
            <v:line style="position:absolute" from="228,377" to="5930,377" stroked="true" strokeweight=".24pt" strokecolor="#000000">
              <v:stroke dashstyle="shortdot"/>
            </v:line>
            <v:line style="position:absolute" from="228,377" to="228,2028" stroked="true" strokeweight=".24pt" strokecolor="#000000">
              <v:stroke dashstyle="shortdot"/>
            </v:line>
            <v:line style="position:absolute" from="185,2028" to="228,2028" stroked="true" strokeweight=".24pt" strokecolor="#000000">
              <v:stroke dashstyle="shortdot"/>
            </v:line>
            <v:line style="position:absolute" from="185,1471" to="228,1471" stroked="true" strokeweight=".24pt" strokecolor="#000000">
              <v:stroke dashstyle="shortdot"/>
            </v:line>
            <v:line style="position:absolute" from="185,934" to="228,934" stroked="true" strokeweight=".24pt" strokecolor="#000000">
              <v:stroke dashstyle="shortdot"/>
            </v:line>
            <v:line style="position:absolute" from="185,377" to="228,377" stroked="true" strokeweight=".24pt" strokecolor="#000000">
              <v:stroke dashstyle="shortdot"/>
            </v:line>
            <v:line style="position:absolute" from="228,2028" to="5930,2028" stroked="true" strokeweight=".24pt" strokecolor="#ffffff">
              <v:stroke dashstyle="shortdot"/>
            </v:line>
            <v:line style="position:absolute" from="228,2028" to="5930,2028" stroked="true" strokeweight=".24pt" strokecolor="#000000">
              <v:stroke dashstyle="shortdot"/>
            </v:line>
            <v:line style="position:absolute" from="228,2071" to="228,1980" stroked="true" strokeweight=".24pt" strokecolor="#ffffff">
              <v:stroke dashstyle="shortdot"/>
            </v:line>
            <v:line style="position:absolute" from="228,2071" to="228,1980" stroked="true" strokeweight=".24pt" strokecolor="#000000">
              <v:stroke dashstyle="shortdot"/>
            </v:line>
            <v:line style="position:absolute" from="1366,2071" to="1366,1980" stroked="true" strokeweight=".24pt" strokecolor="#ffffff">
              <v:stroke dashstyle="shortdot"/>
            </v:line>
            <v:line style="position:absolute" from="1366,2071" to="1366,1980" stroked="true" strokeweight=".24pt" strokecolor="#000000">
              <v:stroke dashstyle="shortdot"/>
            </v:line>
            <v:line style="position:absolute" from="2508,2071" to="2508,1980" stroked="true" strokeweight=".24pt" strokecolor="#ffffff">
              <v:stroke dashstyle="shortdot"/>
            </v:line>
            <v:line style="position:absolute" from="2508,2071" to="2508,1980" stroked="true" strokeweight=".24pt" strokecolor="#000000">
              <v:stroke dashstyle="shortdot"/>
            </v:line>
            <v:line style="position:absolute" from="3646,2071" to="3646,1980" stroked="true" strokeweight=".24pt" strokecolor="#ffffff">
              <v:stroke dashstyle="shortdot"/>
            </v:line>
            <v:line style="position:absolute" from="3646,2071" to="3646,1980" stroked="true" strokeweight=".24pt" strokecolor="#000000">
              <v:stroke dashstyle="shortdot"/>
            </v:line>
            <v:line style="position:absolute" from="4788,2071" to="4788,1980" stroked="true" strokeweight=".24pt" strokecolor="#ffffff">
              <v:stroke dashstyle="shortdot"/>
            </v:line>
            <v:line style="position:absolute" from="4788,2071" to="4788,1980" stroked="true" strokeweight=".24pt" strokecolor="#000000">
              <v:stroke dashstyle="shortdot"/>
            </v:line>
            <v:line style="position:absolute" from="5930,2071" to="5930,1980" stroked="true" strokeweight=".24pt" strokecolor="#000000">
              <v:stroke dashstyle="shortdot"/>
            </v:line>
            <v:rect style="position:absolute;left:3;top:3;width:6701;height:2650" filled="false" stroked="true" strokeweight=".24pt" strokecolor="#000000">
              <v:stroke dashstyle="shortdot"/>
            </v:rect>
            <v:shape style="position:absolute;left:6065;top:276;width:422;height:185" type="#_x0000_t202" filled="false" stroked="false">
              <v:textbox inset="0,0,0,0">
                <w:txbxContent>
                  <w:p>
                    <w:pPr>
                      <w:spacing w:line="183" w:lineRule="exact" w:before="0"/>
                      <w:ind w:left="0" w:right="0" w:firstLine="0"/>
                      <w:jc w:val="left"/>
                      <w:rPr>
                        <w:b/>
                        <w:sz w:val="16"/>
                      </w:rPr>
                    </w:pPr>
                    <w:r>
                      <w:rPr>
                        <w:b/>
                        <w:color w:val="FF0000"/>
                        <w:spacing w:val="-5"/>
                        <w:w w:val="105"/>
                        <w:sz w:val="16"/>
                      </w:rPr>
                      <w:t>15:00</w:t>
                    </w:r>
                  </w:p>
                </w:txbxContent>
              </v:textbox>
              <w10:wrap type="none"/>
            </v:shape>
            <v:shape style="position:absolute;left:603;top:530;width:426;height:185" type="#_x0000_t202" filled="false" stroked="false">
              <v:textbox inset="0,0,0,0">
                <w:txbxContent>
                  <w:p>
                    <w:pPr>
                      <w:spacing w:line="183" w:lineRule="exact" w:before="0"/>
                      <w:ind w:left="0" w:right="0" w:firstLine="0"/>
                      <w:jc w:val="left"/>
                      <w:rPr>
                        <w:b/>
                        <w:sz w:val="16"/>
                      </w:rPr>
                    </w:pPr>
                    <w:r>
                      <w:rPr>
                        <w:b/>
                        <w:spacing w:val="-4"/>
                        <w:w w:val="105"/>
                        <w:sz w:val="16"/>
                      </w:rPr>
                      <w:t>10:56</w:t>
                    </w:r>
                  </w:p>
                </w:txbxContent>
              </v:textbox>
              <w10:wrap type="none"/>
            </v:shape>
            <v:shape style="position:absolute;left:1745;top:501;width:422;height:185" type="#_x0000_t202" filled="false" stroked="false">
              <v:textbox inset="0,0,0,0">
                <w:txbxContent>
                  <w:p>
                    <w:pPr>
                      <w:spacing w:line="183" w:lineRule="exact" w:before="0"/>
                      <w:ind w:left="0" w:right="0" w:firstLine="0"/>
                      <w:jc w:val="left"/>
                      <w:rPr>
                        <w:b/>
                        <w:sz w:val="16"/>
                      </w:rPr>
                    </w:pPr>
                    <w:r>
                      <w:rPr>
                        <w:b/>
                        <w:spacing w:val="-5"/>
                        <w:w w:val="105"/>
                        <w:sz w:val="16"/>
                      </w:rPr>
                      <w:t>11:10</w:t>
                    </w:r>
                  </w:p>
                </w:txbxContent>
              </v:textbox>
              <w10:wrap type="none"/>
            </v:shape>
            <v:shape style="position:absolute;left:2883;top:516;width:426;height:185" type="#_x0000_t202" filled="false" stroked="false">
              <v:textbox inset="0,0,0,0">
                <w:txbxContent>
                  <w:p>
                    <w:pPr>
                      <w:spacing w:line="183" w:lineRule="exact" w:before="0"/>
                      <w:ind w:left="0" w:right="0" w:firstLine="0"/>
                      <w:jc w:val="left"/>
                      <w:rPr>
                        <w:b/>
                        <w:sz w:val="16"/>
                      </w:rPr>
                    </w:pPr>
                    <w:r>
                      <w:rPr>
                        <w:b/>
                        <w:spacing w:val="-4"/>
                        <w:w w:val="105"/>
                        <w:sz w:val="16"/>
                      </w:rPr>
                      <w:t>11:03</w:t>
                    </w:r>
                  </w:p>
                </w:txbxContent>
              </v:textbox>
              <w10:wrap type="none"/>
            </v:shape>
            <v:shape style="position:absolute;left:4025;top:501;width:422;height:185" type="#_x0000_t202" filled="false" stroked="false">
              <v:textbox inset="0,0,0,0">
                <w:txbxContent>
                  <w:p>
                    <w:pPr>
                      <w:spacing w:line="183" w:lineRule="exact" w:before="0"/>
                      <w:ind w:left="0" w:right="0" w:firstLine="0"/>
                      <w:jc w:val="left"/>
                      <w:rPr>
                        <w:b/>
                        <w:sz w:val="16"/>
                      </w:rPr>
                    </w:pPr>
                    <w:r>
                      <w:rPr>
                        <w:b/>
                        <w:spacing w:val="-5"/>
                        <w:w w:val="105"/>
                        <w:sz w:val="16"/>
                      </w:rPr>
                      <w:t>11:07</w:t>
                    </w:r>
                  </w:p>
                </w:txbxContent>
              </v:textbox>
              <w10:wrap type="none"/>
            </v:shape>
            <v:shape style="position:absolute;left:5163;top:501;width:426;height:185" type="#_x0000_t202" filled="false" stroked="false">
              <v:textbox inset="0,0,0,0">
                <w:txbxContent>
                  <w:p>
                    <w:pPr>
                      <w:spacing w:line="183" w:lineRule="exact" w:before="0"/>
                      <w:ind w:left="0" w:right="0" w:firstLine="0"/>
                      <w:jc w:val="left"/>
                      <w:rPr>
                        <w:b/>
                        <w:sz w:val="16"/>
                      </w:rPr>
                    </w:pPr>
                    <w:r>
                      <w:rPr>
                        <w:b/>
                        <w:spacing w:val="-4"/>
                        <w:w w:val="105"/>
                        <w:sz w:val="16"/>
                      </w:rPr>
                      <w:t>11:12</w:t>
                    </w:r>
                  </w:p>
                </w:txbxContent>
              </v:textbox>
              <w10:wrap type="none"/>
            </v:shape>
            <v:shape style="position:absolute;left:6065;top:832;width:422;height:1279" type="#_x0000_t202" filled="false" stroked="false">
              <v:textbox inset="0,0,0,0">
                <w:txbxContent>
                  <w:p>
                    <w:pPr>
                      <w:spacing w:line="183" w:lineRule="exact" w:before="0"/>
                      <w:ind w:left="0" w:right="0" w:firstLine="0"/>
                      <w:jc w:val="left"/>
                      <w:rPr>
                        <w:b/>
                        <w:sz w:val="16"/>
                      </w:rPr>
                    </w:pPr>
                    <w:r>
                      <w:rPr>
                        <w:b/>
                        <w:color w:val="FF0000"/>
                        <w:spacing w:val="-5"/>
                        <w:w w:val="105"/>
                        <w:sz w:val="16"/>
                      </w:rPr>
                      <w:t>10:00</w:t>
                    </w:r>
                  </w:p>
                  <w:p>
                    <w:pPr>
                      <w:spacing w:line="240" w:lineRule="auto" w:before="0"/>
                      <w:rPr>
                        <w:b/>
                        <w:sz w:val="18"/>
                      </w:rPr>
                    </w:pPr>
                  </w:p>
                  <w:p>
                    <w:pPr>
                      <w:spacing w:before="146"/>
                      <w:ind w:left="0" w:right="0" w:firstLine="0"/>
                      <w:jc w:val="left"/>
                      <w:rPr>
                        <w:b/>
                        <w:sz w:val="16"/>
                      </w:rPr>
                    </w:pPr>
                    <w:r>
                      <w:rPr>
                        <w:b/>
                        <w:color w:val="FF0000"/>
                        <w:w w:val="105"/>
                        <w:sz w:val="16"/>
                      </w:rPr>
                      <w:t>5:00</w:t>
                    </w:r>
                  </w:p>
                  <w:p>
                    <w:pPr>
                      <w:spacing w:line="240" w:lineRule="auto" w:before="0"/>
                      <w:rPr>
                        <w:b/>
                        <w:sz w:val="18"/>
                      </w:rPr>
                    </w:pPr>
                  </w:p>
                  <w:p>
                    <w:pPr>
                      <w:spacing w:line="240" w:lineRule="auto" w:before="4"/>
                      <w:rPr>
                        <w:b/>
                        <w:sz w:val="14"/>
                      </w:rPr>
                    </w:pPr>
                  </w:p>
                  <w:p>
                    <w:pPr>
                      <w:spacing w:before="0"/>
                      <w:ind w:left="0" w:right="0" w:firstLine="0"/>
                      <w:jc w:val="left"/>
                      <w:rPr>
                        <w:b/>
                        <w:sz w:val="16"/>
                      </w:rPr>
                    </w:pPr>
                    <w:r>
                      <w:rPr>
                        <w:b/>
                        <w:color w:val="FF0000"/>
                        <w:w w:val="105"/>
                        <w:sz w:val="16"/>
                      </w:rPr>
                      <w:t>0:00</w:t>
                    </w:r>
                  </w:p>
                </w:txbxContent>
              </v:textbox>
              <w10:wrap type="none"/>
            </v:shape>
            <v:shape style="position:absolute;left:708;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46;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2988;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126;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268;top:2167;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spacing w:line="273" w:lineRule="exact" w:before="0"/>
        <w:ind w:left="120" w:right="0" w:firstLine="0"/>
        <w:jc w:val="left"/>
        <w:rPr>
          <w:b/>
          <w:sz w:val="24"/>
        </w:rPr>
      </w:pPr>
      <w:r>
        <w:rPr>
          <w:b/>
          <w:sz w:val="24"/>
        </w:rPr>
        <w:t>AIRCRAFT UTILIZATION</w:t>
      </w:r>
    </w:p>
    <w:p>
      <w:pPr>
        <w:spacing w:before="10"/>
        <w:ind w:left="120" w:right="0" w:firstLine="0"/>
        <w:jc w:val="left"/>
        <w:rPr>
          <w:i/>
          <w:sz w:val="18"/>
        </w:rPr>
      </w:pPr>
      <w:r>
        <w:rPr>
          <w:i/>
          <w:color w:val="FF0000"/>
          <w:sz w:val="18"/>
        </w:rPr>
        <w:t>(hours and minutes per day)</w:t>
      </w:r>
    </w:p>
    <w:p>
      <w:pPr>
        <w:pStyle w:val="BodyText"/>
        <w:rPr>
          <w:i/>
          <w:sz w:val="20"/>
        </w:rPr>
      </w:pPr>
    </w:p>
    <w:p>
      <w:pPr>
        <w:pStyle w:val="BodyText"/>
        <w:rPr>
          <w:i/>
          <w:sz w:val="20"/>
        </w:rPr>
      </w:pPr>
    </w:p>
    <w:p>
      <w:pPr>
        <w:pStyle w:val="BodyText"/>
        <w:spacing w:before="4"/>
        <w:rPr>
          <w:i/>
          <w:sz w:val="19"/>
        </w:rPr>
      </w:pPr>
      <w:r>
        <w:rPr/>
        <w:pict>
          <v:group style="position:absolute;margin-left:71.875pt;margin-top:13.094614pt;width:336.05pt;height:129.85pt;mso-position-horizontal-relative:page;mso-position-vertical-relative:paragraph;z-index:4336;mso-wrap-distance-left:0;mso-wrap-distance-right:0" coordorigin="1438,262" coordsize="6721,2597">
            <v:line style="position:absolute" from="7157,1704" to="7517,1704" stroked="true" strokeweight=".24pt" strokecolor="#000000">
              <v:stroke dashstyle="shortdot"/>
            </v:line>
            <v:line style="position:absolute" from="5986,1704" to="6691,1704" stroked="true" strokeweight=".24pt" strokecolor="#000000">
              <v:stroke dashstyle="shortdot"/>
            </v:line>
            <v:line style="position:absolute" from="4814,1704" to="5520,1704" stroked="true" strokeweight=".24pt" strokecolor="#000000">
              <v:stroke dashstyle="shortdot"/>
            </v:line>
            <v:line style="position:absolute" from="3643,1704" to="4349,1704" stroked="true" strokeweight=".24pt" strokecolor="#000000">
              <v:stroke dashstyle="shortdot"/>
            </v:line>
            <v:line style="position:absolute" from="2477,1704" to="3182,1704" stroked="true" strokeweight=".24pt" strokecolor="#000000">
              <v:stroke dashstyle="shortdot"/>
            </v:line>
            <v:line style="position:absolute" from="1666,1704" to="2011,1704" stroked="true" strokeweight=".24pt" strokecolor="#000000">
              <v:stroke dashstyle="shortdot"/>
            </v:line>
            <v:rect style="position:absolute;left:2011;top:1287;width:466;height:946" filled="true" fillcolor="#ff0000" stroked="false">
              <v:fill type="solid"/>
            </v:rect>
            <v:rect style="position:absolute;left:2011;top:1287;width:466;height:946" filled="false" stroked="true" strokeweight="2.16pt" strokecolor="#ffff00">
              <v:stroke dashstyle="shortdot"/>
            </v:rect>
            <v:line style="position:absolute" from="1666,1167" to="4349,1167" stroked="true" strokeweight=".24pt" strokecolor="#000000">
              <v:stroke dashstyle="shortdot"/>
            </v:line>
            <v:rect style="position:absolute;left:3182;top:1181;width:461;height:1051" filled="true" fillcolor="#ff0000" stroked="false">
              <v:fill type="solid"/>
            </v:rect>
            <v:rect style="position:absolute;left:3182;top:1181;width:461;height:1051" filled="false" stroked="true" strokeweight="2.16pt" strokecolor="#ffff00">
              <v:stroke dashstyle="shortdot"/>
            </v:rect>
            <v:line style="position:absolute" from="4814,1167" to="5520,1167" stroked="true" strokeweight=".24pt" strokecolor="#000000">
              <v:stroke dashstyle="shortdot"/>
            </v:line>
            <v:rect style="position:absolute;left:4349;top:1047;width:466;height:1186" filled="true" fillcolor="#ff0000" stroked="false">
              <v:fill type="solid"/>
            </v:rect>
            <v:rect style="position:absolute;left:4349;top:1047;width:466;height:1186" filled="false" stroked="true" strokeweight="2.16pt" strokecolor="#ffff00">
              <v:stroke dashstyle="shortdot"/>
            </v:rect>
            <v:line style="position:absolute" from="5986,1167" to="6691,1167" stroked="true" strokeweight=".24pt" strokecolor="#000000">
              <v:stroke dashstyle="shortdot"/>
            </v:line>
            <v:rect style="position:absolute;left:5520;top:941;width:466;height:1291" filled="true" fillcolor="#ff0000" stroked="false">
              <v:fill type="solid"/>
            </v:rect>
            <v:rect style="position:absolute;left:5520;top:941;width:466;height:1291" filled="false" stroked="true" strokeweight="2.16pt" strokecolor="#ffff00">
              <v:stroke dashstyle="shortdot"/>
            </v:rect>
            <v:line style="position:absolute" from="7157,1167" to="7517,1167" stroked="true" strokeweight=".24pt" strokecolor="#000000">
              <v:stroke dashstyle="shortdot"/>
            </v:line>
            <v:rect style="position:absolute;left:6691;top:850;width:466;height:1382" filled="true" fillcolor="#ff0000" stroked="false">
              <v:fill type="solid"/>
            </v:rect>
            <v:rect style="position:absolute;left:6691;top:850;width:466;height:1382" filled="false" stroked="true" strokeweight="2.16pt" strokecolor="#ffff00">
              <v:stroke dashstyle="shortdot"/>
            </v:rect>
            <v:line style="position:absolute" from="1666,639" to="7517,639" stroked="true" strokeweight=".24pt" strokecolor="#000000">
              <v:stroke dashstyle="shortdot"/>
            </v:line>
            <v:line style="position:absolute" from="1666,639" to="1666,2232" stroked="true" strokeweight=".24pt" strokecolor="#000000">
              <v:stroke dashstyle="shortdot"/>
            </v:line>
            <v:line style="position:absolute" from="1622,2232" to="1666,2232" stroked="true" strokeweight=".24pt" strokecolor="#000000">
              <v:stroke dashstyle="shortdot"/>
            </v:line>
            <v:line style="position:absolute" from="1622,1704" to="1666,1704" stroked="true" strokeweight=".24pt" strokecolor="#000000">
              <v:stroke dashstyle="shortdot"/>
            </v:line>
            <v:line style="position:absolute" from="1622,1167" to="1666,1167" stroked="true" strokeweight=".24pt" strokecolor="#000000">
              <v:stroke dashstyle="shortdot"/>
            </v:line>
            <v:line style="position:absolute" from="1622,639" to="1666,639" stroked="true" strokeweight=".24pt" strokecolor="#000000">
              <v:stroke dashstyle="shortdot"/>
            </v:line>
            <v:line style="position:absolute" from="1666,2232" to="7517,2232" stroked="true" strokeweight=".24pt" strokecolor="#ffffff">
              <v:stroke dashstyle="shortdot"/>
            </v:line>
            <v:line style="position:absolute" from="1666,2232" to="7517,2232" stroked="true" strokeweight=".24pt" strokecolor="#000000">
              <v:stroke dashstyle="shortdot"/>
            </v:line>
            <v:line style="position:absolute" from="1666,2276" to="1666,2184" stroked="true" strokeweight=".24pt" strokecolor="#ffffff">
              <v:stroke dashstyle="shortdot"/>
            </v:line>
            <v:line style="position:absolute" from="1666,2276" to="1666,2184" stroked="true" strokeweight=".24pt" strokecolor="#000000">
              <v:stroke dashstyle="shortdot"/>
            </v:line>
            <v:line style="position:absolute" from="2837,2276" to="2837,2184" stroked="true" strokeweight=".24pt" strokecolor="#ffffff">
              <v:stroke dashstyle="shortdot"/>
            </v:line>
            <v:line style="position:absolute" from="2837,2276" to="2837,2184" stroked="true" strokeweight=".24pt" strokecolor="#000000">
              <v:stroke dashstyle="shortdot"/>
            </v:line>
            <v:line style="position:absolute" from="4003,2276" to="4003,2184" stroked="true" strokeweight=".24pt" strokecolor="#ffffff">
              <v:stroke dashstyle="shortdot"/>
            </v:line>
            <v:line style="position:absolute" from="4003,2276" to="4003,2184" stroked="true" strokeweight=".24pt" strokecolor="#000000">
              <v:stroke dashstyle="shortdot"/>
            </v:line>
            <v:line style="position:absolute" from="5174,2276" to="5174,2184" stroked="true" strokeweight=".24pt" strokecolor="#ffffff">
              <v:stroke dashstyle="shortdot"/>
            </v:line>
            <v:line style="position:absolute" from="5174,2276" to="5174,2184" stroked="true" strokeweight=".24pt" strokecolor="#000000">
              <v:stroke dashstyle="shortdot"/>
            </v:line>
            <v:line style="position:absolute" from="6346,2276" to="6346,2184" stroked="true" strokeweight=".24pt" strokecolor="#ffffff">
              <v:stroke dashstyle="shortdot"/>
            </v:line>
            <v:line style="position:absolute" from="6346,2276" to="6346,2184" stroked="true" strokeweight=".24pt" strokecolor="#000000">
              <v:stroke dashstyle="shortdot"/>
            </v:line>
            <v:line style="position:absolute" from="7517,2276" to="7517,2184" stroked="true" strokeweight=".24pt" strokecolor="#000000">
              <v:stroke dashstyle="shortdot"/>
            </v:line>
            <v:rect style="position:absolute;left:1440;top:264;width:6715;height:2592" filled="false" stroked="true" strokeweight=".24pt" strokecolor="#000000">
              <v:stroke dashstyle="shortdot"/>
            </v:rect>
            <v:shape style="position:absolute;left:6811;top:451;width:288;height:185" type="#_x0000_t202" filled="false" stroked="false">
              <v:textbox inset="0,0,0,0">
                <w:txbxContent>
                  <w:p>
                    <w:pPr>
                      <w:spacing w:line="183" w:lineRule="exact" w:before="0"/>
                      <w:ind w:left="0" w:right="0" w:firstLine="0"/>
                      <w:jc w:val="left"/>
                      <w:rPr>
                        <w:b/>
                        <w:sz w:val="16"/>
                      </w:rPr>
                    </w:pPr>
                    <w:r>
                      <w:rPr>
                        <w:b/>
                        <w:w w:val="105"/>
                        <w:sz w:val="16"/>
                      </w:rPr>
                      <w:t>261</w:t>
                    </w:r>
                  </w:p>
                </w:txbxContent>
              </v:textbox>
              <w10:wrap type="none"/>
            </v:shape>
            <v:shape style="position:absolute;left:7651;top:537;width:288;height:185" type="#_x0000_t202" filled="false" stroked="false">
              <v:textbox inset="0,0,0,0">
                <w:txbxContent>
                  <w:p>
                    <w:pPr>
                      <w:spacing w:line="183" w:lineRule="exact" w:before="0"/>
                      <w:ind w:left="0" w:right="0" w:firstLine="0"/>
                      <w:jc w:val="left"/>
                      <w:rPr>
                        <w:b/>
                        <w:sz w:val="16"/>
                      </w:rPr>
                    </w:pPr>
                    <w:r>
                      <w:rPr>
                        <w:b/>
                        <w:color w:val="FF0000"/>
                        <w:w w:val="105"/>
                        <w:sz w:val="16"/>
                      </w:rPr>
                      <w:t>300</w:t>
                    </w:r>
                  </w:p>
                </w:txbxContent>
              </v:textbox>
              <w10:wrap type="none"/>
            </v:shape>
            <v:shape style="position:absolute;left:4440;top:749;width:293;height:185" type="#_x0000_t202" filled="false" stroked="false">
              <v:textbox inset="0,0,0,0">
                <w:txbxContent>
                  <w:p>
                    <w:pPr>
                      <w:spacing w:line="183" w:lineRule="exact" w:before="0"/>
                      <w:ind w:left="0" w:right="0" w:firstLine="0"/>
                      <w:jc w:val="left"/>
                      <w:rPr>
                        <w:b/>
                        <w:sz w:val="16"/>
                      </w:rPr>
                    </w:pPr>
                    <w:r>
                      <w:rPr>
                        <w:b/>
                        <w:w w:val="105"/>
                        <w:sz w:val="16"/>
                      </w:rPr>
                      <w:t>224</w:t>
                    </w:r>
                  </w:p>
                </w:txbxContent>
              </v:textbox>
              <w10:wrap type="none"/>
            </v:shape>
            <v:shape style="position:absolute;left:5611;top:643;width:288;height:185" type="#_x0000_t202" filled="false" stroked="false">
              <v:textbox inset="0,0,0,0">
                <w:txbxContent>
                  <w:p>
                    <w:pPr>
                      <w:spacing w:line="183" w:lineRule="exact" w:before="0"/>
                      <w:ind w:left="0" w:right="0" w:firstLine="0"/>
                      <w:jc w:val="left"/>
                      <w:rPr>
                        <w:b/>
                        <w:sz w:val="16"/>
                      </w:rPr>
                    </w:pPr>
                    <w:r>
                      <w:rPr>
                        <w:b/>
                        <w:w w:val="105"/>
                        <w:sz w:val="16"/>
                      </w:rPr>
                      <w:t>243</w:t>
                    </w:r>
                  </w:p>
                </w:txbxContent>
              </v:textbox>
              <w10:wrap type="none"/>
            </v:shape>
            <v:shape style="position:absolute;left:2102;top:989;width:288;height:185" type="#_x0000_t202" filled="false" stroked="false">
              <v:textbox inset="0,0,0,0">
                <w:txbxContent>
                  <w:p>
                    <w:pPr>
                      <w:spacing w:line="183" w:lineRule="exact" w:before="0"/>
                      <w:ind w:left="0" w:right="0" w:firstLine="0"/>
                      <w:jc w:val="left"/>
                      <w:rPr>
                        <w:b/>
                        <w:sz w:val="16"/>
                      </w:rPr>
                    </w:pPr>
                    <w:r>
                      <w:rPr>
                        <w:b/>
                        <w:w w:val="105"/>
                        <w:sz w:val="16"/>
                      </w:rPr>
                      <w:t>178</w:t>
                    </w:r>
                  </w:p>
                </w:txbxContent>
              </v:textbox>
              <w10:wrap type="none"/>
            </v:shape>
            <v:shape style="position:absolute;left:3269;top:883;width:293;height:185" type="#_x0000_t202" filled="false" stroked="false">
              <v:textbox inset="0,0,0,0">
                <w:txbxContent>
                  <w:p>
                    <w:pPr>
                      <w:spacing w:line="183" w:lineRule="exact" w:before="0"/>
                      <w:ind w:left="0" w:right="0" w:firstLine="0"/>
                      <w:jc w:val="left"/>
                      <w:rPr>
                        <w:b/>
                        <w:sz w:val="16"/>
                      </w:rPr>
                    </w:pPr>
                    <w:r>
                      <w:rPr>
                        <w:b/>
                        <w:w w:val="105"/>
                        <w:sz w:val="16"/>
                      </w:rPr>
                      <w:t>199</w:t>
                    </w:r>
                  </w:p>
                </w:txbxContent>
              </v:textbox>
              <w10:wrap type="none"/>
            </v:shape>
            <v:shape style="position:absolute;left:7651;top:1065;width:288;height:1251" type="#_x0000_t202" filled="false" stroked="false">
              <v:textbox inset="0,0,0,0">
                <w:txbxContent>
                  <w:p>
                    <w:pPr>
                      <w:spacing w:line="183" w:lineRule="exact" w:before="0"/>
                      <w:ind w:left="0" w:right="0" w:firstLine="0"/>
                      <w:jc w:val="left"/>
                      <w:rPr>
                        <w:b/>
                        <w:sz w:val="16"/>
                      </w:rPr>
                    </w:pPr>
                    <w:r>
                      <w:rPr>
                        <w:b/>
                        <w:color w:val="FF0000"/>
                        <w:w w:val="105"/>
                        <w:sz w:val="16"/>
                      </w:rPr>
                      <w:t>200</w:t>
                    </w:r>
                  </w:p>
                  <w:p>
                    <w:pPr>
                      <w:spacing w:line="240" w:lineRule="auto" w:before="0"/>
                      <w:rPr>
                        <w:i/>
                        <w:sz w:val="18"/>
                      </w:rPr>
                    </w:pPr>
                  </w:p>
                  <w:p>
                    <w:pPr>
                      <w:spacing w:before="146"/>
                      <w:ind w:left="0" w:right="0" w:firstLine="0"/>
                      <w:jc w:val="left"/>
                      <w:rPr>
                        <w:b/>
                        <w:sz w:val="16"/>
                      </w:rPr>
                    </w:pPr>
                    <w:r>
                      <w:rPr>
                        <w:b/>
                        <w:color w:val="FF0000"/>
                        <w:w w:val="105"/>
                        <w:sz w:val="16"/>
                      </w:rPr>
                      <w:t>100</w:t>
                    </w:r>
                  </w:p>
                  <w:p>
                    <w:pPr>
                      <w:spacing w:line="240" w:lineRule="auto" w:before="0"/>
                      <w:rPr>
                        <w:i/>
                        <w:sz w:val="18"/>
                      </w:rPr>
                    </w:pPr>
                  </w:p>
                  <w:p>
                    <w:pPr>
                      <w:spacing w:before="136"/>
                      <w:ind w:left="0" w:right="0" w:firstLine="0"/>
                      <w:jc w:val="left"/>
                      <w:rPr>
                        <w:b/>
                        <w:sz w:val="16"/>
                      </w:rPr>
                    </w:pPr>
                    <w:r>
                      <w:rPr>
                        <w:b/>
                        <w:color w:val="FF0000"/>
                        <w:w w:val="103"/>
                        <w:sz w:val="16"/>
                      </w:rPr>
                      <w:t>0</w:t>
                    </w:r>
                  </w:p>
                </w:txbxContent>
              </v:textbox>
              <w10:wrap type="none"/>
            </v:shape>
            <v:shape style="position:absolute;left:2160;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3331;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4502;top:2371;width:197;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5669;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6840;top:2371;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w10:wrap type="topAndBottom"/>
          </v:group>
        </w:pict>
      </w:r>
    </w:p>
    <w:p>
      <w:pPr>
        <w:pStyle w:val="Heading3"/>
        <w:spacing w:before="50"/>
        <w:ind w:left="120"/>
      </w:pPr>
      <w:r>
        <w:rPr/>
        <w:t>FLEET SIZE</w:t>
      </w:r>
    </w:p>
    <w:p>
      <w:pPr>
        <w:spacing w:before="10"/>
        <w:ind w:left="120" w:right="0" w:firstLine="0"/>
        <w:jc w:val="left"/>
        <w:rPr>
          <w:i/>
          <w:sz w:val="18"/>
        </w:rPr>
      </w:pPr>
      <w:r>
        <w:rPr>
          <w:i/>
          <w:color w:val="FF0000"/>
          <w:sz w:val="18"/>
        </w:rPr>
        <w:t>(at yearend)</w:t>
      </w:r>
    </w:p>
    <w:p>
      <w:pPr>
        <w:spacing w:after="0"/>
        <w:jc w:val="left"/>
        <w:rPr>
          <w:sz w:val="18"/>
        </w:rPr>
        <w:sectPr>
          <w:pgSz w:w="12240" w:h="15840"/>
          <w:pgMar w:header="1592" w:footer="790" w:top="2120" w:bottom="980" w:left="1320" w:right="1320"/>
        </w:sectPr>
      </w:pPr>
    </w:p>
    <w:p>
      <w:pPr>
        <w:pStyle w:val="BodyText"/>
        <w:spacing w:before="8"/>
        <w:rPr>
          <w:i/>
        </w:rPr>
      </w:pPr>
    </w:p>
    <w:p>
      <w:pPr>
        <w:pStyle w:val="Heading1"/>
        <w:spacing w:line="249" w:lineRule="auto"/>
        <w:ind w:left="119" w:right="203"/>
        <w:jc w:val="left"/>
      </w:pPr>
      <w:r>
        <w:rPr>
          <w:color w:val="008080"/>
          <w:sz w:val="56"/>
        </w:rPr>
        <w:t>O</w:t>
      </w:r>
      <w:r>
        <w:rPr>
          <w:color w:val="008080"/>
        </w:rPr>
        <w:t>UR DECLARATION OF FREEDOM </w:t>
      </w:r>
      <w:r>
        <w:rPr>
          <w:color w:val="FF0000"/>
        </w:rPr>
        <w:t>AFFIRMS OUR COMMITMENT TO ALWAYS PROVIDE LOW FARES </w:t>
      </w:r>
      <w:r>
        <w:rPr>
          <w:color w:val="FF0000"/>
          <w:w w:val="95"/>
        </w:rPr>
        <w:t>— </w:t>
      </w:r>
      <w:r>
        <w:rPr>
          <w:color w:val="FF0000"/>
        </w:rPr>
        <w:t>EVERY SEAT, EVERY FLIGHT, EVERY DAY. IT IS A PLEDGE INSCRIBED BOTH ON PAPER AND IN OUR HEARTS.</w:t>
      </w:r>
    </w:p>
    <w:p>
      <w:pPr>
        <w:pStyle w:val="BodyText"/>
        <w:spacing w:before="10"/>
        <w:rPr>
          <w:b/>
          <w:sz w:val="37"/>
        </w:rPr>
      </w:pPr>
    </w:p>
    <w:p>
      <w:pPr>
        <w:pStyle w:val="BodyText"/>
        <w:spacing w:line="312" w:lineRule="auto"/>
        <w:ind w:left="1559" w:right="138"/>
      </w:pPr>
      <w:r>
        <w:rPr>
          <w:spacing w:val="2"/>
        </w:rPr>
        <w:t>The </w:t>
      </w:r>
      <w:r>
        <w:rPr/>
        <w:t>People of Southwest are Freedom </w:t>
      </w:r>
      <w:r>
        <w:rPr>
          <w:spacing w:val="3"/>
        </w:rPr>
        <w:t>Fighters, </w:t>
      </w:r>
      <w:r>
        <w:rPr/>
        <w:t>ensuring affordable fares are available to as many people as possible. As business people, our Employees understand how low fares are critical in our shorthaul market niche. Since </w:t>
      </w:r>
      <w:r>
        <w:rPr>
          <w:spacing w:val="-3"/>
        </w:rPr>
        <w:t>we </w:t>
      </w:r>
      <w:r>
        <w:rPr/>
        <w:t>are primarily a shorthaul carrier, low fares are essential. </w:t>
      </w:r>
      <w:r>
        <w:rPr>
          <w:spacing w:val="4"/>
        </w:rPr>
        <w:t>With </w:t>
      </w:r>
      <w:r>
        <w:rPr/>
        <w:t>an average </w:t>
      </w:r>
      <w:r>
        <w:rPr>
          <w:spacing w:val="2"/>
        </w:rPr>
        <w:t>aircraft </w:t>
      </w:r>
      <w:r>
        <w:rPr/>
        <w:t>trip length of 425 miles, ground transportation has always been our most significant competitor. </w:t>
      </w:r>
      <w:r>
        <w:rPr>
          <w:spacing w:val="3"/>
        </w:rPr>
        <w:t>Therefore, </w:t>
      </w:r>
      <w:r>
        <w:rPr>
          <w:spacing w:val="-3"/>
        </w:rPr>
        <w:t>we </w:t>
      </w:r>
      <w:r>
        <w:rPr/>
        <w:t>must charge low fares, every seat, every flight, every day, regardless of what our airline competitors</w:t>
      </w:r>
      <w:r>
        <w:rPr>
          <w:spacing w:val="11"/>
        </w:rPr>
        <w:t> </w:t>
      </w:r>
      <w:r>
        <w:rPr/>
        <w:t>charge.</w:t>
      </w:r>
    </w:p>
    <w:p>
      <w:pPr>
        <w:pStyle w:val="BodyText"/>
        <w:spacing w:before="7"/>
        <w:rPr>
          <w:sz w:val="31"/>
        </w:rPr>
      </w:pPr>
    </w:p>
    <w:p>
      <w:pPr>
        <w:pStyle w:val="BodyText"/>
        <w:spacing w:line="312" w:lineRule="auto"/>
        <w:ind w:left="1559" w:right="190"/>
      </w:pPr>
      <w:r>
        <w:rPr/>
        <w:t>Our pledge to our Customers has worked. </w:t>
      </w:r>
      <w:r>
        <w:rPr>
          <w:spacing w:val="6"/>
        </w:rPr>
        <w:t>We </w:t>
      </w:r>
      <w:r>
        <w:rPr/>
        <w:t>have developed a reputation as the low fare policeman in the industry, </w:t>
      </w:r>
      <w:r>
        <w:rPr>
          <w:u w:val="single"/>
        </w:rPr>
        <w:t>THE </w:t>
      </w:r>
      <w:r>
        <w:rPr/>
        <w:t>Low Fare Airline. Customers think of us when they think of low fares and depend on us to keep fares low. </w:t>
      </w:r>
      <w:r>
        <w:rPr>
          <w:spacing w:val="6"/>
        </w:rPr>
        <w:t>We </w:t>
      </w:r>
      <w:r>
        <w:rPr/>
        <w:t>are committed to continue that</w:t>
      </w:r>
      <w:r>
        <w:rPr>
          <w:spacing w:val="6"/>
        </w:rPr>
        <w:t> </w:t>
      </w:r>
      <w:r>
        <w:rPr/>
        <w:t>tradition.</w:t>
      </w:r>
    </w:p>
    <w:p>
      <w:pPr>
        <w:pStyle w:val="BodyText"/>
        <w:spacing w:before="7"/>
        <w:rPr>
          <w:sz w:val="31"/>
        </w:rPr>
      </w:pPr>
    </w:p>
    <w:p>
      <w:pPr>
        <w:pStyle w:val="BodyText"/>
        <w:spacing w:line="312" w:lineRule="auto"/>
        <w:ind w:left="1560" w:right="203"/>
      </w:pPr>
      <w:r>
        <w:rPr/>
        <w:t>The results are remarkable. Through Southwest service, communities achieve economic freedom when it comes to airfares. The number of travelers expands by three- and four-fold after Southwest enters a market and slashes fares. This is especially true in shorthaul markets where ground transportation is a viable option. In many cases, people just weren’t traveling at all. That changes once Southwest enters the market.</w:t>
      </w:r>
    </w:p>
    <w:p>
      <w:pPr>
        <w:pStyle w:val="BodyText"/>
        <w:spacing w:before="7"/>
        <w:rPr>
          <w:sz w:val="31"/>
        </w:rPr>
      </w:pPr>
    </w:p>
    <w:p>
      <w:pPr>
        <w:pStyle w:val="BodyText"/>
        <w:spacing w:line="312" w:lineRule="auto"/>
        <w:ind w:left="1560" w:right="203"/>
      </w:pPr>
      <w:r>
        <w:rPr/>
        <w:t>Since low costs are obviously mandatory to offer low fares at a profit, and since our airline competitors’ costs are more than ours, we tend to dominate our shorthaul, low fare marketplace. This effect is enhanced when we combine frequent flights, convenient airports, and outstanding</w:t>
      </w:r>
    </w:p>
    <w:p>
      <w:pPr>
        <w:spacing w:after="0" w:line="312" w:lineRule="auto"/>
        <w:sectPr>
          <w:pgSz w:w="12240" w:h="15840"/>
          <w:pgMar w:header="1592" w:footer="790" w:top="2120" w:bottom="980" w:left="1320" w:right="1320"/>
        </w:sectPr>
      </w:pPr>
    </w:p>
    <w:p>
      <w:pPr>
        <w:pStyle w:val="BodyText"/>
        <w:rPr>
          <w:sz w:val="20"/>
        </w:rPr>
      </w:pPr>
    </w:p>
    <w:p>
      <w:pPr>
        <w:pStyle w:val="BodyText"/>
        <w:spacing w:line="312" w:lineRule="auto" w:before="207"/>
        <w:ind w:left="1559" w:right="203"/>
      </w:pPr>
      <w:r>
        <w:rPr/>
        <w:t>Customer Service. We are built primarily for shorthaul markets, where we are the preferred choice.</w:t>
      </w:r>
    </w:p>
    <w:p>
      <w:pPr>
        <w:pStyle w:val="BodyText"/>
        <w:spacing w:before="6"/>
        <w:rPr>
          <w:sz w:val="31"/>
        </w:rPr>
      </w:pPr>
    </w:p>
    <w:p>
      <w:pPr>
        <w:pStyle w:val="BodyText"/>
        <w:spacing w:line="312" w:lineRule="auto"/>
        <w:ind w:left="1559" w:right="203"/>
      </w:pPr>
      <w:r>
        <w:rPr/>
        <w:t>The market statistics attest to this strategy. We consistently rank first in market share in 80 to 85 percent of our top city pairs and, in the aggregate, achieve a 60 to 65 percent market share of all the city-pair markets served by Southwest. We also ranked first or second in terms of Customers boarded in the majority of our 52 airports served in 1997.</w:t>
      </w:r>
    </w:p>
    <w:p>
      <w:pPr>
        <w:pStyle w:val="BodyText"/>
        <w:spacing w:line="312" w:lineRule="auto" w:before="3"/>
        <w:ind w:left="1559" w:right="203"/>
      </w:pPr>
      <w:r>
        <w:rPr/>
        <w:t>Interestingly, even though we serve only 52 airports in the United States, we are still the fifth largest of the U.S. airlines in terms of originating passengers. Low costs and, therefore, low fares are an enormous competitive advantage, particularly when combined with high-quality service.</w:t>
      </w:r>
    </w:p>
    <w:p>
      <w:pPr>
        <w:pStyle w:val="BodyText"/>
        <w:spacing w:before="2"/>
        <w:rPr>
          <w:sz w:val="31"/>
        </w:rPr>
      </w:pPr>
    </w:p>
    <w:p>
      <w:pPr>
        <w:pStyle w:val="Heading3"/>
        <w:spacing w:line="312" w:lineRule="auto"/>
        <w:ind w:right="117"/>
        <w:jc w:val="both"/>
      </w:pPr>
      <w:r>
        <w:rPr>
          <w:color w:val="008080"/>
        </w:rPr>
        <w:t>“FREEDOM IS SOMETHING WE NEVER TAKE FOR GRANTED, AS A COUNTRY OR AS A COMPANY. WE WILL ALWAYS HONOR OUR PLEDGE TO ALL OUR CUSTOMERS. IT IS A DECLARATION WE ARE PROUD TO UPHOLD.”</w:t>
      </w:r>
    </w:p>
    <w:p>
      <w:pPr>
        <w:pStyle w:val="BodyText"/>
        <w:spacing w:before="6"/>
        <w:rPr>
          <w:b/>
          <w:sz w:val="31"/>
        </w:rPr>
      </w:pPr>
    </w:p>
    <w:p>
      <w:pPr>
        <w:spacing w:line="312" w:lineRule="auto" w:before="0"/>
        <w:ind w:left="5160" w:right="752" w:firstLine="0"/>
        <w:jc w:val="left"/>
        <w:rPr>
          <w:b/>
          <w:sz w:val="24"/>
        </w:rPr>
      </w:pPr>
      <w:r>
        <w:rPr>
          <w:b/>
          <w:color w:val="FF0000"/>
          <w:sz w:val="24"/>
        </w:rPr>
        <w:t>Joyce C. Rogge, Vice President- Advertising and Promotions</w:t>
      </w:r>
    </w:p>
    <w:p>
      <w:pPr>
        <w:spacing w:after="0" w:line="312" w:lineRule="auto"/>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11"/>
        <w:rPr>
          <w:b/>
          <w:sz w:val="21"/>
        </w:rPr>
      </w:pPr>
    </w:p>
    <w:p>
      <w:pPr>
        <w:pStyle w:val="BodyText"/>
        <w:ind w:left="117"/>
        <w:rPr>
          <w:sz w:val="20"/>
        </w:rPr>
      </w:pPr>
      <w:r>
        <w:rPr>
          <w:sz w:val="20"/>
        </w:rPr>
        <w:pict>
          <v:group style="width:339.15pt;height:135.15pt;mso-position-horizontal-relative:char;mso-position-vertical-relative:line" coordorigin="0,0" coordsize="6783,2703">
            <v:line style="position:absolute" from="5570,1505" to="5916,1505" stroked="true" strokeweight=".24pt" strokecolor="#000000">
              <v:stroke dashstyle="shortdot"/>
            </v:line>
            <v:line style="position:absolute" from="4428,1505" to="5105,1505" stroked="true" strokeweight=".24pt" strokecolor="#000000">
              <v:stroke dashstyle="shortdot"/>
            </v:line>
            <v:line style="position:absolute" from="3290,1505" to="3962,1505" stroked="true" strokeweight=".24pt" strokecolor="#000000">
              <v:stroke dashstyle="shortdot"/>
            </v:line>
            <v:line style="position:absolute" from="2163,1505" to="2839,1505" stroked="true" strokeweight=".24pt" strokecolor="#000000">
              <v:stroke dashstyle="shortdot"/>
            </v:line>
            <v:line style="position:absolute" from="1025,1505" to="1697,1505" stroked="true" strokeweight=".24pt" strokecolor="#000000">
              <v:stroke dashstyle="shortdot"/>
            </v:line>
            <v:line style="position:absolute" from="228,1505" to="559,1505" stroked="true" strokeweight=".24pt" strokecolor="#000000">
              <v:stroke dashstyle="shortdot"/>
            </v:line>
            <v:line style="position:absolute" from="228,948" to="1697,948" stroked="true" strokeweight=".24pt" strokecolor="#000000">
              <v:stroke dashstyle="shortdot"/>
            </v:line>
            <v:rect style="position:absolute;left:559;top:1011;width:466;height:1066" filled="true" fillcolor="#ff0000" stroked="false">
              <v:fill type="solid"/>
            </v:rect>
            <v:rect style="position:absolute;left:559;top:1011;width:466;height:1066" filled="false" stroked="true" strokeweight="2.16pt" strokecolor="#ffff00">
              <v:stroke dashstyle="solid"/>
            </v:rect>
            <v:line style="position:absolute" from="2163,948" to="2839,948" stroked="true" strokeweight=".24pt" strokecolor="#000000">
              <v:stroke dashstyle="shortdot"/>
            </v:line>
            <v:rect style="position:absolute;left:1697;top:857;width:466;height:1219" filled="true" fillcolor="#ff0000" stroked="false">
              <v:fill type="solid"/>
            </v:rect>
            <v:rect style="position:absolute;left:1697;top:857;width:466;height:1219" filled="false" stroked="true" strokeweight="2.16pt" strokecolor="#ffff00">
              <v:stroke dashstyle="solid"/>
            </v:rect>
            <v:line style="position:absolute" from="3290,948" to="3962,948" stroked="true" strokeweight=".24pt" strokecolor="#000000">
              <v:stroke dashstyle="shortdot"/>
            </v:line>
            <v:rect style="position:absolute;left:2839;top:751;width:451;height:1325" filled="true" fillcolor="#ff0000" stroked="false">
              <v:fill type="solid"/>
            </v:rect>
            <v:rect style="position:absolute;left:2839;top:751;width:451;height:1325" filled="false" stroked="true" strokeweight="2.16pt" strokecolor="#ffff00">
              <v:stroke dashstyle="solid"/>
            </v:rect>
            <v:line style="position:absolute" from="4428,948" to="5105,948" stroked="true" strokeweight=".24pt" strokecolor="#000000">
              <v:stroke dashstyle="shortdot"/>
            </v:line>
            <v:rect style="position:absolute;left:3963;top:545;width:466;height:1531" filled="true" fillcolor="#ff0000" stroked="false">
              <v:fill type="solid"/>
            </v:rect>
            <v:rect style="position:absolute;left:3963;top:545;width:466;height:1531" filled="false" stroked="true" strokeweight="2.16pt" strokecolor="#ffff00">
              <v:stroke dashstyle="solid"/>
            </v:rect>
            <v:line style="position:absolute" from="5570,948" to="5916,948" stroked="true" strokeweight=".24pt" strokecolor="#000000">
              <v:stroke dashstyle="shortdot"/>
            </v:line>
            <v:rect style="position:absolute;left:5105;top:468;width:466;height:1608" filled="true" fillcolor="#ff0000" stroked="false">
              <v:fill type="solid"/>
            </v:rect>
            <v:rect style="position:absolute;left:5105;top:468;width:466;height:1608" filled="false" stroked="true" strokeweight="2.16pt" strokecolor="#ffff00">
              <v:stroke dashstyle="solid"/>
            </v:rect>
            <v:line style="position:absolute" from="228,377" to="5916,377" stroked="true" strokeweight=".24pt" strokecolor="#000000">
              <v:stroke dashstyle="shortdot"/>
            </v:line>
            <v:line style="position:absolute" from="228,377" to="228,2076" stroked="true" strokeweight=".24pt" strokecolor="#000000">
              <v:stroke dashstyle="solid"/>
            </v:line>
            <v:line style="position:absolute" from="185,2076" to="228,2076" stroked="true" strokeweight=".24pt" strokecolor="#000000">
              <v:stroke dashstyle="solid"/>
            </v:line>
            <v:line style="position:absolute" from="185,1505" to="228,1505" stroked="true" strokeweight=".24pt" strokecolor="#000000">
              <v:stroke dashstyle="solid"/>
            </v:line>
            <v:line style="position:absolute" from="185,948" to="228,948" stroked="true" strokeweight=".24pt" strokecolor="#000000">
              <v:stroke dashstyle="solid"/>
            </v:line>
            <v:line style="position:absolute" from="185,377" to="228,377" stroked="true" strokeweight=".24pt" strokecolor="#000000">
              <v:stroke dashstyle="solid"/>
            </v:line>
            <v:line style="position:absolute" from="228,2076" to="5916,2076" stroked="true" strokeweight=".24pt" strokecolor="#ffffff">
              <v:stroke dashstyle="shortdot"/>
            </v:line>
            <v:line style="position:absolute" from="228,2076" to="5916,2076" stroked="true" strokeweight=".24pt" strokecolor="#000000">
              <v:stroke dashstyle="shortdot"/>
            </v:line>
            <v:line style="position:absolute" from="228,2119" to="228,2028" stroked="true" strokeweight=".24pt" strokecolor="#ffffff">
              <v:stroke dashstyle="shortdot"/>
            </v:line>
            <v:line style="position:absolute" from="228,2119" to="228,2028" stroked="true" strokeweight=".24pt" strokecolor="#000000">
              <v:stroke dashstyle="shortdot"/>
            </v:line>
            <v:line style="position:absolute" from="1371,2119" to="1371,2028" stroked="true" strokeweight=".24pt" strokecolor="#ffffff">
              <v:stroke dashstyle="shortdot"/>
            </v:line>
            <v:line style="position:absolute" from="1371,2119" to="1371,2028" stroked="true" strokeweight=".24pt" strokecolor="#000000">
              <v:stroke dashstyle="shortdot"/>
            </v:line>
            <v:line style="position:absolute" from="2508,2119" to="2508,2028" stroked="true" strokeweight=".24pt" strokecolor="#ffffff">
              <v:stroke dashstyle="shortdot"/>
            </v:line>
            <v:line style="position:absolute" from="2508,2119" to="2508,2028" stroked="true" strokeweight=".24pt" strokecolor="#000000">
              <v:stroke dashstyle="shortdot"/>
            </v:line>
            <v:line style="position:absolute" from="3636,2119" to="3636,2028" stroked="true" strokeweight=".24pt" strokecolor="#ffffff">
              <v:stroke dashstyle="shortdot"/>
            </v:line>
            <v:line style="position:absolute" from="3636,2119" to="3636,2028" stroked="true" strokeweight=".24pt" strokecolor="#000000">
              <v:stroke dashstyle="shortdot"/>
            </v:line>
            <v:line style="position:absolute" from="4774,2119" to="4774,2028" stroked="true" strokeweight=".24pt" strokecolor="#ffffff">
              <v:stroke dashstyle="shortdot"/>
            </v:line>
            <v:line style="position:absolute" from="4774,2119" to="4774,2028" stroked="true" strokeweight=".24pt" strokecolor="#000000">
              <v:stroke dashstyle="shortdot"/>
            </v:line>
            <v:line style="position:absolute" from="5916,2119" to="5916,2028" stroked="true" strokeweight=".24pt" strokecolor="#000000">
              <v:stroke dashstyle="shortdot"/>
            </v:line>
            <v:rect style="position:absolute;left:3;top:3;width:6778;height:2698" filled="false" stroked="true" strokeweight=".24pt" strokecolor="#000000">
              <v:stroke dashstyle="shortdot"/>
            </v:rect>
            <v:shape style="position:absolute;left:3934;top:203;width:513;height:185" type="#_x0000_t202" filled="false" stroked="false">
              <v:textbox inset="0,0,0,0">
                <w:txbxContent>
                  <w:p>
                    <w:pPr>
                      <w:spacing w:line="183" w:lineRule="exact" w:before="0"/>
                      <w:ind w:left="0" w:right="0" w:firstLine="0"/>
                      <w:jc w:val="left"/>
                      <w:rPr>
                        <w:b/>
                        <w:sz w:val="16"/>
                      </w:rPr>
                    </w:pPr>
                    <w:r>
                      <w:rPr>
                        <w:b/>
                        <w:spacing w:val="-3"/>
                        <w:w w:val="105"/>
                        <w:sz w:val="16"/>
                      </w:rPr>
                      <w:t>27,083</w:t>
                    </w:r>
                  </w:p>
                </w:txbxContent>
              </v:textbox>
              <w10:wrap type="none"/>
            </v:shape>
            <v:shape style="position:absolute;left:5090;top:170;width:513;height:185" type="#_x0000_t202" filled="false" stroked="false">
              <v:textbox inset="0,0,0,0">
                <w:txbxContent>
                  <w:p>
                    <w:pPr>
                      <w:spacing w:line="183" w:lineRule="exact" w:before="0"/>
                      <w:ind w:left="0" w:right="0" w:firstLine="0"/>
                      <w:jc w:val="left"/>
                      <w:rPr>
                        <w:b/>
                        <w:sz w:val="16"/>
                      </w:rPr>
                    </w:pPr>
                    <w:r>
                      <w:rPr>
                        <w:b/>
                        <w:spacing w:val="-3"/>
                        <w:w w:val="105"/>
                        <w:sz w:val="16"/>
                      </w:rPr>
                      <w:t>28,355</w:t>
                    </w:r>
                  </w:p>
                </w:txbxContent>
              </v:textbox>
              <w10:wrap type="none"/>
            </v:shape>
            <v:shape style="position:absolute;left:6050;top:275;width:513;height:185" type="#_x0000_t202" filled="false" stroked="false">
              <v:textbox inset="0,0,0,0">
                <w:txbxContent>
                  <w:p>
                    <w:pPr>
                      <w:spacing w:line="183" w:lineRule="exact" w:before="0"/>
                      <w:ind w:left="0" w:right="0" w:firstLine="0"/>
                      <w:jc w:val="left"/>
                      <w:rPr>
                        <w:b/>
                        <w:sz w:val="16"/>
                      </w:rPr>
                    </w:pPr>
                    <w:r>
                      <w:rPr>
                        <w:b/>
                        <w:color w:val="FF0000"/>
                        <w:spacing w:val="-3"/>
                        <w:w w:val="105"/>
                        <w:sz w:val="16"/>
                      </w:rPr>
                      <w:t>30,000</w:t>
                    </w:r>
                  </w:p>
                </w:txbxContent>
              </v:textbox>
              <w10:wrap type="none"/>
            </v:shape>
            <v:shape style="position:absolute;left:1683;top:563;width:518;height:185" type="#_x0000_t202" filled="false" stroked="false">
              <v:textbox inset="0,0,0,0">
                <w:txbxContent>
                  <w:p>
                    <w:pPr>
                      <w:spacing w:line="183" w:lineRule="exact" w:before="0"/>
                      <w:ind w:left="0" w:right="0" w:firstLine="0"/>
                      <w:jc w:val="left"/>
                      <w:rPr>
                        <w:b/>
                        <w:sz w:val="16"/>
                      </w:rPr>
                    </w:pPr>
                    <w:r>
                      <w:rPr>
                        <w:b/>
                        <w:w w:val="105"/>
                        <w:sz w:val="16"/>
                      </w:rPr>
                      <w:t>21,611</w:t>
                    </w:r>
                  </w:p>
                </w:txbxContent>
              </v:textbox>
              <w10:wrap type="none"/>
            </v:shape>
            <v:shape style="position:absolute;left:2810;top:458;width:513;height:185" type="#_x0000_t202" filled="false" stroked="false">
              <v:textbox inset="0,0,0,0">
                <w:txbxContent>
                  <w:p>
                    <w:pPr>
                      <w:spacing w:line="183" w:lineRule="exact" w:before="0"/>
                      <w:ind w:left="0" w:right="0" w:firstLine="0"/>
                      <w:jc w:val="left"/>
                      <w:rPr>
                        <w:b/>
                        <w:sz w:val="16"/>
                      </w:rPr>
                    </w:pPr>
                    <w:r>
                      <w:rPr>
                        <w:b/>
                        <w:spacing w:val="-3"/>
                        <w:w w:val="105"/>
                        <w:sz w:val="16"/>
                      </w:rPr>
                      <w:t>23,328</w:t>
                    </w:r>
                  </w:p>
                </w:txbxContent>
              </v:textbox>
              <w10:wrap type="none"/>
            </v:shape>
            <v:shape style="position:absolute;left:545;top:712;width:513;height:185" type="#_x0000_t202" filled="false" stroked="false">
              <v:textbox inset="0,0,0,0">
                <w:txbxContent>
                  <w:p>
                    <w:pPr>
                      <w:spacing w:line="183" w:lineRule="exact" w:before="0"/>
                      <w:ind w:left="0" w:right="0" w:firstLine="0"/>
                      <w:jc w:val="left"/>
                      <w:rPr>
                        <w:b/>
                        <w:sz w:val="16"/>
                      </w:rPr>
                    </w:pPr>
                    <w:r>
                      <w:rPr>
                        <w:b/>
                        <w:spacing w:val="-3"/>
                        <w:w w:val="105"/>
                        <w:sz w:val="16"/>
                      </w:rPr>
                      <w:t>18,827</w:t>
                    </w:r>
                  </w:p>
                </w:txbxContent>
              </v:textbox>
              <w10:wrap type="none"/>
            </v:shape>
            <v:shape style="position:absolute;left:6050;top:847;width:513;height:1313" type="#_x0000_t202" filled="false" stroked="false">
              <v:textbox inset="0,0,0,0">
                <w:txbxContent>
                  <w:p>
                    <w:pPr>
                      <w:spacing w:line="183" w:lineRule="exact" w:before="0"/>
                      <w:ind w:left="0" w:right="0" w:firstLine="0"/>
                      <w:jc w:val="left"/>
                      <w:rPr>
                        <w:b/>
                        <w:sz w:val="16"/>
                      </w:rPr>
                    </w:pPr>
                    <w:r>
                      <w:rPr>
                        <w:b/>
                        <w:color w:val="FF0000"/>
                        <w:spacing w:val="-3"/>
                        <w:w w:val="105"/>
                        <w:sz w:val="16"/>
                      </w:rPr>
                      <w:t>20,000</w:t>
                    </w:r>
                  </w:p>
                  <w:p>
                    <w:pPr>
                      <w:spacing w:line="240" w:lineRule="auto" w:before="0"/>
                      <w:rPr>
                        <w:b/>
                        <w:sz w:val="18"/>
                      </w:rPr>
                    </w:pPr>
                  </w:p>
                  <w:p>
                    <w:pPr>
                      <w:spacing w:line="240" w:lineRule="auto" w:before="4"/>
                      <w:rPr>
                        <w:b/>
                        <w:sz w:val="14"/>
                      </w:rPr>
                    </w:pPr>
                  </w:p>
                  <w:p>
                    <w:pPr>
                      <w:spacing w:before="1"/>
                      <w:ind w:left="0" w:right="0" w:firstLine="0"/>
                      <w:jc w:val="left"/>
                      <w:rPr>
                        <w:b/>
                        <w:sz w:val="16"/>
                      </w:rPr>
                    </w:pPr>
                    <w:r>
                      <w:rPr>
                        <w:b/>
                        <w:color w:val="FF0000"/>
                        <w:spacing w:val="-3"/>
                        <w:w w:val="105"/>
                        <w:sz w:val="16"/>
                      </w:rPr>
                      <w:t>10,000</w:t>
                    </w:r>
                  </w:p>
                  <w:p>
                    <w:pPr>
                      <w:spacing w:line="240" w:lineRule="auto" w:before="0"/>
                      <w:rPr>
                        <w:b/>
                        <w:sz w:val="18"/>
                      </w:rPr>
                    </w:pPr>
                  </w:p>
                  <w:p>
                    <w:pPr>
                      <w:spacing w:line="240" w:lineRule="auto" w:before="7"/>
                      <w:rPr>
                        <w:b/>
                        <w:sz w:val="15"/>
                      </w:rPr>
                    </w:pPr>
                  </w:p>
                  <w:p>
                    <w:pPr>
                      <w:spacing w:before="1"/>
                      <w:ind w:left="0" w:right="0" w:firstLine="0"/>
                      <w:jc w:val="left"/>
                      <w:rPr>
                        <w:b/>
                        <w:sz w:val="16"/>
                      </w:rPr>
                    </w:pPr>
                    <w:r>
                      <w:rPr>
                        <w:b/>
                        <w:color w:val="FF0000"/>
                        <w:w w:val="103"/>
                        <w:sz w:val="16"/>
                      </w:rPr>
                      <w:t>0</w:t>
                    </w:r>
                  </w:p>
                </w:txbxContent>
              </v:textbox>
              <w10:wrap type="none"/>
            </v:shape>
            <v:shape style="position:absolute;left:708;top:2215;width:202;height:185" type="#_x0000_t202" filled="false" stroked="false">
              <v:textbox inset="0,0,0,0">
                <w:txbxContent>
                  <w:p>
                    <w:pPr>
                      <w:spacing w:line="183" w:lineRule="exact" w:before="0"/>
                      <w:ind w:left="0" w:right="0" w:firstLine="0"/>
                      <w:jc w:val="left"/>
                      <w:rPr>
                        <w:b/>
                        <w:sz w:val="16"/>
                      </w:rPr>
                    </w:pPr>
                    <w:r>
                      <w:rPr>
                        <w:b/>
                        <w:color w:val="FF0000"/>
                        <w:w w:val="105"/>
                        <w:sz w:val="16"/>
                      </w:rPr>
                      <w:t>93</w:t>
                    </w:r>
                  </w:p>
                </w:txbxContent>
              </v:textbox>
              <w10:wrap type="none"/>
            </v:shape>
            <v:shape style="position:absolute;left:1851;top:2215;width:197;height:185" type="#_x0000_t202" filled="false" stroked="false">
              <v:textbox inset="0,0,0,0">
                <w:txbxContent>
                  <w:p>
                    <w:pPr>
                      <w:spacing w:line="183" w:lineRule="exact" w:before="0"/>
                      <w:ind w:left="0" w:right="0" w:firstLine="0"/>
                      <w:jc w:val="left"/>
                      <w:rPr>
                        <w:b/>
                        <w:sz w:val="16"/>
                      </w:rPr>
                    </w:pPr>
                    <w:r>
                      <w:rPr>
                        <w:b/>
                        <w:color w:val="FF0000"/>
                        <w:w w:val="105"/>
                        <w:sz w:val="16"/>
                      </w:rPr>
                      <w:t>94</w:t>
                    </w:r>
                  </w:p>
                </w:txbxContent>
              </v:textbox>
              <w10:wrap type="none"/>
            </v:shape>
            <v:shape style="position:absolute;left:2988;top:2215;width:202;height:185" type="#_x0000_t202" filled="false" stroked="false">
              <v:textbox inset="0,0,0,0">
                <w:txbxContent>
                  <w:p>
                    <w:pPr>
                      <w:spacing w:line="183" w:lineRule="exact" w:before="0"/>
                      <w:ind w:left="0" w:right="0" w:firstLine="0"/>
                      <w:jc w:val="left"/>
                      <w:rPr>
                        <w:b/>
                        <w:sz w:val="16"/>
                      </w:rPr>
                    </w:pPr>
                    <w:r>
                      <w:rPr>
                        <w:b/>
                        <w:color w:val="FF0000"/>
                        <w:w w:val="105"/>
                        <w:sz w:val="16"/>
                      </w:rPr>
                      <w:t>95</w:t>
                    </w:r>
                  </w:p>
                </w:txbxContent>
              </v:textbox>
              <w10:wrap type="none"/>
            </v:shape>
            <v:shape style="position:absolute;left:4116;top:2215;width:197;height:185" type="#_x0000_t202" filled="false" stroked="false">
              <v:textbox inset="0,0,0,0">
                <w:txbxContent>
                  <w:p>
                    <w:pPr>
                      <w:spacing w:line="183" w:lineRule="exact" w:before="0"/>
                      <w:ind w:left="0" w:right="0" w:firstLine="0"/>
                      <w:jc w:val="left"/>
                      <w:rPr>
                        <w:b/>
                        <w:sz w:val="16"/>
                      </w:rPr>
                    </w:pPr>
                    <w:r>
                      <w:rPr>
                        <w:b/>
                        <w:color w:val="FF0000"/>
                        <w:w w:val="105"/>
                        <w:sz w:val="16"/>
                      </w:rPr>
                      <w:t>96</w:t>
                    </w:r>
                  </w:p>
                </w:txbxContent>
              </v:textbox>
              <w10:wrap type="none"/>
            </v:shape>
            <v:shape style="position:absolute;left:5254;top:2215;width:202;height:185" type="#_x0000_t202" filled="false" stroked="false">
              <v:textbox inset="0,0,0,0">
                <w:txbxContent>
                  <w:p>
                    <w:pPr>
                      <w:spacing w:line="183" w:lineRule="exact" w:before="0"/>
                      <w:ind w:left="0" w:right="0" w:firstLine="0"/>
                      <w:jc w:val="left"/>
                      <w:rPr>
                        <w:b/>
                        <w:sz w:val="16"/>
                      </w:rPr>
                    </w:pPr>
                    <w:r>
                      <w:rPr>
                        <w:b/>
                        <w:color w:val="FF0000"/>
                        <w:w w:val="105"/>
                        <w:sz w:val="16"/>
                      </w:rPr>
                      <w:t>97</w:t>
                    </w:r>
                  </w:p>
                </w:txbxContent>
              </v:textbox>
              <w10:wrap type="none"/>
            </v:shape>
          </v:group>
        </w:pict>
      </w:r>
      <w:r>
        <w:rPr>
          <w:sz w:val="20"/>
        </w:rPr>
      </w:r>
    </w:p>
    <w:p>
      <w:pPr>
        <w:pStyle w:val="Heading3"/>
        <w:spacing w:before="52"/>
        <w:ind w:left="120"/>
      </w:pPr>
      <w:r>
        <w:rPr/>
        <w:t>REVENUE PASSENGER MILES</w:t>
      </w:r>
    </w:p>
    <w:p>
      <w:pPr>
        <w:spacing w:before="12"/>
        <w:ind w:left="120" w:right="0" w:firstLine="0"/>
        <w:jc w:val="left"/>
        <w:rPr>
          <w:i/>
          <w:sz w:val="24"/>
        </w:rPr>
      </w:pPr>
      <w:r>
        <w:rPr>
          <w:i/>
          <w:color w:val="FF0000"/>
          <w:w w:val="95"/>
          <w:sz w:val="24"/>
        </w:rPr>
        <w:t>(in millions)</w:t>
      </w:r>
    </w:p>
    <w:p>
      <w:pPr>
        <w:pStyle w:val="BodyText"/>
        <w:rPr>
          <w:i/>
          <w:sz w:val="20"/>
        </w:rPr>
      </w:pPr>
    </w:p>
    <w:p>
      <w:pPr>
        <w:pStyle w:val="BodyText"/>
        <w:rPr>
          <w:i/>
          <w:sz w:val="20"/>
        </w:rPr>
      </w:pPr>
    </w:p>
    <w:p>
      <w:pPr>
        <w:pStyle w:val="BodyText"/>
        <w:spacing w:before="2"/>
        <w:rPr>
          <w:i/>
          <w:sz w:val="19"/>
        </w:rPr>
      </w:pPr>
      <w:r>
        <w:rPr/>
        <w:pict>
          <v:group style="position:absolute;margin-left:71.875pt;margin-top:12.981965pt;width:338.2pt;height:132.050pt;mso-position-horizontal-relative:page;mso-position-vertical-relative:paragraph;z-index:4840;mso-wrap-distance-left:0;mso-wrap-distance-right:0" coordorigin="1438,260" coordsize="6764,2641">
            <v:line style="position:absolute" from="7152,1731" to="7498,1731" stroked="true" strokeweight=".24pt" strokecolor="#000000">
              <v:stroke dashstyle="shortdot"/>
            </v:line>
            <v:line style="position:absolute" from="5986,1731" to="6672,1731" stroked="true" strokeweight=".24pt" strokecolor="#000000">
              <v:stroke dashstyle="shortdot"/>
            </v:line>
            <v:line style="position:absolute" from="4829,1731" to="5520,1731" stroked="true" strokeweight=".24pt" strokecolor="#000000">
              <v:stroke dashstyle="shortdot"/>
            </v:line>
            <v:line style="position:absolute" from="3658,1731" to="4349,1731" stroked="true" strokeweight=".24pt" strokecolor="#000000">
              <v:stroke dashstyle="shortdot"/>
            </v:line>
            <v:line style="position:absolute" from="2506,1731" to="3197,1731" stroked="true" strokeweight=".24pt" strokecolor="#000000">
              <v:stroke dashstyle="shortdot"/>
            </v:line>
            <v:line style="position:absolute" from="1680,1731" to="2026,1731" stroked="true" strokeweight=".24pt" strokecolor="#000000">
              <v:stroke dashstyle="shortdot"/>
            </v:line>
            <v:line style="position:absolute" from="2506,1179" to="3197,1179" stroked="true" strokeweight=".24pt" strokecolor="#000000">
              <v:stroke dashstyle="shortdot"/>
            </v:line>
            <v:line style="position:absolute" from="1680,1179" to="2026,1179" stroked="true" strokeweight=".24pt" strokecolor="#000000">
              <v:stroke dashstyle="shortdot"/>
            </v:line>
            <v:rect style="position:absolute;left:2026;top:982;width:480;height:1291" filled="true" fillcolor="#ff0000" stroked="false">
              <v:fill type="solid"/>
            </v:rect>
            <v:rect style="position:absolute;left:2026;top:982;width:480;height:1291" filled="false" stroked="true" strokeweight="2.16pt" strokecolor="#ffff00">
              <v:stroke dashstyle="shortdot"/>
            </v:rect>
            <v:line style="position:absolute" from="3658,1179" to="4349,1179" stroked="true" strokeweight=".24pt" strokecolor="#000000">
              <v:stroke dashstyle="shortdot"/>
            </v:line>
            <v:rect style="position:absolute;left:3197;top:1011;width:461;height:1262" filled="true" fillcolor="#ff0000" stroked="false">
              <v:fill type="solid"/>
            </v:rect>
            <v:rect style="position:absolute;left:3197;top:1011;width:461;height:1262" filled="false" stroked="true" strokeweight="2.16pt" strokecolor="#ffff00">
              <v:stroke dashstyle="shortdot"/>
            </v:rect>
            <v:line style="position:absolute" from="4829,1179" to="5520,1179" stroked="true" strokeweight=".24pt" strokecolor="#000000">
              <v:stroke dashstyle="shortdot"/>
            </v:line>
            <v:rect style="position:absolute;left:4349;top:982;width:480;height:1291" filled="true" fillcolor="#ff0000" stroked="false">
              <v:fill type="solid"/>
            </v:rect>
            <v:rect style="position:absolute;left:4349;top:982;width:480;height:1291" filled="false" stroked="true" strokeweight="2.16pt" strokecolor="#ffff00">
              <v:stroke dashstyle="shortdot"/>
            </v:rect>
            <v:line style="position:absolute" from="5986,1179" to="6672,1179" stroked="true" strokeweight=".24pt" strokecolor="#000000">
              <v:stroke dashstyle="shortdot"/>
            </v:line>
            <v:rect style="position:absolute;left:5520;top:953;width:466;height:1320" filled="true" fillcolor="#ff0000" stroked="false">
              <v:fill type="solid"/>
            </v:rect>
            <v:rect style="position:absolute;left:5520;top:953;width:466;height:1320" filled="false" stroked="true" strokeweight="2.16pt" strokecolor="#ffff00">
              <v:stroke dashstyle="shortdot"/>
            </v:rect>
            <v:line style="position:absolute" from="7152,1179" to="7498,1179" stroked="true" strokeweight=".24pt" strokecolor="#000000">
              <v:stroke dashstyle="shortdot"/>
            </v:line>
            <v:rect style="position:absolute;left:6672;top:877;width:480;height:1397" filled="true" fillcolor="#ff0000" stroked="false">
              <v:fill type="solid"/>
            </v:rect>
            <v:rect style="position:absolute;left:6672;top:877;width:480;height:1397" filled="false" stroked="true" strokeweight="2.16pt" strokecolor="#ffff00">
              <v:stroke dashstyle="shortdot"/>
            </v:rect>
            <v:line style="position:absolute" from="1680,637" to="7498,637" stroked="true" strokeweight=".24pt" strokecolor="#000000">
              <v:stroke dashstyle="shortdot"/>
            </v:line>
            <v:line style="position:absolute" from="1680,637" to="1680,2273" stroked="true" strokeweight=".24pt" strokecolor="#000000">
              <v:stroke dashstyle="shortdot"/>
            </v:line>
            <v:line style="position:absolute" from="1637,2273" to="1680,2273" stroked="true" strokeweight=".24pt" strokecolor="#000000">
              <v:stroke dashstyle="shortdot"/>
            </v:line>
            <v:line style="position:absolute" from="1637,1731" to="1680,1731" stroked="true" strokeweight=".24pt" strokecolor="#000000">
              <v:stroke dashstyle="shortdot"/>
            </v:line>
            <v:line style="position:absolute" from="1637,1179" to="1680,1179" stroked="true" strokeweight=".24pt" strokecolor="#000000">
              <v:stroke dashstyle="shortdot"/>
            </v:line>
            <v:line style="position:absolute" from="1637,637" to="1680,637" stroked="true" strokeweight=".24pt" strokecolor="#000000">
              <v:stroke dashstyle="shortdot"/>
            </v:line>
            <v:line style="position:absolute" from="1680,2273" to="7498,2273" stroked="true" strokeweight=".24pt" strokecolor="#ffffff">
              <v:stroke dashstyle="shortdot"/>
            </v:line>
            <v:line style="position:absolute" from="1680,2273" to="7498,2273" stroked="true" strokeweight=".24pt" strokecolor="#000000">
              <v:stroke dashstyle="shortdot"/>
            </v:line>
            <v:line style="position:absolute" from="1680,2317" to="1680,2225" stroked="true" strokeweight=".24pt" strokecolor="#ffffff">
              <v:stroke dashstyle="shortdot"/>
            </v:line>
            <v:line style="position:absolute" from="1680,2317" to="1680,2225" stroked="true" strokeweight=".24pt" strokecolor="#000000">
              <v:stroke dashstyle="shortdot"/>
            </v:line>
            <v:line style="position:absolute" from="2851,2317" to="2851,2225" stroked="true" strokeweight=".24pt" strokecolor="#ffffff">
              <v:stroke dashstyle="shortdot"/>
            </v:line>
            <v:line style="position:absolute" from="2851,2317" to="2851,2225" stroked="true" strokeweight=".24pt" strokecolor="#000000">
              <v:stroke dashstyle="shortdot"/>
            </v:line>
            <v:line style="position:absolute" from="4003,2317" to="4003,2225" stroked="true" strokeweight=".24pt" strokecolor="#ffffff">
              <v:stroke dashstyle="shortdot"/>
            </v:line>
            <v:line style="position:absolute" from="4003,2317" to="4003,2225" stroked="true" strokeweight=".24pt" strokecolor="#000000">
              <v:stroke dashstyle="shortdot"/>
            </v:line>
            <v:line style="position:absolute" from="5174,2317" to="5174,2225" stroked="true" strokeweight=".24pt" strokecolor="#ffffff">
              <v:stroke dashstyle="shortdot"/>
            </v:line>
            <v:line style="position:absolute" from="5174,2317" to="5174,2225" stroked="true" strokeweight=".24pt" strokecolor="#000000">
              <v:stroke dashstyle="shortdot"/>
            </v:line>
            <v:line style="position:absolute" from="6331,2317" to="6331,2225" stroked="true" strokeweight=".24pt" strokecolor="#ffffff">
              <v:stroke dashstyle="shortdot"/>
            </v:line>
            <v:line style="position:absolute" from="6331,2317" to="6331,2225" stroked="true" strokeweight=".24pt" strokecolor="#000000">
              <v:stroke dashstyle="shortdot"/>
            </v:line>
            <v:line style="position:absolute" from="7498,2317" to="7498,2225" stroked="true" strokeweight=".24pt" strokecolor="#000000">
              <v:stroke dashstyle="shortdot"/>
            </v:line>
            <v:rect style="position:absolute;left:1440;top:262;width:6758;height:2635" filled="false" stroked="true" strokeweight=".24pt" strokecolor="#000000">
              <v:stroke dashstyle="shortdot"/>
            </v:rect>
            <v:shape style="position:absolute;left:1982;top:689;width:573;height:185" type="#_x0000_t202" filled="false" stroked="false">
              <v:textbox inset="0,0,0,0">
                <w:txbxContent>
                  <w:p>
                    <w:pPr>
                      <w:spacing w:line="183" w:lineRule="exact" w:before="0"/>
                      <w:ind w:left="0" w:right="0" w:firstLine="0"/>
                      <w:jc w:val="left"/>
                      <w:rPr>
                        <w:b/>
                        <w:sz w:val="16"/>
                      </w:rPr>
                    </w:pPr>
                    <w:r>
                      <w:rPr>
                        <w:b/>
                        <w:w w:val="105"/>
                        <w:sz w:val="16"/>
                      </w:rPr>
                      <w:t>11.77 ¢</w:t>
                    </w:r>
                  </w:p>
                </w:txbxContent>
              </v:textbox>
              <w10:wrap type="none"/>
            </v:shape>
            <v:shape style="position:absolute;left:3149;top:718;width:578;height:185" type="#_x0000_t202" filled="false" stroked="false">
              <v:textbox inset="0,0,0,0">
                <w:txbxContent>
                  <w:p>
                    <w:pPr>
                      <w:spacing w:line="183" w:lineRule="exact" w:before="0"/>
                      <w:ind w:left="0" w:right="0" w:firstLine="0"/>
                      <w:jc w:val="left"/>
                      <w:rPr>
                        <w:b/>
                        <w:sz w:val="16"/>
                      </w:rPr>
                    </w:pPr>
                    <w:r>
                      <w:rPr>
                        <w:b/>
                        <w:w w:val="105"/>
                        <w:sz w:val="16"/>
                      </w:rPr>
                      <w:t>11.56 ¢</w:t>
                    </w:r>
                  </w:p>
                </w:txbxContent>
              </v:textbox>
              <w10:wrap type="none"/>
            </v:shape>
            <v:shape style="position:absolute;left:4320;top:689;width:578;height:185" type="#_x0000_t202" filled="false" stroked="false">
              <v:textbox inset="0,0,0,0">
                <w:txbxContent>
                  <w:p>
                    <w:pPr>
                      <w:spacing w:line="183" w:lineRule="exact" w:before="0"/>
                      <w:ind w:left="0" w:right="0" w:firstLine="0"/>
                      <w:jc w:val="left"/>
                      <w:rPr>
                        <w:b/>
                        <w:sz w:val="16"/>
                      </w:rPr>
                    </w:pPr>
                    <w:r>
                      <w:rPr>
                        <w:b/>
                        <w:w w:val="105"/>
                        <w:sz w:val="16"/>
                      </w:rPr>
                      <w:t>11.83 ¢</w:t>
                    </w:r>
                  </w:p>
                </w:txbxContent>
              </v:textbox>
              <w10:wrap type="none"/>
            </v:shape>
            <v:shape style="position:absolute;left:5472;top:655;width:578;height:185" type="#_x0000_t202" filled="false" stroked="false">
              <v:textbox inset="0,0,0,0">
                <w:txbxContent>
                  <w:p>
                    <w:pPr>
                      <w:spacing w:line="183" w:lineRule="exact" w:before="0"/>
                      <w:ind w:left="0" w:right="0" w:firstLine="0"/>
                      <w:jc w:val="left"/>
                      <w:rPr>
                        <w:b/>
                        <w:sz w:val="16"/>
                      </w:rPr>
                    </w:pPr>
                    <w:r>
                      <w:rPr>
                        <w:b/>
                        <w:w w:val="105"/>
                        <w:sz w:val="16"/>
                      </w:rPr>
                      <w:t>12.07 ¢</w:t>
                    </w:r>
                  </w:p>
                </w:txbxContent>
              </v:textbox>
              <w10:wrap type="none"/>
            </v:shape>
            <v:shape style="position:absolute;left:6643;top:641;width:578;height:185" type="#_x0000_t202" filled="false" stroked="false">
              <v:textbox inset="0,0,0,0">
                <w:txbxContent>
                  <w:p>
                    <w:pPr>
                      <w:spacing w:line="183" w:lineRule="exact" w:before="0"/>
                      <w:ind w:left="0" w:right="0" w:firstLine="0"/>
                      <w:jc w:val="left"/>
                      <w:rPr>
                        <w:b/>
                        <w:sz w:val="16"/>
                      </w:rPr>
                    </w:pPr>
                    <w:r>
                      <w:rPr>
                        <w:b/>
                        <w:w w:val="105"/>
                        <w:sz w:val="16"/>
                      </w:rPr>
                      <w:t>12.84 ¢</w:t>
                    </w:r>
                  </w:p>
                </w:txbxContent>
              </v:textbox>
              <w10:wrap type="none"/>
            </v:shape>
            <v:shape style="position:absolute;left:7632;top:535;width:352;height:1822" type="#_x0000_t202" filled="false" stroked="false">
              <v:textbox inset="0,0,0,0">
                <w:txbxContent>
                  <w:p>
                    <w:pPr>
                      <w:spacing w:line="183" w:lineRule="exact" w:before="0"/>
                      <w:ind w:left="0" w:right="0" w:firstLine="0"/>
                      <w:jc w:val="left"/>
                      <w:rPr>
                        <w:b/>
                        <w:sz w:val="16"/>
                      </w:rPr>
                    </w:pPr>
                    <w:r>
                      <w:rPr>
                        <w:b/>
                        <w:color w:val="FF0000"/>
                        <w:w w:val="105"/>
                        <w:sz w:val="16"/>
                      </w:rPr>
                      <w:t>15 ¢</w:t>
                    </w:r>
                  </w:p>
                  <w:p>
                    <w:pPr>
                      <w:spacing w:line="240" w:lineRule="auto" w:before="0"/>
                      <w:rPr>
                        <w:i/>
                        <w:sz w:val="18"/>
                      </w:rPr>
                    </w:pPr>
                  </w:p>
                  <w:p>
                    <w:pPr>
                      <w:spacing w:before="151"/>
                      <w:ind w:left="0" w:right="0" w:firstLine="0"/>
                      <w:jc w:val="left"/>
                      <w:rPr>
                        <w:b/>
                        <w:sz w:val="16"/>
                      </w:rPr>
                    </w:pPr>
                    <w:r>
                      <w:rPr>
                        <w:b/>
                        <w:color w:val="FF0000"/>
                        <w:w w:val="105"/>
                        <w:sz w:val="16"/>
                      </w:rPr>
                      <w:t>10 ¢</w:t>
                    </w:r>
                  </w:p>
                  <w:p>
                    <w:pPr>
                      <w:spacing w:line="240" w:lineRule="auto" w:before="0"/>
                      <w:rPr>
                        <w:i/>
                        <w:sz w:val="18"/>
                      </w:rPr>
                    </w:pPr>
                  </w:p>
                  <w:p>
                    <w:pPr>
                      <w:spacing w:before="160"/>
                      <w:ind w:left="0" w:right="0" w:firstLine="0"/>
                      <w:jc w:val="left"/>
                      <w:rPr>
                        <w:b/>
                        <w:sz w:val="16"/>
                      </w:rPr>
                    </w:pPr>
                    <w:r>
                      <w:rPr>
                        <w:b/>
                        <w:color w:val="FF0000"/>
                        <w:w w:val="105"/>
                        <w:sz w:val="16"/>
                      </w:rPr>
                      <w:t>5 ¢</w:t>
                    </w:r>
                  </w:p>
                  <w:p>
                    <w:pPr>
                      <w:spacing w:line="240" w:lineRule="auto" w:before="0"/>
                      <w:rPr>
                        <w:i/>
                        <w:sz w:val="18"/>
                      </w:rPr>
                    </w:pPr>
                  </w:p>
                  <w:p>
                    <w:pPr>
                      <w:spacing w:before="151"/>
                      <w:ind w:left="0" w:right="0" w:firstLine="0"/>
                      <w:jc w:val="left"/>
                      <w:rPr>
                        <w:b/>
                        <w:sz w:val="16"/>
                      </w:rPr>
                    </w:pPr>
                    <w:r>
                      <w:rPr>
                        <w:b/>
                        <w:color w:val="FF0000"/>
                        <w:w w:val="105"/>
                        <w:sz w:val="16"/>
                      </w:rPr>
                      <w:t>0 ¢</w:t>
                    </w:r>
                  </w:p>
                </w:txbxContent>
              </v:textbox>
              <w10:wrap type="none"/>
            </v:shape>
            <v:shape style="position:absolute;left:2174;top:2412;width:4849;height:185" type="#_x0000_t202" filled="false" stroked="false">
              <v:textbox inset="0,0,0,0">
                <w:txbxContent>
                  <w:p>
                    <w:pPr>
                      <w:tabs>
                        <w:tab w:pos="1156" w:val="left" w:leader="none"/>
                        <w:tab w:pos="2323" w:val="left" w:leader="none"/>
                        <w:tab w:pos="3494" w:val="left" w:leader="none"/>
                        <w:tab w:pos="4651" w:val="left" w:leader="none"/>
                      </w:tabs>
                      <w:spacing w:line="183" w:lineRule="exact" w:before="0"/>
                      <w:ind w:left="0" w:right="0" w:firstLine="0"/>
                      <w:jc w:val="left"/>
                      <w:rPr>
                        <w:b/>
                        <w:sz w:val="16"/>
                      </w:rPr>
                    </w:pPr>
                    <w:r>
                      <w:rPr>
                        <w:b/>
                        <w:color w:val="FF0000"/>
                        <w:w w:val="105"/>
                        <w:sz w:val="16"/>
                      </w:rPr>
                      <w:t>93</w:t>
                      <w:tab/>
                      <w:t>94</w:t>
                      <w:tab/>
                      <w:t>95</w:t>
                      <w:tab/>
                      <w:t>96</w:t>
                      <w:tab/>
                    </w:r>
                    <w:r>
                      <w:rPr>
                        <w:b/>
                        <w:color w:val="FF0000"/>
                        <w:spacing w:val="-4"/>
                        <w:w w:val="105"/>
                        <w:sz w:val="16"/>
                      </w:rPr>
                      <w:t>97</w:t>
                    </w:r>
                  </w:p>
                </w:txbxContent>
              </v:textbox>
              <w10:wrap type="none"/>
            </v:shape>
            <w10:wrap type="topAndBottom"/>
          </v:group>
        </w:pict>
      </w:r>
    </w:p>
    <w:p>
      <w:pPr>
        <w:pStyle w:val="Heading3"/>
        <w:spacing w:before="50"/>
        <w:ind w:left="120"/>
      </w:pPr>
      <w:r>
        <w:rPr/>
        <w:t>PASSENGER REVENUE PER PASSENGER MILE</w:t>
      </w:r>
    </w:p>
    <w:p>
      <w:pPr>
        <w:spacing w:after="0"/>
        <w:sectPr>
          <w:footerReference w:type="default" r:id="rId9"/>
          <w:pgSz w:w="12240" w:h="15840"/>
          <w:pgMar w:footer="790" w:header="1592" w:top="2120" w:bottom="980" w:left="1320" w:right="1320"/>
        </w:sectPr>
      </w:pPr>
    </w:p>
    <w:p>
      <w:pPr>
        <w:pStyle w:val="BodyText"/>
        <w:spacing w:before="8"/>
        <w:rPr>
          <w:b/>
        </w:rPr>
      </w:pPr>
    </w:p>
    <w:p>
      <w:pPr>
        <w:pStyle w:val="Heading1"/>
        <w:spacing w:line="249" w:lineRule="auto"/>
        <w:ind w:left="119" w:right="119"/>
      </w:pPr>
      <w:r>
        <w:rPr>
          <w:color w:val="008080"/>
          <w:sz w:val="56"/>
        </w:rPr>
        <w:t>T</w:t>
      </w:r>
      <w:r>
        <w:rPr>
          <w:color w:val="008080"/>
        </w:rPr>
        <w:t>HE FUTURE OF FREEDOM </w:t>
      </w:r>
      <w:r>
        <w:rPr>
          <w:color w:val="FF0000"/>
        </w:rPr>
        <w:t>LOOKS BRIGHT, AS </w:t>
      </w:r>
      <w:r>
        <w:rPr>
          <w:color w:val="FF0000"/>
          <w:spacing w:val="3"/>
        </w:rPr>
        <w:t>LONG </w:t>
      </w:r>
      <w:r>
        <w:rPr>
          <w:color w:val="FF0000"/>
        </w:rPr>
        <w:t>AS WE RENEW OUR PLEDGE EVERY DAY.  OUR NEXT NEW </w:t>
      </w:r>
      <w:r>
        <w:rPr>
          <w:color w:val="FF0000"/>
          <w:spacing w:val="2"/>
        </w:rPr>
        <w:t>CITY </w:t>
      </w:r>
      <w:r>
        <w:rPr>
          <w:color w:val="FF0000"/>
        </w:rPr>
        <w:t>WILL SHARE ALL </w:t>
      </w:r>
      <w:r>
        <w:rPr>
          <w:color w:val="FF0000"/>
          <w:spacing w:val="3"/>
        </w:rPr>
        <w:t>THE </w:t>
      </w:r>
      <w:r>
        <w:rPr>
          <w:color w:val="FF0000"/>
        </w:rPr>
        <w:t>BENEFITS OF ALL OUR EXISTING CITIES, INCLUDING OUR LOW </w:t>
      </w:r>
      <w:r>
        <w:rPr>
          <w:color w:val="FF0000"/>
          <w:spacing w:val="2"/>
        </w:rPr>
        <w:t>FARES </w:t>
      </w:r>
      <w:r>
        <w:rPr>
          <w:color w:val="FF0000"/>
        </w:rPr>
        <w:t>AND TRIPLE CROWN</w:t>
      </w:r>
      <w:r>
        <w:rPr>
          <w:color w:val="FF0000"/>
          <w:spacing w:val="-47"/>
        </w:rPr>
        <w:t> </w:t>
      </w:r>
      <w:r>
        <w:rPr>
          <w:color w:val="FF0000"/>
        </w:rPr>
        <w:t>SERVICE.</w:t>
      </w:r>
    </w:p>
    <w:p>
      <w:pPr>
        <w:pStyle w:val="BodyText"/>
        <w:spacing w:before="10"/>
        <w:rPr>
          <w:b/>
          <w:sz w:val="37"/>
        </w:rPr>
      </w:pPr>
    </w:p>
    <w:p>
      <w:pPr>
        <w:pStyle w:val="BodyText"/>
        <w:spacing w:line="312" w:lineRule="auto"/>
        <w:ind w:left="1559" w:right="203"/>
      </w:pPr>
      <w:r>
        <w:rPr/>
        <w:t>Southwest is financially and strategically positioned to take advantage of short- to medium-range point-to-point opportunities. We remain the undisputed low cost leader in the airline industry and are continuing our efforts to widen the margin even further. In spite of our rapid growth and the intense competition we’ve faced, operating cash flows have been remarkable, covering almost 90 percent of our capital expenditures in 1997. Our balance sheet remains very strong, as evidenced by “A-” credit ratings from the three agencies that rate us (Standard &amp; Poor’s, Moody’s, and Duff &amp; Phelps). This ensures adequate and cost-effective access to the capital markets to meet future expansion needs.</w:t>
      </w:r>
    </w:p>
    <w:p>
      <w:pPr>
        <w:pStyle w:val="BodyText"/>
        <w:spacing w:before="7"/>
        <w:rPr>
          <w:sz w:val="31"/>
        </w:rPr>
      </w:pPr>
    </w:p>
    <w:p>
      <w:pPr>
        <w:pStyle w:val="BodyText"/>
        <w:spacing w:line="312" w:lineRule="auto"/>
        <w:ind w:left="1559" w:right="203"/>
      </w:pPr>
      <w:r>
        <w:rPr/>
        <w:t>While the industry continues to demonstrate unprecedented capacity restraint, Southwest will continue its strategy of controlled growth. In January 1998, Southwest announced its increased commitment to Boeing’s Next-Generation 737-700 by exercising options on 47 -700s for delivery in 1999-2004 and by ordering an additional 12 -700s for delivery in 2000-2004. In addition, we obtained 42 more options from Boeing for delivery in 2004-2006. These 59 additional orders and 42 additional options bring our future commitment, as of yearend, to 188 aircraft and make Southwest Boeing’s largest customer for the best selling Next- Generation 737s.</w:t>
      </w:r>
    </w:p>
    <w:p>
      <w:pPr>
        <w:spacing w:after="0" w:line="312" w:lineRule="auto"/>
        <w:sectPr>
          <w:footerReference w:type="default" r:id="rId10"/>
          <w:pgSz w:w="12240" w:h="15840"/>
          <w:pgMar w:footer="790" w:header="1592" w:top="2120" w:bottom="980" w:left="1320" w:right="1320"/>
          <w:pgNumType w:start="21"/>
        </w:sectPr>
      </w:pPr>
    </w:p>
    <w:p>
      <w:pPr>
        <w:pStyle w:val="BodyText"/>
        <w:rPr>
          <w:sz w:val="20"/>
        </w:rPr>
      </w:pPr>
    </w:p>
    <w:p>
      <w:pPr>
        <w:pStyle w:val="BodyText"/>
        <w:spacing w:line="312" w:lineRule="auto" w:before="207"/>
        <w:ind w:left="1559" w:right="136"/>
      </w:pPr>
      <w:r>
        <w:rPr/>
        <w:t>Our future commitment to Boeing’s Next-Generation 737-700 will significantly contribute to our ability to remain the lowest cost producer in the airline industry, which will, in turn, allow us to continue introducing low fares to many new U.S. cities. This new aircraft model also has the capability to fly quieter, faster, farther, and higher and carries the same type rating as the rest of the 737 family.</w:t>
      </w:r>
    </w:p>
    <w:p>
      <w:pPr>
        <w:pStyle w:val="BodyText"/>
        <w:spacing w:before="6"/>
        <w:rPr>
          <w:sz w:val="31"/>
        </w:rPr>
      </w:pPr>
    </w:p>
    <w:p>
      <w:pPr>
        <w:pStyle w:val="BodyText"/>
        <w:spacing w:line="312" w:lineRule="auto"/>
        <w:ind w:left="1559" w:right="203"/>
      </w:pPr>
      <w:r>
        <w:rPr/>
        <w:t>This increased commitment to our baseline growth beyond 1998 (approximately ten percent per annum in 1999 and 2000) affirms our pledge to bring safe, affordable, quality service to many more Americans allowing them to go, see, and do things never before dreamed possible. While we are temporarily limited to a six to seven percent increase in capacity in 1998 due to Boeing’s recent production delays and a tight aircraft market, we still plan to add two new cities in 1998. Most importantly, our goal is to generate annual earnings growth of at least 15 percent through our continued focus on cost control and increased revenues.</w:t>
      </w:r>
    </w:p>
    <w:p>
      <w:pPr>
        <w:pStyle w:val="BodyText"/>
        <w:spacing w:before="1"/>
        <w:rPr>
          <w:sz w:val="31"/>
        </w:rPr>
      </w:pPr>
    </w:p>
    <w:p>
      <w:pPr>
        <w:pStyle w:val="Heading3"/>
        <w:spacing w:line="312" w:lineRule="auto"/>
        <w:ind w:right="119"/>
        <w:jc w:val="both"/>
      </w:pPr>
      <w:r>
        <w:rPr>
          <w:color w:val="008080"/>
        </w:rPr>
        <w:t>“PEOPLE ALWAYS WANT TO KNOW WHERE WE’RE GOING NEXT. THE ANSWER IS ALWAYS THE SAME: WE’RE GOING WHERE THE FREEDOM TO FLY WILL MAKE A DIFFERENCE TO THE CITIES WE SERVE.”</w:t>
      </w:r>
    </w:p>
    <w:p>
      <w:pPr>
        <w:pStyle w:val="BodyText"/>
        <w:spacing w:before="6"/>
        <w:rPr>
          <w:b/>
          <w:sz w:val="31"/>
        </w:rPr>
      </w:pPr>
    </w:p>
    <w:p>
      <w:pPr>
        <w:spacing w:before="0"/>
        <w:ind w:left="5159" w:right="0" w:firstLine="0"/>
        <w:jc w:val="left"/>
        <w:rPr>
          <w:b/>
          <w:sz w:val="24"/>
        </w:rPr>
      </w:pPr>
      <w:r>
        <w:rPr>
          <w:b/>
          <w:color w:val="FF0000"/>
          <w:sz w:val="24"/>
        </w:rPr>
        <w:t>John G. Denison, Executive</w:t>
      </w:r>
    </w:p>
    <w:p>
      <w:pPr>
        <w:spacing w:before="83"/>
        <w:ind w:left="5159" w:right="0" w:firstLine="0"/>
        <w:jc w:val="left"/>
        <w:rPr>
          <w:b/>
          <w:sz w:val="24"/>
        </w:rPr>
      </w:pPr>
      <w:r>
        <w:rPr>
          <w:b/>
          <w:color w:val="FF0000"/>
          <w:sz w:val="24"/>
        </w:rPr>
        <w:t>Vice President–Corporate Services</w:t>
      </w:r>
    </w:p>
    <w:p>
      <w:pPr>
        <w:spacing w:after="0"/>
        <w:jc w:val="left"/>
        <w:rPr>
          <w:sz w:val="24"/>
        </w:rPr>
        <w:sectPr>
          <w:pgSz w:w="12240" w:h="15840"/>
          <w:pgMar w:header="1592" w:footer="790" w:top="2120" w:bottom="980" w:left="1320" w:right="1320"/>
        </w:sectPr>
      </w:pPr>
    </w:p>
    <w:p>
      <w:pPr>
        <w:pStyle w:val="BodyText"/>
        <w:rPr>
          <w:b/>
          <w:sz w:val="20"/>
        </w:rPr>
      </w:pPr>
    </w:p>
    <w:p>
      <w:pPr>
        <w:pStyle w:val="BodyText"/>
        <w:rPr>
          <w:b/>
          <w:sz w:val="20"/>
        </w:rPr>
      </w:pPr>
    </w:p>
    <w:p>
      <w:pPr>
        <w:pStyle w:val="BodyText"/>
        <w:spacing w:before="3"/>
        <w:rPr>
          <w:b/>
          <w:sz w:val="19"/>
        </w:rPr>
      </w:pPr>
    </w:p>
    <w:tbl>
      <w:tblPr>
        <w:tblW w:w="0" w:type="auto"/>
        <w:jc w:val="left"/>
        <w:tblInd w:w="25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83"/>
        <w:gridCol w:w="1502"/>
        <w:gridCol w:w="1539"/>
        <w:gridCol w:w="1488"/>
      </w:tblGrid>
      <w:tr>
        <w:trPr>
          <w:trHeight w:val="836" w:hRule="exact"/>
        </w:trPr>
        <w:tc>
          <w:tcPr>
            <w:tcW w:w="2383" w:type="dxa"/>
            <w:tcBorders>
              <w:top w:val="single" w:sz="4" w:space="0" w:color="000000"/>
              <w:left w:val="single" w:sz="4" w:space="0" w:color="000000"/>
            </w:tcBorders>
          </w:tcPr>
          <w:p>
            <w:pPr>
              <w:pStyle w:val="TableParagraph"/>
              <w:spacing w:before="106"/>
              <w:ind w:left="206"/>
              <w:jc w:val="left"/>
              <w:rPr>
                <w:b/>
                <w:sz w:val="24"/>
              </w:rPr>
            </w:pPr>
            <w:r>
              <w:rPr>
                <w:b/>
                <w:color w:val="FF0000"/>
                <w:sz w:val="24"/>
              </w:rPr>
              <w:t>737</w:t>
            </w:r>
          </w:p>
          <w:p>
            <w:pPr>
              <w:pStyle w:val="TableParagraph"/>
              <w:spacing w:before="16"/>
              <w:ind w:left="139"/>
              <w:jc w:val="left"/>
              <w:rPr>
                <w:b/>
                <w:sz w:val="24"/>
              </w:rPr>
            </w:pPr>
            <w:r>
              <w:rPr>
                <w:b/>
                <w:color w:val="FF0000"/>
                <w:sz w:val="24"/>
              </w:rPr>
              <w:t>Type</w:t>
            </w:r>
          </w:p>
        </w:tc>
        <w:tc>
          <w:tcPr>
            <w:tcW w:w="1502" w:type="dxa"/>
            <w:tcBorders>
              <w:top w:val="single" w:sz="4" w:space="0" w:color="000000"/>
            </w:tcBorders>
          </w:tcPr>
          <w:p>
            <w:pPr>
              <w:pStyle w:val="TableParagraph"/>
              <w:spacing w:before="7"/>
              <w:jc w:val="left"/>
              <w:rPr>
                <w:b/>
                <w:sz w:val="34"/>
              </w:rPr>
            </w:pPr>
          </w:p>
          <w:p>
            <w:pPr>
              <w:pStyle w:val="TableParagraph"/>
              <w:spacing w:before="1"/>
              <w:ind w:left="640"/>
              <w:jc w:val="left"/>
              <w:rPr>
                <w:b/>
                <w:sz w:val="24"/>
              </w:rPr>
            </w:pPr>
            <w:r>
              <w:rPr>
                <w:b/>
                <w:color w:val="FF0000"/>
                <w:sz w:val="24"/>
              </w:rPr>
              <w:t>Seats</w:t>
            </w:r>
          </w:p>
        </w:tc>
        <w:tc>
          <w:tcPr>
            <w:tcW w:w="1539" w:type="dxa"/>
            <w:tcBorders>
              <w:top w:val="single" w:sz="4" w:space="0" w:color="000000"/>
            </w:tcBorders>
          </w:tcPr>
          <w:p>
            <w:pPr>
              <w:pStyle w:val="TableParagraph"/>
              <w:spacing w:line="254" w:lineRule="auto" w:before="106"/>
              <w:ind w:left="218" w:right="167"/>
              <w:jc w:val="left"/>
              <w:rPr>
                <w:b/>
                <w:sz w:val="24"/>
              </w:rPr>
            </w:pPr>
            <w:r>
              <w:rPr>
                <w:b/>
                <w:color w:val="FF0000"/>
                <w:sz w:val="24"/>
              </w:rPr>
              <w:t>Average Age (Yrs.)</w:t>
            </w:r>
          </w:p>
        </w:tc>
        <w:tc>
          <w:tcPr>
            <w:tcW w:w="1488" w:type="dxa"/>
            <w:tcBorders>
              <w:top w:val="single" w:sz="4" w:space="0" w:color="000000"/>
              <w:right w:val="single" w:sz="4" w:space="0" w:color="000000"/>
            </w:tcBorders>
          </w:tcPr>
          <w:p>
            <w:pPr>
              <w:pStyle w:val="TableParagraph"/>
              <w:spacing w:line="254" w:lineRule="auto" w:before="106"/>
              <w:ind w:left="187" w:right="67" w:firstLine="115"/>
              <w:jc w:val="left"/>
              <w:rPr>
                <w:b/>
                <w:sz w:val="24"/>
              </w:rPr>
            </w:pPr>
            <w:r>
              <w:rPr>
                <w:b/>
                <w:color w:val="FF0000"/>
                <w:sz w:val="24"/>
              </w:rPr>
              <w:t>Number of Aircraft</w:t>
            </w:r>
          </w:p>
        </w:tc>
      </w:tr>
      <w:tr>
        <w:trPr>
          <w:trHeight w:val="432" w:hRule="exact"/>
        </w:trPr>
        <w:tc>
          <w:tcPr>
            <w:tcW w:w="2383" w:type="dxa"/>
            <w:tcBorders>
              <w:left w:val="single" w:sz="4" w:space="0" w:color="000000"/>
            </w:tcBorders>
          </w:tcPr>
          <w:p>
            <w:pPr>
              <w:pStyle w:val="TableParagraph"/>
              <w:spacing w:before="148"/>
              <w:ind w:left="139"/>
              <w:jc w:val="left"/>
              <w:rPr>
                <w:sz w:val="24"/>
              </w:rPr>
            </w:pPr>
            <w:r>
              <w:rPr>
                <w:sz w:val="24"/>
              </w:rPr>
              <w:t>-200</w:t>
            </w:r>
          </w:p>
        </w:tc>
        <w:tc>
          <w:tcPr>
            <w:tcW w:w="1502" w:type="dxa"/>
          </w:tcPr>
          <w:p>
            <w:pPr>
              <w:pStyle w:val="TableParagraph"/>
              <w:spacing w:before="148"/>
              <w:ind w:left="707"/>
              <w:jc w:val="left"/>
              <w:rPr>
                <w:sz w:val="24"/>
              </w:rPr>
            </w:pPr>
            <w:r>
              <w:rPr>
                <w:sz w:val="24"/>
              </w:rPr>
              <w:t>122</w:t>
            </w:r>
          </w:p>
        </w:tc>
        <w:tc>
          <w:tcPr>
            <w:tcW w:w="1539" w:type="dxa"/>
          </w:tcPr>
          <w:p>
            <w:pPr>
              <w:pStyle w:val="TableParagraph"/>
              <w:spacing w:before="148"/>
              <w:ind w:right="645"/>
              <w:rPr>
                <w:sz w:val="24"/>
              </w:rPr>
            </w:pPr>
            <w:r>
              <w:rPr>
                <w:w w:val="95"/>
                <w:sz w:val="24"/>
              </w:rPr>
              <w:t>16.9</w:t>
            </w:r>
          </w:p>
        </w:tc>
        <w:tc>
          <w:tcPr>
            <w:tcW w:w="1488" w:type="dxa"/>
            <w:tcBorders>
              <w:right w:val="single" w:sz="4" w:space="0" w:color="000000"/>
            </w:tcBorders>
          </w:tcPr>
          <w:p>
            <w:pPr>
              <w:pStyle w:val="TableParagraph"/>
              <w:spacing w:before="148"/>
              <w:ind w:right="575"/>
              <w:rPr>
                <w:sz w:val="24"/>
              </w:rPr>
            </w:pPr>
            <w:r>
              <w:rPr>
                <w:sz w:val="24"/>
              </w:rPr>
              <w:t>47</w:t>
            </w:r>
          </w:p>
        </w:tc>
      </w:tr>
      <w:tr>
        <w:trPr>
          <w:trHeight w:val="283" w:hRule="exact"/>
        </w:trPr>
        <w:tc>
          <w:tcPr>
            <w:tcW w:w="2383" w:type="dxa"/>
            <w:tcBorders>
              <w:left w:val="single" w:sz="4" w:space="0" w:color="000000"/>
            </w:tcBorders>
          </w:tcPr>
          <w:p>
            <w:pPr>
              <w:pStyle w:val="TableParagraph"/>
              <w:spacing w:line="276" w:lineRule="exact"/>
              <w:ind w:left="139"/>
              <w:jc w:val="left"/>
              <w:rPr>
                <w:sz w:val="24"/>
              </w:rPr>
            </w:pPr>
            <w:r>
              <w:rPr>
                <w:sz w:val="24"/>
              </w:rPr>
              <w:t>-300</w:t>
            </w:r>
          </w:p>
        </w:tc>
        <w:tc>
          <w:tcPr>
            <w:tcW w:w="1502" w:type="dxa"/>
          </w:tcPr>
          <w:p>
            <w:pPr>
              <w:pStyle w:val="TableParagraph"/>
              <w:spacing w:line="276" w:lineRule="exact"/>
              <w:ind w:left="707"/>
              <w:jc w:val="left"/>
              <w:rPr>
                <w:sz w:val="24"/>
              </w:rPr>
            </w:pPr>
            <w:r>
              <w:rPr>
                <w:sz w:val="24"/>
              </w:rPr>
              <w:t>137</w:t>
            </w:r>
          </w:p>
        </w:tc>
        <w:tc>
          <w:tcPr>
            <w:tcW w:w="1539" w:type="dxa"/>
          </w:tcPr>
          <w:p>
            <w:pPr>
              <w:pStyle w:val="TableParagraph"/>
              <w:spacing w:line="276" w:lineRule="exact"/>
              <w:ind w:right="645"/>
              <w:rPr>
                <w:sz w:val="24"/>
              </w:rPr>
            </w:pPr>
            <w:r>
              <w:rPr>
                <w:w w:val="95"/>
                <w:sz w:val="24"/>
              </w:rPr>
              <w:t>6.5</w:t>
            </w:r>
          </w:p>
        </w:tc>
        <w:tc>
          <w:tcPr>
            <w:tcW w:w="1488" w:type="dxa"/>
            <w:tcBorders>
              <w:right w:val="single" w:sz="4" w:space="0" w:color="000000"/>
            </w:tcBorders>
          </w:tcPr>
          <w:p>
            <w:pPr>
              <w:pStyle w:val="TableParagraph"/>
              <w:spacing w:line="276" w:lineRule="exact"/>
              <w:ind w:right="575"/>
              <w:rPr>
                <w:sz w:val="24"/>
              </w:rPr>
            </w:pPr>
            <w:r>
              <w:rPr>
                <w:w w:val="95"/>
                <w:sz w:val="24"/>
              </w:rPr>
              <w:t>186</w:t>
            </w:r>
          </w:p>
        </w:tc>
      </w:tr>
      <w:tr>
        <w:trPr>
          <w:trHeight w:val="283" w:hRule="exact"/>
        </w:trPr>
        <w:tc>
          <w:tcPr>
            <w:tcW w:w="2383" w:type="dxa"/>
            <w:tcBorders>
              <w:left w:val="single" w:sz="4" w:space="0" w:color="000000"/>
            </w:tcBorders>
          </w:tcPr>
          <w:p>
            <w:pPr>
              <w:pStyle w:val="TableParagraph"/>
              <w:spacing w:line="276" w:lineRule="exact"/>
              <w:ind w:left="139"/>
              <w:jc w:val="left"/>
              <w:rPr>
                <w:sz w:val="24"/>
              </w:rPr>
            </w:pPr>
            <w:r>
              <w:rPr>
                <w:sz w:val="24"/>
              </w:rPr>
              <w:t>-500</w:t>
            </w:r>
          </w:p>
        </w:tc>
        <w:tc>
          <w:tcPr>
            <w:tcW w:w="1502" w:type="dxa"/>
          </w:tcPr>
          <w:p>
            <w:pPr>
              <w:pStyle w:val="TableParagraph"/>
              <w:spacing w:line="276" w:lineRule="exact"/>
              <w:ind w:left="707"/>
              <w:jc w:val="left"/>
              <w:rPr>
                <w:sz w:val="24"/>
              </w:rPr>
            </w:pPr>
            <w:r>
              <w:rPr>
                <w:sz w:val="24"/>
              </w:rPr>
              <w:t>122</w:t>
            </w:r>
          </w:p>
        </w:tc>
        <w:tc>
          <w:tcPr>
            <w:tcW w:w="1539" w:type="dxa"/>
          </w:tcPr>
          <w:p>
            <w:pPr>
              <w:pStyle w:val="TableParagraph"/>
              <w:spacing w:line="276" w:lineRule="exact"/>
              <w:ind w:right="645"/>
              <w:rPr>
                <w:sz w:val="24"/>
              </w:rPr>
            </w:pPr>
            <w:r>
              <w:rPr>
                <w:w w:val="95"/>
                <w:sz w:val="24"/>
              </w:rPr>
              <w:t>6.7</w:t>
            </w:r>
          </w:p>
        </w:tc>
        <w:tc>
          <w:tcPr>
            <w:tcW w:w="1488" w:type="dxa"/>
            <w:tcBorders>
              <w:right w:val="single" w:sz="4" w:space="0" w:color="000000"/>
            </w:tcBorders>
          </w:tcPr>
          <w:p>
            <w:pPr>
              <w:pStyle w:val="TableParagraph"/>
              <w:spacing w:line="276" w:lineRule="exact"/>
              <w:ind w:right="575"/>
              <w:rPr>
                <w:sz w:val="24"/>
              </w:rPr>
            </w:pPr>
            <w:r>
              <w:rPr>
                <w:sz w:val="24"/>
              </w:rPr>
              <w:t>25</w:t>
            </w:r>
          </w:p>
        </w:tc>
      </w:tr>
      <w:tr>
        <w:trPr>
          <w:trHeight w:val="427" w:hRule="exact"/>
        </w:trPr>
        <w:tc>
          <w:tcPr>
            <w:tcW w:w="2383" w:type="dxa"/>
            <w:tcBorders>
              <w:left w:val="single" w:sz="4" w:space="0" w:color="000000"/>
            </w:tcBorders>
          </w:tcPr>
          <w:p>
            <w:pPr>
              <w:pStyle w:val="TableParagraph"/>
              <w:spacing w:line="276" w:lineRule="exact"/>
              <w:ind w:left="139"/>
              <w:jc w:val="left"/>
              <w:rPr>
                <w:sz w:val="24"/>
              </w:rPr>
            </w:pPr>
            <w:r>
              <w:rPr>
                <w:sz w:val="24"/>
              </w:rPr>
              <w:t>-700</w:t>
            </w:r>
          </w:p>
        </w:tc>
        <w:tc>
          <w:tcPr>
            <w:tcW w:w="1502" w:type="dxa"/>
          </w:tcPr>
          <w:p>
            <w:pPr>
              <w:pStyle w:val="TableParagraph"/>
              <w:spacing w:line="276" w:lineRule="exact"/>
              <w:ind w:left="707"/>
              <w:jc w:val="left"/>
              <w:rPr>
                <w:sz w:val="24"/>
              </w:rPr>
            </w:pPr>
            <w:r>
              <w:rPr>
                <w:sz w:val="24"/>
              </w:rPr>
              <w:t>137</w:t>
            </w:r>
          </w:p>
        </w:tc>
        <w:tc>
          <w:tcPr>
            <w:tcW w:w="1539" w:type="dxa"/>
          </w:tcPr>
          <w:p>
            <w:pPr>
              <w:pStyle w:val="TableParagraph"/>
              <w:spacing w:line="276" w:lineRule="exact"/>
              <w:ind w:right="674"/>
              <w:rPr>
                <w:sz w:val="24"/>
              </w:rPr>
            </w:pPr>
            <w:r>
              <w:rPr>
                <w:sz w:val="24"/>
              </w:rPr>
              <w:t>—</w:t>
            </w:r>
          </w:p>
        </w:tc>
        <w:tc>
          <w:tcPr>
            <w:tcW w:w="1488" w:type="dxa"/>
            <w:tcBorders>
              <w:right w:val="single" w:sz="4" w:space="0" w:color="000000"/>
            </w:tcBorders>
          </w:tcPr>
          <w:p>
            <w:pPr>
              <w:pStyle w:val="TableParagraph"/>
              <w:spacing w:line="276" w:lineRule="exact"/>
              <w:ind w:right="574"/>
              <w:rPr>
                <w:sz w:val="24"/>
              </w:rPr>
            </w:pPr>
            <w:r>
              <w:rPr>
                <w:w w:val="99"/>
                <w:sz w:val="24"/>
              </w:rPr>
              <w:t>3</w:t>
            </w:r>
          </w:p>
        </w:tc>
      </w:tr>
      <w:tr>
        <w:trPr>
          <w:trHeight w:val="474" w:hRule="exact"/>
        </w:trPr>
        <w:tc>
          <w:tcPr>
            <w:tcW w:w="2383" w:type="dxa"/>
            <w:tcBorders>
              <w:left w:val="single" w:sz="4" w:space="0" w:color="000000"/>
              <w:bottom w:val="single" w:sz="4" w:space="0" w:color="000000"/>
            </w:tcBorders>
          </w:tcPr>
          <w:p>
            <w:pPr>
              <w:pStyle w:val="TableParagraph"/>
              <w:spacing w:before="143"/>
              <w:ind w:left="139"/>
              <w:jc w:val="left"/>
              <w:rPr>
                <w:b/>
                <w:sz w:val="24"/>
              </w:rPr>
            </w:pPr>
            <w:r>
              <w:rPr>
                <w:b/>
                <w:sz w:val="24"/>
              </w:rPr>
              <w:t>Total</w:t>
            </w:r>
          </w:p>
        </w:tc>
        <w:tc>
          <w:tcPr>
            <w:tcW w:w="1502" w:type="dxa"/>
            <w:tcBorders>
              <w:bottom w:val="single" w:sz="4" w:space="0" w:color="000000"/>
            </w:tcBorders>
          </w:tcPr>
          <w:p>
            <w:pPr>
              <w:pStyle w:val="TableParagraph"/>
              <w:spacing w:before="143"/>
              <w:ind w:left="707"/>
              <w:jc w:val="left"/>
              <w:rPr>
                <w:b/>
                <w:sz w:val="24"/>
              </w:rPr>
            </w:pPr>
            <w:r>
              <w:rPr>
                <w:b/>
                <w:sz w:val="24"/>
              </w:rPr>
              <w:t>133</w:t>
            </w:r>
          </w:p>
        </w:tc>
        <w:tc>
          <w:tcPr>
            <w:tcW w:w="1539" w:type="dxa"/>
            <w:tcBorders>
              <w:bottom w:val="single" w:sz="4" w:space="0" w:color="000000"/>
            </w:tcBorders>
          </w:tcPr>
          <w:p>
            <w:pPr>
              <w:pStyle w:val="TableParagraph"/>
              <w:spacing w:before="143"/>
              <w:ind w:right="647"/>
              <w:rPr>
                <w:b/>
                <w:sz w:val="24"/>
              </w:rPr>
            </w:pPr>
            <w:r>
              <w:rPr>
                <w:b/>
                <w:sz w:val="24"/>
              </w:rPr>
              <w:t>8.3</w:t>
            </w:r>
          </w:p>
        </w:tc>
        <w:tc>
          <w:tcPr>
            <w:tcW w:w="1488" w:type="dxa"/>
            <w:tcBorders>
              <w:bottom w:val="single" w:sz="4" w:space="0" w:color="000000"/>
              <w:right w:val="single" w:sz="4" w:space="0" w:color="000000"/>
            </w:tcBorders>
          </w:tcPr>
          <w:p>
            <w:pPr>
              <w:pStyle w:val="TableParagraph"/>
              <w:spacing w:before="143"/>
              <w:ind w:right="575"/>
              <w:rPr>
                <w:b/>
                <w:sz w:val="24"/>
              </w:rPr>
            </w:pPr>
            <w:r>
              <w:rPr>
                <w:b/>
                <w:sz w:val="24"/>
              </w:rPr>
              <w:t>261</w:t>
            </w:r>
          </w:p>
        </w:tc>
      </w:tr>
      <w:tr>
        <w:trPr>
          <w:trHeight w:val="749" w:hRule="exact"/>
        </w:trPr>
        <w:tc>
          <w:tcPr>
            <w:tcW w:w="2383" w:type="dxa"/>
            <w:tcBorders>
              <w:top w:val="single" w:sz="4" w:space="0" w:color="000000"/>
            </w:tcBorders>
          </w:tcPr>
          <w:p>
            <w:pPr>
              <w:pStyle w:val="TableParagraph"/>
              <w:spacing w:before="8"/>
              <w:jc w:val="left"/>
              <w:rPr>
                <w:b/>
                <w:sz w:val="21"/>
              </w:rPr>
            </w:pPr>
          </w:p>
          <w:p>
            <w:pPr>
              <w:pStyle w:val="TableParagraph"/>
              <w:ind w:left="143"/>
              <w:jc w:val="left"/>
              <w:rPr>
                <w:b/>
                <w:sz w:val="24"/>
              </w:rPr>
            </w:pPr>
            <w:r>
              <w:rPr>
                <w:b/>
                <w:sz w:val="24"/>
              </w:rPr>
              <w:t>JET FLEET</w:t>
            </w:r>
          </w:p>
          <w:p>
            <w:pPr>
              <w:pStyle w:val="TableParagraph"/>
              <w:spacing w:before="10"/>
              <w:ind w:left="143"/>
              <w:jc w:val="left"/>
              <w:rPr>
                <w:i/>
                <w:sz w:val="18"/>
              </w:rPr>
            </w:pPr>
            <w:r>
              <w:rPr>
                <w:i/>
                <w:color w:val="FF0000"/>
                <w:sz w:val="18"/>
              </w:rPr>
              <w:t>December 31, 1997</w:t>
            </w:r>
          </w:p>
        </w:tc>
        <w:tc>
          <w:tcPr>
            <w:tcW w:w="1502" w:type="dxa"/>
            <w:tcBorders>
              <w:top w:val="single" w:sz="4" w:space="0" w:color="000000"/>
            </w:tcBorders>
          </w:tcPr>
          <w:p>
            <w:pPr/>
          </w:p>
        </w:tc>
        <w:tc>
          <w:tcPr>
            <w:tcW w:w="1539" w:type="dxa"/>
            <w:tcBorders>
              <w:top w:val="single" w:sz="4" w:space="0" w:color="000000"/>
            </w:tcBorders>
          </w:tcPr>
          <w:p>
            <w:pPr/>
          </w:p>
        </w:tc>
        <w:tc>
          <w:tcPr>
            <w:tcW w:w="1488" w:type="dxa"/>
            <w:tcBorders>
              <w:top w:val="single" w:sz="4" w:space="0" w:color="000000"/>
            </w:tcBorders>
          </w:tcPr>
          <w:p>
            <w:pPr/>
          </w:p>
        </w:tc>
      </w:tr>
    </w:tbl>
    <w:p>
      <w:pPr>
        <w:pStyle w:val="BodyText"/>
        <w:rPr>
          <w:b/>
          <w:sz w:val="20"/>
        </w:rPr>
      </w:pPr>
    </w:p>
    <w:p>
      <w:pPr>
        <w:pStyle w:val="BodyText"/>
        <w:rPr>
          <w:b/>
          <w:sz w:val="20"/>
        </w:rPr>
      </w:pPr>
    </w:p>
    <w:p>
      <w:pPr>
        <w:pStyle w:val="BodyText"/>
        <w:rPr>
          <w:b/>
          <w:sz w:val="20"/>
        </w:rPr>
      </w:pPr>
    </w:p>
    <w:p>
      <w:pPr>
        <w:pStyle w:val="BodyText"/>
        <w:spacing w:before="4"/>
        <w:rPr>
          <w:b/>
          <w:sz w:val="11"/>
        </w:rPr>
      </w:pPr>
    </w:p>
    <w:tbl>
      <w:tblPr>
        <w:tblW w:w="0" w:type="auto"/>
        <w:jc w:val="left"/>
        <w:tblInd w:w="10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17"/>
        <w:gridCol w:w="898"/>
        <w:gridCol w:w="720"/>
        <w:gridCol w:w="720"/>
        <w:gridCol w:w="720"/>
        <w:gridCol w:w="720"/>
        <w:gridCol w:w="677"/>
        <w:gridCol w:w="720"/>
        <w:gridCol w:w="763"/>
        <w:gridCol w:w="703"/>
        <w:gridCol w:w="813"/>
      </w:tblGrid>
      <w:tr>
        <w:trPr>
          <w:trHeight w:val="354" w:hRule="exact"/>
        </w:trPr>
        <w:tc>
          <w:tcPr>
            <w:tcW w:w="1617" w:type="dxa"/>
            <w:tcBorders>
              <w:top w:val="single" w:sz="4" w:space="0" w:color="000000"/>
              <w:left w:val="single" w:sz="4" w:space="0" w:color="000000"/>
            </w:tcBorders>
          </w:tcPr>
          <w:p>
            <w:pPr/>
          </w:p>
        </w:tc>
        <w:tc>
          <w:tcPr>
            <w:tcW w:w="898" w:type="dxa"/>
            <w:tcBorders>
              <w:top w:val="single" w:sz="4" w:space="0" w:color="000000"/>
            </w:tcBorders>
          </w:tcPr>
          <w:p>
            <w:pPr>
              <w:pStyle w:val="TableParagraph"/>
              <w:spacing w:before="28"/>
              <w:ind w:right="158"/>
              <w:rPr>
                <w:b/>
                <w:sz w:val="18"/>
              </w:rPr>
            </w:pPr>
            <w:r>
              <w:rPr>
                <w:b/>
                <w:color w:val="FF0000"/>
                <w:sz w:val="18"/>
              </w:rPr>
              <w:t>1998</w:t>
            </w:r>
          </w:p>
        </w:tc>
        <w:tc>
          <w:tcPr>
            <w:tcW w:w="720" w:type="dxa"/>
            <w:tcBorders>
              <w:top w:val="single" w:sz="4" w:space="0" w:color="000000"/>
            </w:tcBorders>
          </w:tcPr>
          <w:p>
            <w:pPr>
              <w:pStyle w:val="TableParagraph"/>
              <w:spacing w:before="28"/>
              <w:ind w:right="158"/>
              <w:rPr>
                <w:b/>
                <w:sz w:val="18"/>
              </w:rPr>
            </w:pPr>
            <w:r>
              <w:rPr>
                <w:b/>
                <w:color w:val="FF0000"/>
                <w:sz w:val="18"/>
              </w:rPr>
              <w:t>1999</w:t>
            </w:r>
          </w:p>
        </w:tc>
        <w:tc>
          <w:tcPr>
            <w:tcW w:w="720" w:type="dxa"/>
            <w:tcBorders>
              <w:top w:val="single" w:sz="4" w:space="0" w:color="000000"/>
            </w:tcBorders>
          </w:tcPr>
          <w:p>
            <w:pPr>
              <w:pStyle w:val="TableParagraph"/>
              <w:spacing w:before="28"/>
              <w:ind w:right="158"/>
              <w:rPr>
                <w:b/>
                <w:sz w:val="18"/>
              </w:rPr>
            </w:pPr>
            <w:r>
              <w:rPr>
                <w:b/>
                <w:color w:val="FF0000"/>
                <w:sz w:val="18"/>
              </w:rPr>
              <w:t>2000</w:t>
            </w:r>
          </w:p>
        </w:tc>
        <w:tc>
          <w:tcPr>
            <w:tcW w:w="720" w:type="dxa"/>
            <w:tcBorders>
              <w:top w:val="single" w:sz="4" w:space="0" w:color="000000"/>
            </w:tcBorders>
          </w:tcPr>
          <w:p>
            <w:pPr>
              <w:pStyle w:val="TableParagraph"/>
              <w:spacing w:before="28"/>
              <w:ind w:right="158"/>
              <w:rPr>
                <w:b/>
                <w:sz w:val="18"/>
              </w:rPr>
            </w:pPr>
            <w:r>
              <w:rPr>
                <w:b/>
                <w:color w:val="FF0000"/>
                <w:sz w:val="18"/>
              </w:rPr>
              <w:t>2001</w:t>
            </w:r>
          </w:p>
        </w:tc>
        <w:tc>
          <w:tcPr>
            <w:tcW w:w="720" w:type="dxa"/>
            <w:tcBorders>
              <w:top w:val="single" w:sz="4" w:space="0" w:color="000000"/>
            </w:tcBorders>
          </w:tcPr>
          <w:p>
            <w:pPr>
              <w:pStyle w:val="TableParagraph"/>
              <w:spacing w:before="28"/>
              <w:ind w:right="158"/>
              <w:rPr>
                <w:b/>
                <w:sz w:val="18"/>
              </w:rPr>
            </w:pPr>
            <w:r>
              <w:rPr>
                <w:b/>
                <w:color w:val="FF0000"/>
                <w:sz w:val="18"/>
              </w:rPr>
              <w:t>2002</w:t>
            </w:r>
          </w:p>
        </w:tc>
        <w:tc>
          <w:tcPr>
            <w:tcW w:w="677" w:type="dxa"/>
            <w:tcBorders>
              <w:top w:val="single" w:sz="4" w:space="0" w:color="000000"/>
            </w:tcBorders>
          </w:tcPr>
          <w:p>
            <w:pPr>
              <w:pStyle w:val="TableParagraph"/>
              <w:spacing w:before="28"/>
              <w:ind w:right="114"/>
              <w:rPr>
                <w:b/>
                <w:sz w:val="18"/>
              </w:rPr>
            </w:pPr>
            <w:r>
              <w:rPr>
                <w:b/>
                <w:color w:val="FF0000"/>
                <w:sz w:val="18"/>
              </w:rPr>
              <w:t>2003</w:t>
            </w:r>
          </w:p>
        </w:tc>
        <w:tc>
          <w:tcPr>
            <w:tcW w:w="720" w:type="dxa"/>
            <w:tcBorders>
              <w:top w:val="single" w:sz="4" w:space="0" w:color="000000"/>
            </w:tcBorders>
          </w:tcPr>
          <w:p>
            <w:pPr>
              <w:pStyle w:val="TableParagraph"/>
              <w:spacing w:before="28"/>
              <w:ind w:right="201"/>
              <w:rPr>
                <w:b/>
                <w:sz w:val="18"/>
              </w:rPr>
            </w:pPr>
            <w:r>
              <w:rPr>
                <w:b/>
                <w:color w:val="FF0000"/>
                <w:sz w:val="18"/>
              </w:rPr>
              <w:t>2004</w:t>
            </w:r>
          </w:p>
        </w:tc>
        <w:tc>
          <w:tcPr>
            <w:tcW w:w="763" w:type="dxa"/>
            <w:tcBorders>
              <w:top w:val="single" w:sz="4" w:space="0" w:color="000000"/>
            </w:tcBorders>
          </w:tcPr>
          <w:p>
            <w:pPr>
              <w:pStyle w:val="TableParagraph"/>
              <w:spacing w:before="28"/>
              <w:ind w:right="158"/>
              <w:rPr>
                <w:b/>
                <w:sz w:val="18"/>
              </w:rPr>
            </w:pPr>
            <w:r>
              <w:rPr>
                <w:b/>
                <w:color w:val="FF0000"/>
                <w:sz w:val="18"/>
              </w:rPr>
              <w:t>2005</w:t>
            </w:r>
          </w:p>
        </w:tc>
        <w:tc>
          <w:tcPr>
            <w:tcW w:w="703" w:type="dxa"/>
            <w:tcBorders>
              <w:top w:val="single" w:sz="4" w:space="0" w:color="000000"/>
            </w:tcBorders>
          </w:tcPr>
          <w:p>
            <w:pPr>
              <w:pStyle w:val="TableParagraph"/>
              <w:spacing w:before="28"/>
              <w:ind w:right="141"/>
              <w:rPr>
                <w:b/>
                <w:sz w:val="18"/>
              </w:rPr>
            </w:pPr>
            <w:r>
              <w:rPr>
                <w:b/>
                <w:color w:val="FF0000"/>
                <w:sz w:val="18"/>
              </w:rPr>
              <w:t>2006</w:t>
            </w:r>
          </w:p>
        </w:tc>
        <w:tc>
          <w:tcPr>
            <w:tcW w:w="813" w:type="dxa"/>
            <w:tcBorders>
              <w:top w:val="single" w:sz="4" w:space="0" w:color="000000"/>
              <w:right w:val="single" w:sz="4" w:space="0" w:color="000000"/>
            </w:tcBorders>
          </w:tcPr>
          <w:p>
            <w:pPr>
              <w:pStyle w:val="TableParagraph"/>
              <w:spacing w:before="28"/>
              <w:ind w:right="229"/>
              <w:rPr>
                <w:b/>
                <w:sz w:val="18"/>
              </w:rPr>
            </w:pPr>
            <w:r>
              <w:rPr>
                <w:b/>
                <w:color w:val="FF0000"/>
                <w:sz w:val="18"/>
              </w:rPr>
              <w:t>Total</w:t>
            </w:r>
          </w:p>
        </w:tc>
      </w:tr>
      <w:tr>
        <w:trPr>
          <w:trHeight w:val="427" w:hRule="exact"/>
        </w:trPr>
        <w:tc>
          <w:tcPr>
            <w:tcW w:w="1617" w:type="dxa"/>
            <w:tcBorders>
              <w:left w:val="single" w:sz="4" w:space="0" w:color="000000"/>
            </w:tcBorders>
          </w:tcPr>
          <w:p>
            <w:pPr>
              <w:pStyle w:val="TableParagraph"/>
              <w:spacing w:before="110"/>
              <w:ind w:left="283"/>
              <w:jc w:val="left"/>
              <w:rPr>
                <w:sz w:val="18"/>
              </w:rPr>
            </w:pPr>
            <w:r>
              <w:rPr>
                <w:sz w:val="18"/>
              </w:rPr>
              <w:t>Firm orders:</w:t>
            </w:r>
          </w:p>
        </w:tc>
        <w:tc>
          <w:tcPr>
            <w:tcW w:w="898" w:type="dxa"/>
          </w:tcPr>
          <w:p>
            <w:pPr>
              <w:pStyle w:val="TableParagraph"/>
              <w:spacing w:before="110"/>
              <w:ind w:right="156"/>
              <w:rPr>
                <w:sz w:val="18"/>
              </w:rPr>
            </w:pPr>
            <w:r>
              <w:rPr>
                <w:sz w:val="18"/>
              </w:rPr>
              <w:t>22</w:t>
            </w:r>
          </w:p>
        </w:tc>
        <w:tc>
          <w:tcPr>
            <w:tcW w:w="720" w:type="dxa"/>
          </w:tcPr>
          <w:p>
            <w:pPr>
              <w:pStyle w:val="TableParagraph"/>
              <w:spacing w:before="110"/>
              <w:ind w:right="156"/>
              <w:rPr>
                <w:sz w:val="18"/>
              </w:rPr>
            </w:pPr>
            <w:r>
              <w:rPr>
                <w:sz w:val="18"/>
              </w:rPr>
              <w:t>25</w:t>
            </w:r>
          </w:p>
        </w:tc>
        <w:tc>
          <w:tcPr>
            <w:tcW w:w="720" w:type="dxa"/>
          </w:tcPr>
          <w:p>
            <w:pPr>
              <w:pStyle w:val="TableParagraph"/>
              <w:spacing w:before="110"/>
              <w:ind w:right="156"/>
              <w:rPr>
                <w:sz w:val="18"/>
              </w:rPr>
            </w:pPr>
            <w:r>
              <w:rPr>
                <w:sz w:val="18"/>
              </w:rPr>
              <w:t>23</w:t>
            </w:r>
          </w:p>
        </w:tc>
        <w:tc>
          <w:tcPr>
            <w:tcW w:w="720" w:type="dxa"/>
          </w:tcPr>
          <w:p>
            <w:pPr>
              <w:pStyle w:val="TableParagraph"/>
              <w:spacing w:before="110"/>
              <w:ind w:right="156"/>
              <w:rPr>
                <w:sz w:val="18"/>
              </w:rPr>
            </w:pPr>
            <w:r>
              <w:rPr>
                <w:sz w:val="18"/>
              </w:rPr>
              <w:t>21</w:t>
            </w:r>
          </w:p>
        </w:tc>
        <w:tc>
          <w:tcPr>
            <w:tcW w:w="720" w:type="dxa"/>
          </w:tcPr>
          <w:p>
            <w:pPr>
              <w:pStyle w:val="TableParagraph"/>
              <w:spacing w:before="110"/>
              <w:ind w:right="156"/>
              <w:rPr>
                <w:sz w:val="18"/>
              </w:rPr>
            </w:pPr>
            <w:r>
              <w:rPr>
                <w:sz w:val="18"/>
              </w:rPr>
              <w:t>21</w:t>
            </w:r>
          </w:p>
        </w:tc>
        <w:tc>
          <w:tcPr>
            <w:tcW w:w="677" w:type="dxa"/>
          </w:tcPr>
          <w:p>
            <w:pPr>
              <w:pStyle w:val="TableParagraph"/>
              <w:spacing w:before="110"/>
              <w:ind w:right="112"/>
              <w:rPr>
                <w:sz w:val="18"/>
              </w:rPr>
            </w:pPr>
            <w:r>
              <w:rPr>
                <w:w w:val="101"/>
                <w:sz w:val="18"/>
              </w:rPr>
              <w:t>8</w:t>
            </w:r>
          </w:p>
        </w:tc>
        <w:tc>
          <w:tcPr>
            <w:tcW w:w="720" w:type="dxa"/>
          </w:tcPr>
          <w:p>
            <w:pPr>
              <w:pStyle w:val="TableParagraph"/>
              <w:spacing w:before="110"/>
              <w:ind w:right="199"/>
              <w:rPr>
                <w:sz w:val="18"/>
              </w:rPr>
            </w:pPr>
            <w:r>
              <w:rPr>
                <w:w w:val="101"/>
                <w:sz w:val="18"/>
              </w:rPr>
              <w:t>6</w:t>
            </w:r>
          </w:p>
        </w:tc>
        <w:tc>
          <w:tcPr>
            <w:tcW w:w="763" w:type="dxa"/>
          </w:tcPr>
          <w:p>
            <w:pPr>
              <w:pStyle w:val="TableParagraph"/>
              <w:spacing w:before="110"/>
              <w:ind w:right="156"/>
              <w:rPr>
                <w:sz w:val="18"/>
              </w:rPr>
            </w:pPr>
            <w:r>
              <w:rPr>
                <w:w w:val="101"/>
                <w:sz w:val="18"/>
              </w:rPr>
              <w:t>–</w:t>
            </w:r>
          </w:p>
        </w:tc>
        <w:tc>
          <w:tcPr>
            <w:tcW w:w="703" w:type="dxa"/>
          </w:tcPr>
          <w:p>
            <w:pPr>
              <w:pStyle w:val="TableParagraph"/>
              <w:spacing w:before="110"/>
              <w:ind w:right="139"/>
              <w:rPr>
                <w:sz w:val="18"/>
              </w:rPr>
            </w:pPr>
            <w:r>
              <w:rPr>
                <w:w w:val="101"/>
                <w:sz w:val="18"/>
              </w:rPr>
              <w:t>–</w:t>
            </w:r>
          </w:p>
        </w:tc>
        <w:tc>
          <w:tcPr>
            <w:tcW w:w="813" w:type="dxa"/>
            <w:tcBorders>
              <w:right w:val="single" w:sz="4" w:space="0" w:color="000000"/>
            </w:tcBorders>
          </w:tcPr>
          <w:p>
            <w:pPr>
              <w:pStyle w:val="TableParagraph"/>
              <w:spacing w:before="110"/>
              <w:ind w:right="228"/>
              <w:rPr>
                <w:sz w:val="18"/>
              </w:rPr>
            </w:pPr>
            <w:r>
              <w:rPr>
                <w:sz w:val="18"/>
              </w:rPr>
              <w:t>126</w:t>
            </w:r>
          </w:p>
        </w:tc>
      </w:tr>
      <w:tr>
        <w:trPr>
          <w:trHeight w:val="433" w:hRule="exact"/>
        </w:trPr>
        <w:tc>
          <w:tcPr>
            <w:tcW w:w="1617" w:type="dxa"/>
            <w:tcBorders>
              <w:left w:val="single" w:sz="4" w:space="0" w:color="000000"/>
              <w:bottom w:val="single" w:sz="4" w:space="0" w:color="000000"/>
            </w:tcBorders>
          </w:tcPr>
          <w:p>
            <w:pPr>
              <w:pStyle w:val="TableParagraph"/>
              <w:spacing w:before="105"/>
              <w:ind w:left="283"/>
              <w:jc w:val="left"/>
              <w:rPr>
                <w:sz w:val="18"/>
              </w:rPr>
            </w:pPr>
            <w:r>
              <w:rPr>
                <w:sz w:val="18"/>
              </w:rPr>
              <w:t>Options:</w:t>
            </w:r>
          </w:p>
        </w:tc>
        <w:tc>
          <w:tcPr>
            <w:tcW w:w="898"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720" w:type="dxa"/>
            <w:tcBorders>
              <w:bottom w:val="single" w:sz="4" w:space="0" w:color="000000"/>
            </w:tcBorders>
          </w:tcPr>
          <w:p>
            <w:pPr>
              <w:pStyle w:val="TableParagraph"/>
              <w:spacing w:before="105"/>
              <w:ind w:right="156"/>
              <w:rPr>
                <w:sz w:val="18"/>
              </w:rPr>
            </w:pPr>
            <w:r>
              <w:rPr>
                <w:w w:val="101"/>
                <w:sz w:val="18"/>
              </w:rPr>
              <w:t>–</w:t>
            </w:r>
          </w:p>
        </w:tc>
        <w:tc>
          <w:tcPr>
            <w:tcW w:w="677" w:type="dxa"/>
            <w:tcBorders>
              <w:bottom w:val="single" w:sz="4" w:space="0" w:color="000000"/>
            </w:tcBorders>
          </w:tcPr>
          <w:p>
            <w:pPr>
              <w:pStyle w:val="TableParagraph"/>
              <w:spacing w:before="105"/>
              <w:ind w:right="113"/>
              <w:rPr>
                <w:sz w:val="18"/>
              </w:rPr>
            </w:pPr>
            <w:r>
              <w:rPr>
                <w:sz w:val="18"/>
              </w:rPr>
              <w:t>13</w:t>
            </w:r>
          </w:p>
        </w:tc>
        <w:tc>
          <w:tcPr>
            <w:tcW w:w="720" w:type="dxa"/>
            <w:tcBorders>
              <w:bottom w:val="single" w:sz="4" w:space="0" w:color="000000"/>
            </w:tcBorders>
          </w:tcPr>
          <w:p>
            <w:pPr>
              <w:pStyle w:val="TableParagraph"/>
              <w:spacing w:before="105"/>
              <w:ind w:right="199"/>
              <w:rPr>
                <w:sz w:val="18"/>
              </w:rPr>
            </w:pPr>
            <w:r>
              <w:rPr>
                <w:sz w:val="18"/>
              </w:rPr>
              <w:t>13</w:t>
            </w:r>
          </w:p>
        </w:tc>
        <w:tc>
          <w:tcPr>
            <w:tcW w:w="763" w:type="dxa"/>
            <w:tcBorders>
              <w:bottom w:val="single" w:sz="4" w:space="0" w:color="000000"/>
            </w:tcBorders>
          </w:tcPr>
          <w:p>
            <w:pPr>
              <w:pStyle w:val="TableParagraph"/>
              <w:spacing w:before="105"/>
              <w:ind w:right="156"/>
              <w:rPr>
                <w:sz w:val="18"/>
              </w:rPr>
            </w:pPr>
            <w:r>
              <w:rPr>
                <w:sz w:val="18"/>
              </w:rPr>
              <w:t>18</w:t>
            </w:r>
          </w:p>
        </w:tc>
        <w:tc>
          <w:tcPr>
            <w:tcW w:w="703" w:type="dxa"/>
            <w:tcBorders>
              <w:bottom w:val="single" w:sz="4" w:space="0" w:color="000000"/>
            </w:tcBorders>
          </w:tcPr>
          <w:p>
            <w:pPr>
              <w:pStyle w:val="TableParagraph"/>
              <w:spacing w:before="105"/>
              <w:ind w:right="140"/>
              <w:rPr>
                <w:sz w:val="18"/>
              </w:rPr>
            </w:pPr>
            <w:r>
              <w:rPr>
                <w:sz w:val="18"/>
              </w:rPr>
              <w:t>18</w:t>
            </w:r>
          </w:p>
        </w:tc>
        <w:tc>
          <w:tcPr>
            <w:tcW w:w="813" w:type="dxa"/>
            <w:tcBorders>
              <w:bottom w:val="single" w:sz="4" w:space="0" w:color="000000"/>
              <w:right w:val="single" w:sz="4" w:space="0" w:color="000000"/>
            </w:tcBorders>
          </w:tcPr>
          <w:p>
            <w:pPr>
              <w:pStyle w:val="TableParagraph"/>
              <w:spacing w:before="105"/>
              <w:ind w:right="228"/>
              <w:rPr>
                <w:sz w:val="18"/>
              </w:rPr>
            </w:pPr>
            <w:r>
              <w:rPr>
                <w:sz w:val="18"/>
              </w:rPr>
              <w:t>62</w:t>
            </w:r>
          </w:p>
        </w:tc>
      </w:tr>
      <w:tr>
        <w:trPr>
          <w:trHeight w:val="370" w:hRule="exact"/>
        </w:trPr>
        <w:tc>
          <w:tcPr>
            <w:tcW w:w="1617" w:type="dxa"/>
            <w:tcBorders>
              <w:top w:val="single" w:sz="4" w:space="0" w:color="000000"/>
              <w:left w:val="single" w:sz="4" w:space="0" w:color="000000"/>
              <w:bottom w:val="single" w:sz="4" w:space="0" w:color="000000"/>
            </w:tcBorders>
          </w:tcPr>
          <w:p>
            <w:pPr>
              <w:pStyle w:val="TableParagraph"/>
              <w:spacing w:before="90"/>
              <w:ind w:left="283"/>
              <w:jc w:val="left"/>
              <w:rPr>
                <w:sz w:val="18"/>
              </w:rPr>
            </w:pPr>
            <w:r>
              <w:rPr>
                <w:sz w:val="18"/>
              </w:rPr>
              <w:t>Total:</w:t>
            </w:r>
          </w:p>
        </w:tc>
        <w:tc>
          <w:tcPr>
            <w:tcW w:w="898" w:type="dxa"/>
            <w:tcBorders>
              <w:top w:val="single" w:sz="4" w:space="0" w:color="000000"/>
              <w:bottom w:val="single" w:sz="4" w:space="0" w:color="000000"/>
            </w:tcBorders>
          </w:tcPr>
          <w:p>
            <w:pPr>
              <w:pStyle w:val="TableParagraph"/>
              <w:spacing w:before="90"/>
              <w:ind w:right="156"/>
              <w:rPr>
                <w:sz w:val="18"/>
              </w:rPr>
            </w:pPr>
            <w:r>
              <w:rPr>
                <w:sz w:val="18"/>
              </w:rPr>
              <w:t>22</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25</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23</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21</w:t>
            </w:r>
          </w:p>
        </w:tc>
        <w:tc>
          <w:tcPr>
            <w:tcW w:w="720" w:type="dxa"/>
            <w:tcBorders>
              <w:top w:val="single" w:sz="4" w:space="0" w:color="000000"/>
              <w:bottom w:val="single" w:sz="4" w:space="0" w:color="000000"/>
            </w:tcBorders>
          </w:tcPr>
          <w:p>
            <w:pPr>
              <w:pStyle w:val="TableParagraph"/>
              <w:spacing w:before="90"/>
              <w:ind w:right="156"/>
              <w:rPr>
                <w:sz w:val="18"/>
              </w:rPr>
            </w:pPr>
            <w:r>
              <w:rPr>
                <w:sz w:val="18"/>
              </w:rPr>
              <w:t>21</w:t>
            </w:r>
          </w:p>
        </w:tc>
        <w:tc>
          <w:tcPr>
            <w:tcW w:w="677" w:type="dxa"/>
            <w:tcBorders>
              <w:top w:val="single" w:sz="4" w:space="0" w:color="000000"/>
              <w:bottom w:val="single" w:sz="4" w:space="0" w:color="000000"/>
            </w:tcBorders>
          </w:tcPr>
          <w:p>
            <w:pPr>
              <w:pStyle w:val="TableParagraph"/>
              <w:spacing w:before="90"/>
              <w:ind w:right="113"/>
              <w:rPr>
                <w:sz w:val="18"/>
              </w:rPr>
            </w:pPr>
            <w:r>
              <w:rPr>
                <w:sz w:val="18"/>
              </w:rPr>
              <w:t>21</w:t>
            </w:r>
          </w:p>
        </w:tc>
        <w:tc>
          <w:tcPr>
            <w:tcW w:w="720" w:type="dxa"/>
            <w:tcBorders>
              <w:top w:val="single" w:sz="4" w:space="0" w:color="000000"/>
              <w:bottom w:val="single" w:sz="4" w:space="0" w:color="000000"/>
            </w:tcBorders>
          </w:tcPr>
          <w:p>
            <w:pPr>
              <w:pStyle w:val="TableParagraph"/>
              <w:spacing w:before="90"/>
              <w:ind w:right="199"/>
              <w:rPr>
                <w:sz w:val="18"/>
              </w:rPr>
            </w:pPr>
            <w:r>
              <w:rPr>
                <w:sz w:val="18"/>
              </w:rPr>
              <w:t>19</w:t>
            </w:r>
          </w:p>
        </w:tc>
        <w:tc>
          <w:tcPr>
            <w:tcW w:w="763" w:type="dxa"/>
            <w:tcBorders>
              <w:top w:val="single" w:sz="4" w:space="0" w:color="000000"/>
              <w:bottom w:val="single" w:sz="4" w:space="0" w:color="000000"/>
            </w:tcBorders>
          </w:tcPr>
          <w:p>
            <w:pPr>
              <w:pStyle w:val="TableParagraph"/>
              <w:spacing w:before="90"/>
              <w:ind w:right="156"/>
              <w:rPr>
                <w:sz w:val="18"/>
              </w:rPr>
            </w:pPr>
            <w:r>
              <w:rPr>
                <w:sz w:val="18"/>
              </w:rPr>
              <w:t>18</w:t>
            </w:r>
          </w:p>
        </w:tc>
        <w:tc>
          <w:tcPr>
            <w:tcW w:w="703" w:type="dxa"/>
            <w:tcBorders>
              <w:top w:val="single" w:sz="4" w:space="0" w:color="000000"/>
              <w:bottom w:val="single" w:sz="4" w:space="0" w:color="000000"/>
            </w:tcBorders>
          </w:tcPr>
          <w:p>
            <w:pPr>
              <w:pStyle w:val="TableParagraph"/>
              <w:spacing w:before="90"/>
              <w:ind w:right="140"/>
              <w:rPr>
                <w:sz w:val="18"/>
              </w:rPr>
            </w:pPr>
            <w:r>
              <w:rPr>
                <w:sz w:val="18"/>
              </w:rPr>
              <w:t>18</w:t>
            </w:r>
          </w:p>
        </w:tc>
        <w:tc>
          <w:tcPr>
            <w:tcW w:w="813" w:type="dxa"/>
            <w:tcBorders>
              <w:top w:val="single" w:sz="4" w:space="0" w:color="000000"/>
              <w:bottom w:val="single" w:sz="4" w:space="0" w:color="000000"/>
              <w:right w:val="single" w:sz="4" w:space="0" w:color="000000"/>
            </w:tcBorders>
          </w:tcPr>
          <w:p>
            <w:pPr>
              <w:pStyle w:val="TableParagraph"/>
              <w:spacing w:before="90"/>
              <w:ind w:right="228"/>
              <w:rPr>
                <w:sz w:val="18"/>
              </w:rPr>
            </w:pPr>
            <w:r>
              <w:rPr>
                <w:sz w:val="18"/>
              </w:rPr>
              <w:t>188</w:t>
            </w:r>
          </w:p>
        </w:tc>
      </w:tr>
    </w:tbl>
    <w:p>
      <w:pPr>
        <w:spacing w:before="154"/>
        <w:ind w:left="399" w:right="0" w:firstLine="0"/>
        <w:jc w:val="left"/>
        <w:rPr>
          <w:b/>
          <w:sz w:val="24"/>
        </w:rPr>
      </w:pPr>
      <w:r>
        <w:rPr>
          <w:b/>
          <w:sz w:val="24"/>
        </w:rPr>
        <w:t>BOEING 737-700 FIRM ORDERS AND OPTIONS</w:t>
      </w:r>
    </w:p>
    <w:p>
      <w:pPr>
        <w:spacing w:after="0"/>
        <w:jc w:val="left"/>
        <w:rPr>
          <w:sz w:val="24"/>
        </w:rPr>
        <w:sectPr>
          <w:pgSz w:w="12240" w:h="15840"/>
          <w:pgMar w:header="1592" w:footer="790" w:top="2120" w:bottom="980" w:left="1040" w:right="1320"/>
        </w:sectPr>
      </w:pPr>
    </w:p>
    <w:p>
      <w:pPr>
        <w:pStyle w:val="BodyText"/>
        <w:rPr>
          <w:rFonts w:ascii="Times New Roman"/>
          <w:sz w:val="20"/>
        </w:rPr>
      </w:pPr>
    </w:p>
    <w:p>
      <w:pPr>
        <w:pStyle w:val="BodyText"/>
        <w:spacing w:before="3"/>
        <w:rPr>
          <w:rFonts w:ascii="Times New Roman"/>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81"/>
        <w:gridCol w:w="2850"/>
        <w:gridCol w:w="2523"/>
      </w:tblGrid>
      <w:tr>
        <w:trPr>
          <w:trHeight w:val="496" w:hRule="exact"/>
        </w:trPr>
        <w:tc>
          <w:tcPr>
            <w:tcW w:w="3481" w:type="dxa"/>
          </w:tcPr>
          <w:p>
            <w:pPr>
              <w:pStyle w:val="TableParagraph"/>
              <w:spacing w:line="268" w:lineRule="exact"/>
              <w:ind w:left="50"/>
              <w:jc w:val="left"/>
              <w:rPr>
                <w:b/>
                <w:sz w:val="24"/>
              </w:rPr>
            </w:pPr>
            <w:r>
              <w:rPr>
                <w:b/>
                <w:color w:val="008080"/>
                <w:sz w:val="24"/>
              </w:rPr>
              <w:t>DESTINATIONS</w:t>
            </w:r>
          </w:p>
        </w:tc>
        <w:tc>
          <w:tcPr>
            <w:tcW w:w="5374" w:type="dxa"/>
            <w:gridSpan w:val="2"/>
          </w:tcPr>
          <w:p>
            <w:pPr/>
          </w:p>
        </w:tc>
      </w:tr>
      <w:tr>
        <w:trPr>
          <w:trHeight w:val="542" w:hRule="exact"/>
        </w:trPr>
        <w:tc>
          <w:tcPr>
            <w:tcW w:w="3481" w:type="dxa"/>
          </w:tcPr>
          <w:p>
            <w:pPr>
              <w:pStyle w:val="TableParagraph"/>
              <w:spacing w:before="220"/>
              <w:ind w:left="50"/>
              <w:jc w:val="left"/>
              <w:rPr>
                <w:sz w:val="24"/>
              </w:rPr>
            </w:pPr>
            <w:r>
              <w:rPr>
                <w:color w:val="008080"/>
                <w:sz w:val="24"/>
              </w:rPr>
              <w:t>Albuquerque (ABQ)</w:t>
            </w:r>
          </w:p>
        </w:tc>
        <w:tc>
          <w:tcPr>
            <w:tcW w:w="2850" w:type="dxa"/>
          </w:tcPr>
          <w:p>
            <w:pPr>
              <w:pStyle w:val="TableParagraph"/>
              <w:spacing w:before="220"/>
              <w:ind w:left="169"/>
              <w:jc w:val="left"/>
              <w:rPr>
                <w:sz w:val="24"/>
              </w:rPr>
            </w:pPr>
            <w:r>
              <w:rPr>
                <w:color w:val="008080"/>
                <w:sz w:val="24"/>
              </w:rPr>
              <w:t>Indianapolis (IND)</w:t>
            </w:r>
          </w:p>
        </w:tc>
        <w:tc>
          <w:tcPr>
            <w:tcW w:w="2523" w:type="dxa"/>
          </w:tcPr>
          <w:p>
            <w:pPr>
              <w:pStyle w:val="TableParagraph"/>
              <w:spacing w:before="220"/>
              <w:ind w:left="198"/>
              <w:jc w:val="left"/>
              <w:rPr>
                <w:sz w:val="24"/>
              </w:rPr>
            </w:pPr>
            <w:r>
              <w:rPr>
                <w:color w:val="008080"/>
                <w:sz w:val="24"/>
              </w:rPr>
              <w:t>Phoenix (PHX)</w:t>
            </w:r>
          </w:p>
        </w:tc>
      </w:tr>
      <w:tr>
        <w:trPr>
          <w:trHeight w:val="360" w:hRule="exact"/>
        </w:trPr>
        <w:tc>
          <w:tcPr>
            <w:tcW w:w="3481" w:type="dxa"/>
          </w:tcPr>
          <w:p>
            <w:pPr>
              <w:pStyle w:val="TableParagraph"/>
              <w:spacing w:before="38"/>
              <w:ind w:left="50"/>
              <w:jc w:val="left"/>
              <w:rPr>
                <w:sz w:val="24"/>
              </w:rPr>
            </w:pPr>
            <w:r>
              <w:rPr>
                <w:color w:val="008080"/>
                <w:sz w:val="24"/>
              </w:rPr>
              <w:t>Amarillo (AMA)</w:t>
            </w:r>
          </w:p>
        </w:tc>
        <w:tc>
          <w:tcPr>
            <w:tcW w:w="2850" w:type="dxa"/>
          </w:tcPr>
          <w:p>
            <w:pPr>
              <w:pStyle w:val="TableParagraph"/>
              <w:spacing w:before="38"/>
              <w:ind w:left="169"/>
              <w:jc w:val="left"/>
              <w:rPr>
                <w:sz w:val="24"/>
              </w:rPr>
            </w:pPr>
            <w:r>
              <w:rPr>
                <w:color w:val="FF0000"/>
                <w:sz w:val="24"/>
              </w:rPr>
              <w:t>Jackson (JAN)*</w:t>
            </w:r>
          </w:p>
        </w:tc>
        <w:tc>
          <w:tcPr>
            <w:tcW w:w="2523" w:type="dxa"/>
          </w:tcPr>
          <w:p>
            <w:pPr>
              <w:pStyle w:val="TableParagraph"/>
              <w:spacing w:before="38"/>
              <w:ind w:left="198"/>
              <w:jc w:val="left"/>
              <w:rPr>
                <w:sz w:val="24"/>
              </w:rPr>
            </w:pPr>
            <w:r>
              <w:rPr>
                <w:color w:val="008080"/>
                <w:sz w:val="24"/>
              </w:rPr>
              <w:t>Portland (PDX)</w:t>
            </w:r>
          </w:p>
        </w:tc>
      </w:tr>
      <w:tr>
        <w:trPr>
          <w:trHeight w:val="360" w:hRule="exact"/>
        </w:trPr>
        <w:tc>
          <w:tcPr>
            <w:tcW w:w="3481" w:type="dxa"/>
          </w:tcPr>
          <w:p>
            <w:pPr>
              <w:pStyle w:val="TableParagraph"/>
              <w:spacing w:before="38"/>
              <w:ind w:left="50"/>
              <w:jc w:val="left"/>
              <w:rPr>
                <w:sz w:val="24"/>
              </w:rPr>
            </w:pPr>
            <w:r>
              <w:rPr>
                <w:color w:val="008080"/>
                <w:sz w:val="24"/>
              </w:rPr>
              <w:t>Austin (AUS)</w:t>
            </w:r>
          </w:p>
        </w:tc>
        <w:tc>
          <w:tcPr>
            <w:tcW w:w="2850" w:type="dxa"/>
          </w:tcPr>
          <w:p>
            <w:pPr>
              <w:pStyle w:val="TableParagraph"/>
              <w:spacing w:before="38"/>
              <w:ind w:left="169"/>
              <w:jc w:val="left"/>
              <w:rPr>
                <w:sz w:val="24"/>
              </w:rPr>
            </w:pPr>
            <w:r>
              <w:rPr>
                <w:color w:val="FF0000"/>
                <w:sz w:val="24"/>
              </w:rPr>
              <w:t>Jacksonville (JAX)*</w:t>
            </w:r>
          </w:p>
        </w:tc>
        <w:tc>
          <w:tcPr>
            <w:tcW w:w="2523" w:type="dxa"/>
          </w:tcPr>
          <w:p>
            <w:pPr>
              <w:pStyle w:val="TableParagraph"/>
              <w:spacing w:before="38"/>
              <w:ind w:left="198"/>
              <w:jc w:val="left"/>
              <w:rPr>
                <w:sz w:val="24"/>
              </w:rPr>
            </w:pPr>
            <w:r>
              <w:rPr>
                <w:color w:val="008080"/>
                <w:sz w:val="24"/>
              </w:rPr>
              <w:t>Providence (PVD)</w:t>
            </w:r>
          </w:p>
        </w:tc>
      </w:tr>
      <w:tr>
        <w:trPr>
          <w:trHeight w:val="360" w:hRule="exact"/>
        </w:trPr>
        <w:tc>
          <w:tcPr>
            <w:tcW w:w="3481" w:type="dxa"/>
          </w:tcPr>
          <w:p>
            <w:pPr>
              <w:pStyle w:val="TableParagraph"/>
              <w:spacing w:before="38"/>
              <w:ind w:left="50"/>
              <w:jc w:val="left"/>
              <w:rPr>
                <w:sz w:val="24"/>
              </w:rPr>
            </w:pPr>
            <w:r>
              <w:rPr>
                <w:color w:val="008080"/>
                <w:sz w:val="24"/>
              </w:rPr>
              <w:t>Baltimore/Washington (BWI)</w:t>
            </w:r>
          </w:p>
        </w:tc>
        <w:tc>
          <w:tcPr>
            <w:tcW w:w="2850" w:type="dxa"/>
          </w:tcPr>
          <w:p>
            <w:pPr>
              <w:pStyle w:val="TableParagraph"/>
              <w:spacing w:before="38"/>
              <w:ind w:left="169"/>
              <w:jc w:val="left"/>
              <w:rPr>
                <w:sz w:val="24"/>
              </w:rPr>
            </w:pPr>
            <w:r>
              <w:rPr>
                <w:color w:val="008080"/>
                <w:sz w:val="24"/>
              </w:rPr>
              <w:t>Kansas City (MCI)</w:t>
            </w:r>
          </w:p>
        </w:tc>
        <w:tc>
          <w:tcPr>
            <w:tcW w:w="2523" w:type="dxa"/>
          </w:tcPr>
          <w:p>
            <w:pPr>
              <w:pStyle w:val="TableParagraph"/>
              <w:spacing w:before="38"/>
              <w:ind w:left="198"/>
              <w:jc w:val="left"/>
              <w:rPr>
                <w:sz w:val="24"/>
              </w:rPr>
            </w:pPr>
            <w:r>
              <w:rPr>
                <w:color w:val="008080"/>
                <w:sz w:val="24"/>
              </w:rPr>
              <w:t>Reno/Tahoe (RNO)</w:t>
            </w:r>
          </w:p>
        </w:tc>
      </w:tr>
      <w:tr>
        <w:trPr>
          <w:trHeight w:val="360" w:hRule="exact"/>
        </w:trPr>
        <w:tc>
          <w:tcPr>
            <w:tcW w:w="3481" w:type="dxa"/>
          </w:tcPr>
          <w:p>
            <w:pPr>
              <w:pStyle w:val="TableParagraph"/>
              <w:spacing w:before="38"/>
              <w:ind w:left="50"/>
              <w:jc w:val="left"/>
              <w:rPr>
                <w:sz w:val="24"/>
              </w:rPr>
            </w:pPr>
            <w:r>
              <w:rPr>
                <w:color w:val="008080"/>
                <w:sz w:val="24"/>
              </w:rPr>
              <w:t>Birmingham (BHM)</w:t>
            </w:r>
          </w:p>
        </w:tc>
        <w:tc>
          <w:tcPr>
            <w:tcW w:w="2850" w:type="dxa"/>
          </w:tcPr>
          <w:p>
            <w:pPr>
              <w:pStyle w:val="TableParagraph"/>
              <w:spacing w:before="38"/>
              <w:ind w:left="169"/>
              <w:jc w:val="left"/>
              <w:rPr>
                <w:sz w:val="24"/>
              </w:rPr>
            </w:pPr>
            <w:r>
              <w:rPr>
                <w:color w:val="008080"/>
                <w:sz w:val="24"/>
              </w:rPr>
              <w:t>Las Vegas (LAS)</w:t>
            </w:r>
          </w:p>
        </w:tc>
        <w:tc>
          <w:tcPr>
            <w:tcW w:w="2523" w:type="dxa"/>
          </w:tcPr>
          <w:p>
            <w:pPr>
              <w:pStyle w:val="TableParagraph"/>
              <w:spacing w:before="38"/>
              <w:ind w:left="198"/>
              <w:jc w:val="left"/>
              <w:rPr>
                <w:sz w:val="24"/>
              </w:rPr>
            </w:pPr>
            <w:r>
              <w:rPr>
                <w:color w:val="008080"/>
                <w:sz w:val="24"/>
              </w:rPr>
              <w:t>Sacramento (SMF)</w:t>
            </w:r>
          </w:p>
        </w:tc>
      </w:tr>
      <w:tr>
        <w:trPr>
          <w:trHeight w:val="360" w:hRule="exact"/>
        </w:trPr>
        <w:tc>
          <w:tcPr>
            <w:tcW w:w="3481" w:type="dxa"/>
          </w:tcPr>
          <w:p>
            <w:pPr>
              <w:pStyle w:val="TableParagraph"/>
              <w:spacing w:before="38"/>
              <w:ind w:left="50"/>
              <w:jc w:val="left"/>
              <w:rPr>
                <w:sz w:val="24"/>
              </w:rPr>
            </w:pPr>
            <w:r>
              <w:rPr>
                <w:color w:val="008080"/>
                <w:sz w:val="24"/>
              </w:rPr>
              <w:t>Boise (BOI)</w:t>
            </w:r>
          </w:p>
        </w:tc>
        <w:tc>
          <w:tcPr>
            <w:tcW w:w="2850" w:type="dxa"/>
          </w:tcPr>
          <w:p>
            <w:pPr>
              <w:pStyle w:val="TableParagraph"/>
              <w:spacing w:before="38"/>
              <w:ind w:left="169"/>
              <w:jc w:val="left"/>
              <w:rPr>
                <w:sz w:val="24"/>
              </w:rPr>
            </w:pPr>
            <w:r>
              <w:rPr>
                <w:color w:val="008080"/>
                <w:sz w:val="24"/>
              </w:rPr>
              <w:t>Little Rock (LIT)</w:t>
            </w:r>
          </w:p>
        </w:tc>
        <w:tc>
          <w:tcPr>
            <w:tcW w:w="2523" w:type="dxa"/>
          </w:tcPr>
          <w:p>
            <w:pPr>
              <w:pStyle w:val="TableParagraph"/>
              <w:spacing w:before="38"/>
              <w:ind w:left="198"/>
              <w:jc w:val="left"/>
              <w:rPr>
                <w:sz w:val="24"/>
              </w:rPr>
            </w:pPr>
            <w:r>
              <w:rPr>
                <w:color w:val="008080"/>
                <w:sz w:val="24"/>
              </w:rPr>
              <w:t>St. Louis (STL)</w:t>
            </w:r>
          </w:p>
        </w:tc>
      </w:tr>
      <w:tr>
        <w:trPr>
          <w:trHeight w:val="360" w:hRule="exact"/>
        </w:trPr>
        <w:tc>
          <w:tcPr>
            <w:tcW w:w="3481" w:type="dxa"/>
          </w:tcPr>
          <w:p>
            <w:pPr>
              <w:pStyle w:val="TableParagraph"/>
              <w:spacing w:before="38"/>
              <w:ind w:left="50"/>
              <w:jc w:val="left"/>
              <w:rPr>
                <w:sz w:val="24"/>
              </w:rPr>
            </w:pPr>
            <w:r>
              <w:rPr>
                <w:color w:val="008080"/>
                <w:sz w:val="24"/>
              </w:rPr>
              <w:t>Burbank (BUR)</w:t>
            </w:r>
          </w:p>
        </w:tc>
        <w:tc>
          <w:tcPr>
            <w:tcW w:w="2850" w:type="dxa"/>
          </w:tcPr>
          <w:p>
            <w:pPr>
              <w:pStyle w:val="TableParagraph"/>
              <w:spacing w:before="38"/>
              <w:ind w:left="169"/>
              <w:jc w:val="left"/>
              <w:rPr>
                <w:sz w:val="24"/>
              </w:rPr>
            </w:pPr>
            <w:r>
              <w:rPr>
                <w:color w:val="008080"/>
                <w:sz w:val="24"/>
              </w:rPr>
              <w:t>Los Angeles (LAX)</w:t>
            </w:r>
          </w:p>
        </w:tc>
        <w:tc>
          <w:tcPr>
            <w:tcW w:w="2523" w:type="dxa"/>
          </w:tcPr>
          <w:p>
            <w:pPr>
              <w:pStyle w:val="TableParagraph"/>
              <w:spacing w:before="38"/>
              <w:ind w:left="198"/>
              <w:jc w:val="left"/>
              <w:rPr>
                <w:sz w:val="24"/>
              </w:rPr>
            </w:pPr>
            <w:r>
              <w:rPr>
                <w:color w:val="008080"/>
                <w:sz w:val="24"/>
              </w:rPr>
              <w:t>Salt Lake City (SLC)</w:t>
            </w:r>
          </w:p>
        </w:tc>
      </w:tr>
      <w:tr>
        <w:trPr>
          <w:trHeight w:val="360" w:hRule="exact"/>
        </w:trPr>
        <w:tc>
          <w:tcPr>
            <w:tcW w:w="3481" w:type="dxa"/>
          </w:tcPr>
          <w:p>
            <w:pPr>
              <w:pStyle w:val="TableParagraph"/>
              <w:spacing w:before="38"/>
              <w:ind w:left="50"/>
              <w:jc w:val="left"/>
              <w:rPr>
                <w:sz w:val="24"/>
              </w:rPr>
            </w:pPr>
            <w:r>
              <w:rPr>
                <w:color w:val="008080"/>
                <w:sz w:val="24"/>
              </w:rPr>
              <w:t>Chicago Midway (MDW)</w:t>
            </w:r>
          </w:p>
        </w:tc>
        <w:tc>
          <w:tcPr>
            <w:tcW w:w="2850" w:type="dxa"/>
          </w:tcPr>
          <w:p>
            <w:pPr>
              <w:pStyle w:val="TableParagraph"/>
              <w:spacing w:before="38"/>
              <w:ind w:left="169"/>
              <w:jc w:val="left"/>
              <w:rPr>
                <w:sz w:val="24"/>
              </w:rPr>
            </w:pPr>
            <w:r>
              <w:rPr>
                <w:color w:val="008080"/>
                <w:sz w:val="24"/>
              </w:rPr>
              <w:t>Louisville (SDF)</w:t>
            </w:r>
          </w:p>
        </w:tc>
        <w:tc>
          <w:tcPr>
            <w:tcW w:w="2523" w:type="dxa"/>
          </w:tcPr>
          <w:p>
            <w:pPr>
              <w:pStyle w:val="TableParagraph"/>
              <w:spacing w:before="38"/>
              <w:ind w:left="198"/>
              <w:jc w:val="left"/>
              <w:rPr>
                <w:sz w:val="24"/>
              </w:rPr>
            </w:pPr>
            <w:r>
              <w:rPr>
                <w:color w:val="008080"/>
                <w:sz w:val="24"/>
              </w:rPr>
              <w:t>San Antonio (SAT)</w:t>
            </w:r>
          </w:p>
        </w:tc>
      </w:tr>
      <w:tr>
        <w:trPr>
          <w:trHeight w:val="360" w:hRule="exact"/>
        </w:trPr>
        <w:tc>
          <w:tcPr>
            <w:tcW w:w="3481" w:type="dxa"/>
          </w:tcPr>
          <w:p>
            <w:pPr>
              <w:pStyle w:val="TableParagraph"/>
              <w:spacing w:before="38"/>
              <w:ind w:left="50"/>
              <w:jc w:val="left"/>
              <w:rPr>
                <w:sz w:val="24"/>
              </w:rPr>
            </w:pPr>
            <w:r>
              <w:rPr>
                <w:color w:val="008080"/>
                <w:sz w:val="24"/>
              </w:rPr>
              <w:t>Cleveland (CLE)</w:t>
            </w:r>
          </w:p>
        </w:tc>
        <w:tc>
          <w:tcPr>
            <w:tcW w:w="2850" w:type="dxa"/>
          </w:tcPr>
          <w:p>
            <w:pPr>
              <w:pStyle w:val="TableParagraph"/>
              <w:spacing w:before="38"/>
              <w:ind w:left="169"/>
              <w:jc w:val="left"/>
              <w:rPr>
                <w:sz w:val="24"/>
              </w:rPr>
            </w:pPr>
            <w:r>
              <w:rPr>
                <w:color w:val="008080"/>
                <w:sz w:val="24"/>
              </w:rPr>
              <w:t>Lubbock (LBB)</w:t>
            </w:r>
          </w:p>
        </w:tc>
        <w:tc>
          <w:tcPr>
            <w:tcW w:w="2523" w:type="dxa"/>
          </w:tcPr>
          <w:p>
            <w:pPr>
              <w:pStyle w:val="TableParagraph"/>
              <w:spacing w:before="38"/>
              <w:ind w:left="198"/>
              <w:jc w:val="left"/>
              <w:rPr>
                <w:sz w:val="24"/>
              </w:rPr>
            </w:pPr>
            <w:r>
              <w:rPr>
                <w:color w:val="008080"/>
                <w:sz w:val="24"/>
              </w:rPr>
              <w:t>San Diego (SAN)</w:t>
            </w:r>
          </w:p>
        </w:tc>
      </w:tr>
      <w:tr>
        <w:trPr>
          <w:trHeight w:val="360" w:hRule="exact"/>
        </w:trPr>
        <w:tc>
          <w:tcPr>
            <w:tcW w:w="3481" w:type="dxa"/>
          </w:tcPr>
          <w:p>
            <w:pPr>
              <w:pStyle w:val="TableParagraph"/>
              <w:spacing w:before="38"/>
              <w:ind w:left="50"/>
              <w:jc w:val="left"/>
              <w:rPr>
                <w:sz w:val="24"/>
              </w:rPr>
            </w:pPr>
            <w:r>
              <w:rPr>
                <w:color w:val="008080"/>
                <w:sz w:val="24"/>
              </w:rPr>
              <w:t>Columbus (CMH)</w:t>
            </w:r>
          </w:p>
        </w:tc>
        <w:tc>
          <w:tcPr>
            <w:tcW w:w="2850" w:type="dxa"/>
          </w:tcPr>
          <w:p>
            <w:pPr>
              <w:pStyle w:val="TableParagraph"/>
              <w:spacing w:before="38"/>
              <w:ind w:left="169"/>
              <w:jc w:val="left"/>
              <w:rPr>
                <w:sz w:val="24"/>
              </w:rPr>
            </w:pPr>
            <w:r>
              <w:rPr>
                <w:color w:val="008080"/>
                <w:sz w:val="24"/>
              </w:rPr>
              <w:t>Midland/Odessa (MAF)</w:t>
            </w:r>
          </w:p>
        </w:tc>
        <w:tc>
          <w:tcPr>
            <w:tcW w:w="2523" w:type="dxa"/>
          </w:tcPr>
          <w:p>
            <w:pPr>
              <w:pStyle w:val="TableParagraph"/>
              <w:spacing w:before="38"/>
              <w:ind w:left="198"/>
              <w:jc w:val="left"/>
              <w:rPr>
                <w:sz w:val="24"/>
              </w:rPr>
            </w:pPr>
            <w:r>
              <w:rPr>
                <w:color w:val="008080"/>
                <w:sz w:val="24"/>
              </w:rPr>
              <w:t>San Francisco (SFO)</w:t>
            </w:r>
          </w:p>
        </w:tc>
      </w:tr>
      <w:tr>
        <w:trPr>
          <w:trHeight w:val="360" w:hRule="exact"/>
        </w:trPr>
        <w:tc>
          <w:tcPr>
            <w:tcW w:w="3481" w:type="dxa"/>
          </w:tcPr>
          <w:p>
            <w:pPr>
              <w:pStyle w:val="TableParagraph"/>
              <w:spacing w:before="38"/>
              <w:ind w:left="50"/>
              <w:jc w:val="left"/>
              <w:rPr>
                <w:sz w:val="24"/>
              </w:rPr>
            </w:pPr>
            <w:r>
              <w:rPr>
                <w:color w:val="008080"/>
                <w:sz w:val="24"/>
              </w:rPr>
              <w:t>Corpus Christi (CRP)</w:t>
            </w:r>
          </w:p>
        </w:tc>
        <w:tc>
          <w:tcPr>
            <w:tcW w:w="2850" w:type="dxa"/>
          </w:tcPr>
          <w:p>
            <w:pPr>
              <w:pStyle w:val="TableParagraph"/>
              <w:spacing w:before="38"/>
              <w:ind w:left="169"/>
              <w:jc w:val="left"/>
              <w:rPr>
                <w:sz w:val="24"/>
              </w:rPr>
            </w:pPr>
            <w:r>
              <w:rPr>
                <w:color w:val="008080"/>
                <w:sz w:val="24"/>
              </w:rPr>
              <w:t>Nashville (BNA)</w:t>
            </w:r>
          </w:p>
        </w:tc>
        <w:tc>
          <w:tcPr>
            <w:tcW w:w="2523" w:type="dxa"/>
          </w:tcPr>
          <w:p>
            <w:pPr>
              <w:pStyle w:val="TableParagraph"/>
              <w:spacing w:before="38"/>
              <w:ind w:left="198"/>
              <w:jc w:val="left"/>
              <w:rPr>
                <w:sz w:val="24"/>
              </w:rPr>
            </w:pPr>
            <w:r>
              <w:rPr>
                <w:color w:val="008080"/>
                <w:sz w:val="24"/>
              </w:rPr>
              <w:t>San Jose (SJC)</w:t>
            </w:r>
          </w:p>
        </w:tc>
      </w:tr>
      <w:tr>
        <w:trPr>
          <w:trHeight w:val="360" w:hRule="exact"/>
        </w:trPr>
        <w:tc>
          <w:tcPr>
            <w:tcW w:w="3481" w:type="dxa"/>
          </w:tcPr>
          <w:p>
            <w:pPr>
              <w:pStyle w:val="TableParagraph"/>
              <w:spacing w:before="38"/>
              <w:ind w:left="50"/>
              <w:jc w:val="left"/>
              <w:rPr>
                <w:sz w:val="24"/>
              </w:rPr>
            </w:pPr>
            <w:r>
              <w:rPr>
                <w:color w:val="008080"/>
                <w:sz w:val="24"/>
              </w:rPr>
              <w:t>Dallas Love Field (DAL)</w:t>
            </w:r>
          </w:p>
        </w:tc>
        <w:tc>
          <w:tcPr>
            <w:tcW w:w="2850" w:type="dxa"/>
          </w:tcPr>
          <w:p>
            <w:pPr>
              <w:pStyle w:val="TableParagraph"/>
              <w:spacing w:before="38"/>
              <w:ind w:left="169"/>
              <w:jc w:val="left"/>
              <w:rPr>
                <w:sz w:val="24"/>
              </w:rPr>
            </w:pPr>
            <w:r>
              <w:rPr>
                <w:color w:val="008080"/>
                <w:sz w:val="24"/>
              </w:rPr>
              <w:t>New Orleans (MSY)</w:t>
            </w:r>
          </w:p>
        </w:tc>
        <w:tc>
          <w:tcPr>
            <w:tcW w:w="2523" w:type="dxa"/>
          </w:tcPr>
          <w:p>
            <w:pPr>
              <w:pStyle w:val="TableParagraph"/>
              <w:spacing w:before="38"/>
              <w:ind w:left="198"/>
              <w:jc w:val="left"/>
              <w:rPr>
                <w:sz w:val="24"/>
              </w:rPr>
            </w:pPr>
            <w:r>
              <w:rPr>
                <w:color w:val="008080"/>
                <w:sz w:val="24"/>
              </w:rPr>
              <w:t>Seattle (SEA)</w:t>
            </w:r>
          </w:p>
        </w:tc>
      </w:tr>
      <w:tr>
        <w:trPr>
          <w:trHeight w:val="360" w:hRule="exact"/>
        </w:trPr>
        <w:tc>
          <w:tcPr>
            <w:tcW w:w="3481" w:type="dxa"/>
          </w:tcPr>
          <w:p>
            <w:pPr>
              <w:pStyle w:val="TableParagraph"/>
              <w:spacing w:before="38"/>
              <w:ind w:left="50"/>
              <w:jc w:val="left"/>
              <w:rPr>
                <w:sz w:val="24"/>
              </w:rPr>
            </w:pPr>
            <w:r>
              <w:rPr>
                <w:color w:val="008080"/>
                <w:sz w:val="24"/>
              </w:rPr>
              <w:t>Detroit Metro (DTW)</w:t>
            </w:r>
          </w:p>
        </w:tc>
        <w:tc>
          <w:tcPr>
            <w:tcW w:w="2850" w:type="dxa"/>
          </w:tcPr>
          <w:p>
            <w:pPr>
              <w:pStyle w:val="TableParagraph"/>
              <w:spacing w:before="38"/>
              <w:ind w:left="169"/>
              <w:jc w:val="left"/>
              <w:rPr>
                <w:sz w:val="24"/>
              </w:rPr>
            </w:pPr>
            <w:r>
              <w:rPr>
                <w:color w:val="008080"/>
                <w:sz w:val="24"/>
              </w:rPr>
              <w:t>Oakland (OAK)</w:t>
            </w:r>
          </w:p>
        </w:tc>
        <w:tc>
          <w:tcPr>
            <w:tcW w:w="2523" w:type="dxa"/>
          </w:tcPr>
          <w:p>
            <w:pPr>
              <w:pStyle w:val="TableParagraph"/>
              <w:spacing w:before="38"/>
              <w:ind w:left="198"/>
              <w:jc w:val="left"/>
              <w:rPr>
                <w:sz w:val="24"/>
              </w:rPr>
            </w:pPr>
            <w:r>
              <w:rPr>
                <w:color w:val="008080"/>
                <w:sz w:val="24"/>
              </w:rPr>
              <w:t>Spokane (GEG)</w:t>
            </w:r>
          </w:p>
        </w:tc>
      </w:tr>
      <w:tr>
        <w:trPr>
          <w:trHeight w:val="360" w:hRule="exact"/>
        </w:trPr>
        <w:tc>
          <w:tcPr>
            <w:tcW w:w="3481" w:type="dxa"/>
          </w:tcPr>
          <w:p>
            <w:pPr>
              <w:pStyle w:val="TableParagraph"/>
              <w:spacing w:before="38"/>
              <w:ind w:left="50"/>
              <w:jc w:val="left"/>
              <w:rPr>
                <w:sz w:val="24"/>
              </w:rPr>
            </w:pPr>
            <w:r>
              <w:rPr>
                <w:color w:val="008080"/>
                <w:sz w:val="24"/>
              </w:rPr>
              <w:t>El Paso (ELP)</w:t>
            </w:r>
          </w:p>
        </w:tc>
        <w:tc>
          <w:tcPr>
            <w:tcW w:w="2850" w:type="dxa"/>
          </w:tcPr>
          <w:p>
            <w:pPr>
              <w:pStyle w:val="TableParagraph"/>
              <w:spacing w:before="38"/>
              <w:ind w:left="169"/>
              <w:jc w:val="left"/>
              <w:rPr>
                <w:sz w:val="24"/>
              </w:rPr>
            </w:pPr>
            <w:r>
              <w:rPr>
                <w:color w:val="008080"/>
                <w:sz w:val="24"/>
              </w:rPr>
              <w:t>Oklahoma City (OKC)</w:t>
            </w:r>
          </w:p>
        </w:tc>
        <w:tc>
          <w:tcPr>
            <w:tcW w:w="2523" w:type="dxa"/>
          </w:tcPr>
          <w:p>
            <w:pPr>
              <w:pStyle w:val="TableParagraph"/>
              <w:spacing w:before="38"/>
              <w:ind w:left="198"/>
              <w:jc w:val="left"/>
              <w:rPr>
                <w:sz w:val="24"/>
              </w:rPr>
            </w:pPr>
            <w:r>
              <w:rPr>
                <w:color w:val="008080"/>
                <w:sz w:val="24"/>
              </w:rPr>
              <w:t>Tampa (TPA)</w:t>
            </w:r>
          </w:p>
        </w:tc>
      </w:tr>
      <w:tr>
        <w:trPr>
          <w:trHeight w:val="360" w:hRule="exact"/>
        </w:trPr>
        <w:tc>
          <w:tcPr>
            <w:tcW w:w="3481" w:type="dxa"/>
          </w:tcPr>
          <w:p>
            <w:pPr>
              <w:pStyle w:val="TableParagraph"/>
              <w:spacing w:before="38"/>
              <w:ind w:left="50"/>
              <w:jc w:val="left"/>
              <w:rPr>
                <w:sz w:val="24"/>
              </w:rPr>
            </w:pPr>
            <w:r>
              <w:rPr>
                <w:color w:val="008080"/>
                <w:sz w:val="24"/>
              </w:rPr>
              <w:t>Ft. Lauderdale (FLL)</w:t>
            </w:r>
          </w:p>
        </w:tc>
        <w:tc>
          <w:tcPr>
            <w:tcW w:w="2850" w:type="dxa"/>
          </w:tcPr>
          <w:p>
            <w:pPr>
              <w:pStyle w:val="TableParagraph"/>
              <w:spacing w:before="38"/>
              <w:ind w:left="169"/>
              <w:jc w:val="left"/>
              <w:rPr>
                <w:sz w:val="24"/>
              </w:rPr>
            </w:pPr>
            <w:r>
              <w:rPr>
                <w:color w:val="008080"/>
                <w:sz w:val="24"/>
              </w:rPr>
              <w:t>Omaha (OMA)</w:t>
            </w:r>
          </w:p>
        </w:tc>
        <w:tc>
          <w:tcPr>
            <w:tcW w:w="2523" w:type="dxa"/>
          </w:tcPr>
          <w:p>
            <w:pPr>
              <w:pStyle w:val="TableParagraph"/>
              <w:spacing w:before="38"/>
              <w:ind w:left="198"/>
              <w:jc w:val="left"/>
              <w:rPr>
                <w:sz w:val="24"/>
              </w:rPr>
            </w:pPr>
            <w:r>
              <w:rPr>
                <w:color w:val="008080"/>
                <w:sz w:val="24"/>
              </w:rPr>
              <w:t>Tucson (TUS)</w:t>
            </w:r>
          </w:p>
        </w:tc>
      </w:tr>
      <w:tr>
        <w:trPr>
          <w:trHeight w:val="1260" w:hRule="exact"/>
        </w:trPr>
        <w:tc>
          <w:tcPr>
            <w:tcW w:w="3481" w:type="dxa"/>
          </w:tcPr>
          <w:p>
            <w:pPr>
              <w:pStyle w:val="TableParagraph"/>
              <w:spacing w:line="312" w:lineRule="auto" w:before="38"/>
              <w:ind w:left="50" w:right="996"/>
              <w:jc w:val="left"/>
              <w:rPr>
                <w:sz w:val="24"/>
              </w:rPr>
            </w:pPr>
            <w:r>
              <w:rPr>
                <w:color w:val="008080"/>
                <w:sz w:val="24"/>
              </w:rPr>
              <w:t>Harlingen (HRL) Houston Hobby (HOU)</w:t>
            </w:r>
          </w:p>
          <w:p>
            <w:pPr>
              <w:pStyle w:val="TableParagraph"/>
              <w:spacing w:before="3"/>
              <w:ind w:left="50"/>
              <w:jc w:val="left"/>
              <w:rPr>
                <w:sz w:val="24"/>
              </w:rPr>
            </w:pPr>
            <w:r>
              <w:rPr>
                <w:color w:val="008080"/>
                <w:sz w:val="24"/>
              </w:rPr>
              <w:t>Houston Intercontinental (IAH)</w:t>
            </w:r>
          </w:p>
        </w:tc>
        <w:tc>
          <w:tcPr>
            <w:tcW w:w="2850" w:type="dxa"/>
          </w:tcPr>
          <w:p>
            <w:pPr>
              <w:pStyle w:val="TableParagraph"/>
              <w:spacing w:line="312" w:lineRule="auto" w:before="38"/>
              <w:ind w:left="169" w:right="313"/>
              <w:jc w:val="left"/>
              <w:rPr>
                <w:sz w:val="24"/>
              </w:rPr>
            </w:pPr>
            <w:r>
              <w:rPr>
                <w:color w:val="008080"/>
                <w:sz w:val="24"/>
              </w:rPr>
              <w:t>Ontario  (ONT) Orange County (SNA) Orlando (MCO)</w:t>
            </w:r>
          </w:p>
        </w:tc>
        <w:tc>
          <w:tcPr>
            <w:tcW w:w="2523" w:type="dxa"/>
          </w:tcPr>
          <w:p>
            <w:pPr>
              <w:pStyle w:val="TableParagraph"/>
              <w:spacing w:before="38"/>
              <w:ind w:left="198"/>
              <w:jc w:val="left"/>
              <w:rPr>
                <w:sz w:val="24"/>
              </w:rPr>
            </w:pPr>
            <w:r>
              <w:rPr>
                <w:color w:val="008080"/>
                <w:sz w:val="24"/>
              </w:rPr>
              <w:t>Tulsa (TUL)</w:t>
            </w:r>
          </w:p>
        </w:tc>
      </w:tr>
      <w:tr>
        <w:trPr>
          <w:trHeight w:val="494" w:hRule="exact"/>
        </w:trPr>
        <w:tc>
          <w:tcPr>
            <w:tcW w:w="3481" w:type="dxa"/>
          </w:tcPr>
          <w:p>
            <w:pPr>
              <w:pStyle w:val="TableParagraph"/>
              <w:spacing w:before="218"/>
              <w:ind w:left="50"/>
              <w:jc w:val="left"/>
              <w:rPr>
                <w:sz w:val="24"/>
              </w:rPr>
            </w:pPr>
            <w:r>
              <w:rPr>
                <w:color w:val="FF0000"/>
                <w:sz w:val="24"/>
              </w:rPr>
              <w:t>*New 1997 destinations.</w:t>
            </w:r>
          </w:p>
        </w:tc>
        <w:tc>
          <w:tcPr>
            <w:tcW w:w="2850" w:type="dxa"/>
          </w:tcPr>
          <w:p>
            <w:pPr/>
          </w:p>
        </w:tc>
        <w:tc>
          <w:tcPr>
            <w:tcW w:w="2523" w:type="dxa"/>
          </w:tcPr>
          <w:p>
            <w:pPr/>
          </w:p>
        </w:tc>
      </w:tr>
    </w:tbl>
    <w:p>
      <w:pPr>
        <w:spacing w:after="0"/>
        <w:sectPr>
          <w:pgSz w:w="12240" w:h="15840"/>
          <w:pgMar w:header="1592" w:footer="790" w:top="2120" w:bottom="980" w:left="1280" w:right="1320"/>
        </w:sectPr>
      </w:pPr>
    </w:p>
    <w:p>
      <w:pPr>
        <w:pStyle w:val="BodyText"/>
        <w:spacing w:before="8"/>
        <w:rPr>
          <w:rFonts w:ascii="Times New Roman"/>
        </w:rPr>
      </w:pPr>
    </w:p>
    <w:p>
      <w:pPr>
        <w:spacing w:line="249" w:lineRule="auto" w:before="83"/>
        <w:ind w:left="119" w:right="119" w:firstLine="360"/>
        <w:jc w:val="both"/>
        <w:rPr>
          <w:b/>
          <w:sz w:val="36"/>
        </w:rPr>
      </w:pPr>
      <w:r>
        <w:rPr>
          <w:b/>
          <w:color w:val="008080"/>
          <w:sz w:val="56"/>
        </w:rPr>
        <w:t>T</w:t>
      </w:r>
      <w:r>
        <w:rPr>
          <w:b/>
          <w:color w:val="008080"/>
          <w:sz w:val="36"/>
        </w:rPr>
        <w:t>RIPLE CROWN SERVICE </w:t>
      </w:r>
      <w:r>
        <w:rPr>
          <w:b/>
          <w:color w:val="FF0000"/>
          <w:sz w:val="36"/>
        </w:rPr>
        <w:t>IS MORE THAN A SLOGAN, IT IS A BENCHMARK. SOUTHWEST HAS WON FIVE ANNUAL TRIPLE CROWNS </w:t>
      </w:r>
      <w:r>
        <w:rPr>
          <w:b/>
          <w:color w:val="FF0000"/>
          <w:w w:val="95"/>
          <w:sz w:val="36"/>
        </w:rPr>
        <w:t>— </w:t>
      </w:r>
      <w:r>
        <w:rPr>
          <w:b/>
          <w:color w:val="FF0000"/>
          <w:sz w:val="36"/>
        </w:rPr>
        <w:t>NO. 1 IN ONTIME ARRIVALS, BAGGAGE HANDLING, AND CUSTOMER SATISFACTION.</w:t>
      </w:r>
    </w:p>
    <w:p>
      <w:pPr>
        <w:pStyle w:val="BodyText"/>
        <w:spacing w:line="312" w:lineRule="auto" w:before="315"/>
        <w:ind w:left="1559" w:right="203"/>
      </w:pPr>
      <w:r>
        <w:rPr/>
        <w:t>Southwest Airlines is the only airline that has ever won the annual Triple Crown — #1 in Ontime Arrivals, Baggage Handling, and Customer Satisfaction among all major airlines, as published in U.S. Department of Transportation consumer reports.</w:t>
      </w:r>
    </w:p>
    <w:p>
      <w:pPr>
        <w:pStyle w:val="BodyText"/>
        <w:spacing w:before="1"/>
        <w:rPr>
          <w:sz w:val="21"/>
        </w:rPr>
      </w:pPr>
    </w:p>
    <w:p>
      <w:pPr>
        <w:pStyle w:val="BodyText"/>
        <w:spacing w:line="312" w:lineRule="auto"/>
        <w:ind w:left="1559" w:right="181"/>
        <w:jc w:val="both"/>
      </w:pPr>
      <w:r>
        <w:rPr/>
        <w:t>When Southwest won an unprecedented fourth consecutive annual Triple Crown in 1995, Chairman Herb Kelleher issued his famous “Gimme Five” challenge:</w:t>
      </w:r>
    </w:p>
    <w:p>
      <w:pPr>
        <w:pStyle w:val="BodyText"/>
        <w:spacing w:before="1"/>
        <w:rPr>
          <w:sz w:val="21"/>
        </w:rPr>
      </w:pPr>
    </w:p>
    <w:p>
      <w:pPr>
        <w:pStyle w:val="BodyText"/>
        <w:spacing w:line="312" w:lineRule="auto"/>
        <w:ind w:left="1559" w:right="136"/>
      </w:pPr>
      <w:r>
        <w:rPr/>
        <w:t>“If you earn a fifth annual Triple Crown, I’ll paint the name of every person in this Company on a Boeing 737.”</w:t>
      </w:r>
    </w:p>
    <w:p>
      <w:pPr>
        <w:pStyle w:val="BodyText"/>
        <w:spacing w:before="1"/>
        <w:rPr>
          <w:sz w:val="21"/>
        </w:rPr>
      </w:pPr>
    </w:p>
    <w:p>
      <w:pPr>
        <w:pStyle w:val="BodyText"/>
        <w:spacing w:line="312" w:lineRule="auto"/>
        <w:ind w:left="1559" w:right="136"/>
      </w:pPr>
      <w:r>
        <w:rPr/>
        <w:t>We did. And he did. Behold Triple Crown One, a signature salute to the 25,000+ Employees who made this fifth win possible and retired the Triple Crown trophy. True to his word, Herb painted everyone’s name onboard this high-flying tribute to our Southwest Spirit.</w:t>
      </w:r>
    </w:p>
    <w:p>
      <w:pPr>
        <w:pStyle w:val="BodyText"/>
        <w:spacing w:before="1"/>
        <w:rPr>
          <w:sz w:val="21"/>
        </w:rPr>
      </w:pPr>
    </w:p>
    <w:p>
      <w:pPr>
        <w:pStyle w:val="BodyText"/>
        <w:spacing w:line="312" w:lineRule="auto"/>
        <w:ind w:left="1559" w:right="203"/>
      </w:pPr>
      <w:r>
        <w:rPr/>
        <w:t>If Herb gives us yet another challenge, let’s just say that he’d better have an extra plane in the hangar and his paintbrush handy.</w:t>
      </w:r>
    </w:p>
    <w:p>
      <w:pPr>
        <w:pStyle w:val="BodyText"/>
        <w:spacing w:before="8"/>
        <w:rPr>
          <w:sz w:val="20"/>
        </w:rPr>
      </w:pPr>
    </w:p>
    <w:p>
      <w:pPr>
        <w:pStyle w:val="Heading3"/>
        <w:spacing w:line="312" w:lineRule="auto"/>
        <w:ind w:right="118"/>
        <w:jc w:val="both"/>
      </w:pPr>
      <w:r>
        <w:rPr>
          <w:color w:val="008080"/>
        </w:rPr>
        <w:t>“IF THERE’S ONE THING I’VE LEARNED ABOUT OUR INCREDIBLE SOUTHWEST EMPLOYEES, IT’S NEVER GIVE THEM A CHALLENGE UNLESS YOU’RE PREPARED TO PAY THE PIPER...OR IN THIS CASE, PAINT THE PLANE.”</w:t>
      </w:r>
    </w:p>
    <w:p>
      <w:pPr>
        <w:pStyle w:val="BodyText"/>
        <w:spacing w:before="6"/>
        <w:rPr>
          <w:b/>
          <w:sz w:val="31"/>
        </w:rPr>
      </w:pPr>
    </w:p>
    <w:p>
      <w:pPr>
        <w:spacing w:before="1"/>
        <w:ind w:left="5159" w:right="0" w:firstLine="0"/>
        <w:jc w:val="left"/>
        <w:rPr>
          <w:b/>
          <w:sz w:val="24"/>
        </w:rPr>
      </w:pPr>
      <w:r>
        <w:rPr>
          <w:b/>
          <w:color w:val="FF0000"/>
          <w:sz w:val="24"/>
        </w:rPr>
        <w:t>Herbert D. Kelleher</w:t>
      </w:r>
    </w:p>
    <w:p>
      <w:pPr>
        <w:spacing w:line="312" w:lineRule="auto" w:before="84"/>
        <w:ind w:left="5159" w:right="203" w:firstLine="0"/>
        <w:jc w:val="left"/>
        <w:rPr>
          <w:b/>
          <w:sz w:val="24"/>
        </w:rPr>
      </w:pPr>
      <w:r>
        <w:rPr>
          <w:b/>
          <w:color w:val="FF0000"/>
          <w:sz w:val="24"/>
        </w:rPr>
        <w:t>Chairman, President, and Chief Executive Officer</w:t>
      </w:r>
    </w:p>
    <w:p>
      <w:pPr>
        <w:spacing w:after="0" w:line="312" w:lineRule="auto"/>
        <w:jc w:val="left"/>
        <w:rPr>
          <w:sz w:val="24"/>
        </w:rPr>
        <w:sectPr>
          <w:pgSz w:w="12240" w:h="15840"/>
          <w:pgMar w:header="1592" w:footer="790" w:top="2120" w:bottom="980" w:left="1320" w:right="1320"/>
        </w:sectPr>
      </w:pPr>
    </w:p>
    <w:p>
      <w:pPr>
        <w:pStyle w:val="BodyText"/>
        <w:spacing w:before="8"/>
        <w:rPr>
          <w:b/>
          <w:sz w:val="25"/>
        </w:rPr>
      </w:pPr>
    </w:p>
    <w:p>
      <w:pPr>
        <w:spacing w:before="90"/>
        <w:ind w:left="119" w:right="0" w:firstLine="0"/>
        <w:jc w:val="left"/>
        <w:rPr>
          <w:b/>
          <w:sz w:val="28"/>
        </w:rPr>
      </w:pPr>
      <w:r>
        <w:rPr>
          <w:b/>
          <w:sz w:val="28"/>
        </w:rPr>
        <w:t>SOUTHWEST AIRLINES CO.</w:t>
      </w:r>
    </w:p>
    <w:p>
      <w:pPr>
        <w:spacing w:before="38"/>
        <w:ind w:left="119" w:right="0" w:firstLine="0"/>
        <w:jc w:val="left"/>
        <w:rPr>
          <w:b/>
          <w:sz w:val="28"/>
        </w:rPr>
      </w:pPr>
      <w:r>
        <w:rPr>
          <w:b/>
          <w:sz w:val="28"/>
        </w:rPr>
        <w:t>1997 ANNUAL REPORT </w:t>
      </w:r>
      <w:r>
        <w:rPr>
          <w:b/>
          <w:w w:val="95"/>
          <w:sz w:val="28"/>
        </w:rPr>
        <w:t>— </w:t>
      </w:r>
      <w:r>
        <w:rPr>
          <w:b/>
          <w:sz w:val="28"/>
        </w:rPr>
        <w:t>FINANCIAL REVIEW</w:t>
      </w:r>
    </w:p>
    <w:p>
      <w:pPr>
        <w:pStyle w:val="BodyText"/>
        <w:spacing w:before="8"/>
        <w:rPr>
          <w:b/>
          <w:sz w:val="38"/>
        </w:rPr>
      </w:pPr>
    </w:p>
    <w:p>
      <w:pPr>
        <w:spacing w:line="312" w:lineRule="auto" w:before="0"/>
        <w:ind w:left="119" w:right="300" w:firstLine="0"/>
        <w:jc w:val="left"/>
        <w:rPr>
          <w:b/>
          <w:sz w:val="24"/>
        </w:rPr>
      </w:pPr>
      <w:r>
        <w:rPr>
          <w:b/>
          <w:sz w:val="24"/>
        </w:rPr>
        <w:t>MANAGEMENT’S DISCUSSION AND ANALYSIS OF FINANCIAL CONDITION AND RESULTS OF OPERATIONS</w:t>
      </w:r>
    </w:p>
    <w:p>
      <w:pPr>
        <w:pStyle w:val="BodyText"/>
        <w:spacing w:before="7"/>
        <w:rPr>
          <w:b/>
          <w:sz w:val="31"/>
        </w:rPr>
      </w:pPr>
    </w:p>
    <w:p>
      <w:pPr>
        <w:spacing w:before="0"/>
        <w:ind w:left="119" w:right="0" w:firstLine="0"/>
        <w:jc w:val="left"/>
        <w:rPr>
          <w:b/>
          <w:sz w:val="24"/>
        </w:rPr>
      </w:pPr>
      <w:r>
        <w:rPr>
          <w:b/>
          <w:color w:val="008080"/>
          <w:sz w:val="24"/>
        </w:rPr>
        <w:t>YEAR IN REVIEW</w:t>
      </w:r>
    </w:p>
    <w:p>
      <w:pPr>
        <w:pStyle w:val="BodyText"/>
        <w:spacing w:before="10"/>
        <w:rPr>
          <w:b/>
          <w:sz w:val="31"/>
        </w:rPr>
      </w:pPr>
    </w:p>
    <w:p>
      <w:pPr>
        <w:pStyle w:val="BodyText"/>
        <w:spacing w:line="240" w:lineRule="exact"/>
        <w:ind w:left="119" w:right="203" w:firstLine="182"/>
      </w:pPr>
      <w:r>
        <w:rPr/>
        <w:t>In 1997, Southwest posted a record annual profit for the sixth consecutive year and a profit for the 25th consecutive year. Net income for 1997 benefited from record passenger revenue yields and continued cost control, widening our industry-leading cost advantage.</w:t>
      </w:r>
    </w:p>
    <w:p>
      <w:pPr>
        <w:pStyle w:val="BodyText"/>
        <w:spacing w:before="9"/>
        <w:rPr>
          <w:sz w:val="20"/>
        </w:rPr>
      </w:pPr>
    </w:p>
    <w:p>
      <w:pPr>
        <w:pStyle w:val="BodyText"/>
        <w:spacing w:line="240" w:lineRule="exact"/>
        <w:ind w:left="119" w:right="406" w:firstLine="182"/>
      </w:pPr>
      <w:r>
        <w:rPr/>
        <w:t>At the end of 1997, Southwest served 51 cities in 25 states. We added service to Jacksonville, Florida and Jackson, Mississippi in 1997 and have been very pleased with the results, thus far. We also expanded our existing service to certain cities in 1997, especially Nashville, Providence, and our Florida markets. Plans for 1998 include the addition of 14 more aircraft, net, and service to two new cities. We will continue to add additional flights to cities we already serve. Any further expansion in 1998 will be dependent upon additional aircraft availability.</w:t>
      </w:r>
    </w:p>
    <w:p>
      <w:pPr>
        <w:pStyle w:val="BodyText"/>
        <w:spacing w:before="9"/>
        <w:rPr>
          <w:sz w:val="20"/>
        </w:rPr>
      </w:pPr>
    </w:p>
    <w:p>
      <w:pPr>
        <w:pStyle w:val="BodyText"/>
        <w:spacing w:line="240" w:lineRule="exact"/>
        <w:ind w:left="119" w:right="300" w:firstLine="187"/>
      </w:pPr>
      <w:r>
        <w:rPr/>
        <w:t>We were the launch customer for the new Boeing 737-700 aircraft, taking our first delivery in December 1997. The -700 is expected to contribute to our low cost advantage as it is more fuel efficient, less maintenance intensive, and has a lower capital outlay than the -300. We added 18 new Boeing 737s to our fleet in 1997: 15 - 300s and three -700s. In 1998, we are currently scheduled to receive 22 -700s and retire eight older -200s (three in first quarter 1998; one in second quarter 1998; and four in fourth quarter 1998). We currently are interested in adding more 737 aircraft in 1998 if we can find aircraft at reasonable prices.</w:t>
      </w:r>
    </w:p>
    <w:p>
      <w:pPr>
        <w:pStyle w:val="BodyText"/>
        <w:spacing w:before="9"/>
        <w:rPr>
          <w:sz w:val="20"/>
        </w:rPr>
      </w:pPr>
    </w:p>
    <w:p>
      <w:pPr>
        <w:pStyle w:val="BodyText"/>
        <w:spacing w:line="240" w:lineRule="exact"/>
        <w:ind w:left="119" w:right="203" w:firstLine="182"/>
      </w:pPr>
      <w:r>
        <w:rPr/>
        <w:t>At the present time, Boeing is experiencing production delays related to the 737 production line. Thus far, these delays have not had a significant impact on our operations as we were able to defer the retirement of some older -200s and have earned cash penalty payments from Boeing. Boeing currently expects delays to continue in 1998, which temporarily delays our expansion. Boeing will continue to compensate Southwest for these production delays.</w:t>
      </w:r>
    </w:p>
    <w:p>
      <w:pPr>
        <w:pStyle w:val="BodyText"/>
        <w:spacing w:before="9"/>
        <w:rPr>
          <w:sz w:val="20"/>
        </w:rPr>
      </w:pPr>
    </w:p>
    <w:p>
      <w:pPr>
        <w:pStyle w:val="BodyText"/>
        <w:spacing w:line="240" w:lineRule="exact"/>
        <w:ind w:left="119" w:right="136" w:firstLine="182"/>
      </w:pPr>
      <w:r>
        <w:rPr/>
        <w:t>In August 1997, the Taxpayer Relief Act of 1997 was enacted, which included, among other things, a revision of the then current ten percent federal excise tax on domestic tickets. Effective October 1, 1997, through September 30, 1998, the tax rate was reduced to nine percent of the amount paid for transportation beginning on or after October 1, 1997, and a new $1.00 flight segment tax was imposed. From October 1, 1998 to September 30, 1999, the tax rate will decrease to eight percent and the</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35"/>
      </w:pPr>
      <w:r>
        <w:rPr/>
        <w:t>segment tax will increase to $2.00. Beginning October 1, 1999, the tax </w:t>
      </w:r>
      <w:r>
        <w:rPr>
          <w:spacing w:val="2"/>
        </w:rPr>
        <w:t>rate </w:t>
      </w:r>
      <w:r>
        <w:rPr/>
        <w:t>will change to 7.5 percent of the ticket price. </w:t>
      </w:r>
      <w:r>
        <w:rPr>
          <w:spacing w:val="2"/>
        </w:rPr>
        <w:t>The </w:t>
      </w:r>
      <w:r>
        <w:rPr/>
        <w:t>segment tax will increase to $2.25 from October 1, 1999 to December 31, 1999; $2.50 during 2000; $2.75 during 2001; and $3.00 per segment during 2002. </w:t>
      </w:r>
      <w:r>
        <w:rPr>
          <w:spacing w:val="3"/>
        </w:rPr>
        <w:t>Thereafter, </w:t>
      </w:r>
      <w:r>
        <w:rPr/>
        <w:t>the $3.00 segment tax will be indexed to changes in the Consumer Price Index </w:t>
      </w:r>
      <w:r>
        <w:rPr>
          <w:spacing w:val="2"/>
        </w:rPr>
        <w:t>(CPI). The </w:t>
      </w:r>
      <w:r>
        <w:rPr/>
        <w:t>legislation also included a new tax on the sale of frequent flyer miles, raised the international departure fee, and instituted a new international arrival</w:t>
      </w:r>
      <w:r>
        <w:rPr>
          <w:spacing w:val="21"/>
        </w:rPr>
        <w:t> </w:t>
      </w:r>
      <w:r>
        <w:rPr/>
        <w:t>fee.</w:t>
      </w:r>
    </w:p>
    <w:p>
      <w:pPr>
        <w:pStyle w:val="BodyText"/>
        <w:spacing w:before="9"/>
        <w:rPr>
          <w:sz w:val="20"/>
        </w:rPr>
      </w:pPr>
    </w:p>
    <w:p>
      <w:pPr>
        <w:pStyle w:val="BodyText"/>
        <w:spacing w:line="240" w:lineRule="exact"/>
        <w:ind w:left="119" w:right="260" w:firstLine="182"/>
      </w:pPr>
      <w:r>
        <w:rPr/>
        <w:t>Management estimates these changes may increase Southwest’s tax burden by roughly $30 million in 1998 as the effect of the new tax is to shift an increasing portion of the excise tax burden to low fare, shorthaul carriers such as Southwest. Effective October 1, 1997, the Company raised fares to offset the increased excise taxes. While the fare increases mitigated the additional tax burden in fourth quarter 1997, management cannot accurately predict the future effects of tax or fare increases. (This paragraph contains forward-looking statements which involve uncertainties that could result in actual results differing materially from expected results. Some significant factors include, but may not be limited to, regulations implementing the tax, competitors’ responses to the tax, and the ability to pass through the tax in the form of fare increases.)</w:t>
      </w:r>
    </w:p>
    <w:p>
      <w:pPr>
        <w:pStyle w:val="BodyText"/>
        <w:spacing w:before="9"/>
        <w:rPr>
          <w:sz w:val="20"/>
        </w:rPr>
      </w:pPr>
    </w:p>
    <w:p>
      <w:pPr>
        <w:pStyle w:val="BodyText"/>
        <w:spacing w:line="240" w:lineRule="exact"/>
        <w:ind w:left="119" w:right="203" w:firstLine="182"/>
      </w:pPr>
      <w:r>
        <w:rPr/>
        <w:t>On October 27, 1997, the International Air Transportation Competition Act of 1979 was amended to allow scheduled service from Dallas Love Field to Alabama, Mississippi, and Kansas. The Company now offers scheduled service from Dallas Love Field to Jackson via connecting flights through Houston and service from Dallas Love Field to Birmingham via connecting flights through New Orleans and Houston. No additional flights have been added, thus far, from Dallas Love Field to Alabama, Mississippi, or Kansas.</w:t>
      </w:r>
    </w:p>
    <w:p>
      <w:pPr>
        <w:pStyle w:val="BodyText"/>
        <w:spacing w:before="11"/>
        <w:rPr>
          <w:sz w:val="37"/>
        </w:rPr>
      </w:pPr>
    </w:p>
    <w:p>
      <w:pPr>
        <w:pStyle w:val="Heading3"/>
      </w:pPr>
      <w:r>
        <w:rPr>
          <w:color w:val="008080"/>
        </w:rPr>
        <w:t>RESULTS OF OPERATIONS</w:t>
      </w:r>
    </w:p>
    <w:p>
      <w:pPr>
        <w:pStyle w:val="BodyText"/>
        <w:rPr>
          <w:b/>
          <w:sz w:val="29"/>
        </w:rPr>
      </w:pPr>
    </w:p>
    <w:p>
      <w:pPr>
        <w:spacing w:line="258" w:lineRule="exact" w:before="0"/>
        <w:ind w:left="302" w:right="0" w:firstLine="0"/>
        <w:jc w:val="left"/>
        <w:rPr>
          <w:sz w:val="24"/>
        </w:rPr>
      </w:pPr>
      <w:r>
        <w:rPr>
          <w:b/>
          <w:sz w:val="24"/>
        </w:rPr>
        <w:t>1997 COMPARED WITH 1996 </w:t>
      </w:r>
      <w:r>
        <w:rPr>
          <w:sz w:val="24"/>
        </w:rPr>
        <w:t>The Company’s consolidated net income for 1997 was</w:t>
      </w:r>
    </w:p>
    <w:p>
      <w:pPr>
        <w:pStyle w:val="BodyText"/>
        <w:spacing w:line="240" w:lineRule="exact" w:before="15"/>
        <w:ind w:left="119" w:right="203"/>
      </w:pPr>
      <w:r>
        <w:rPr/>
        <w:t>$317.8 million ($1.40 per share, diluted), as compared to the corresponding 1996 amount of $207.3 million ($.92 per share, diluted), an increase of 53.3 percent. The prior years’ earnings per share amounts have been restated for the 1997 three-for-two stock split (see Note 6 to the Consolidated Financial Statements).</w:t>
      </w:r>
    </w:p>
    <w:p>
      <w:pPr>
        <w:pStyle w:val="BodyText"/>
        <w:spacing w:before="10"/>
        <w:rPr>
          <w:sz w:val="20"/>
        </w:rPr>
      </w:pPr>
    </w:p>
    <w:p>
      <w:pPr>
        <w:pStyle w:val="BodyText"/>
        <w:spacing w:line="240" w:lineRule="exact"/>
        <w:ind w:left="119" w:right="203" w:firstLine="182"/>
      </w:pPr>
      <w:r>
        <w:rPr>
          <w:i/>
          <w:color w:val="008080"/>
        </w:rPr>
        <w:t>OPERATING REVENUES </w:t>
      </w:r>
      <w:r>
        <w:rPr/>
        <w:t>Consolidated operating revenues increased by 12.1 percent in 1997 to $3,816.8 million, compared to $3,406.2 million for 1996. This increase in 1997 operating revenues was derived primarily from an 11.3 percent increase in passenger revenues as a result of a 4.7 percent increase in revenue passenger miles (RPMs) and a 6.4 percent increase in passenger revenue yield per RPM. Southwest’s passenger revenues benefited from a strong U.S. economy, strong demand for air travel, increased fares, and a favorable mix of higher yielding fares.</w:t>
      </w:r>
    </w:p>
    <w:p>
      <w:pPr>
        <w:pStyle w:val="BodyText"/>
        <w:spacing w:before="10"/>
        <w:rPr>
          <w:sz w:val="20"/>
        </w:rPr>
      </w:pPr>
    </w:p>
    <w:p>
      <w:pPr>
        <w:pStyle w:val="BodyText"/>
        <w:spacing w:line="240" w:lineRule="exact"/>
        <w:ind w:left="119" w:right="203" w:firstLine="182"/>
      </w:pPr>
      <w:r>
        <w:rPr/>
        <w:t>The 4.7 percent increase in RPMs in 1997, coupled with a 9.2 percent increase in available seat miles (ASMs), resulted in a decrease in load factor from 66.5 percent in 1996 to 63.7 percent in 1997. The decrease in load factor was primarily the result of less promotional fare activity in 1997. The 1997 ASM growth resulted from the addition of 18 aircraft during the year.</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118" w:firstLine="182"/>
      </w:pPr>
      <w:r>
        <w:rPr>
          <w:spacing w:val="2"/>
        </w:rPr>
        <w:t>The </w:t>
      </w:r>
      <w:r>
        <w:rPr/>
        <w:t>January 1998 load factor decreased to 54.0 percent from 60.2 percent in January 1997 due to heavy promotional fare activities in the 1997 period. However, revenue yield per passenger mile continues to be strong in January 1998 despite difficult comparisons due to the lapse of the federal excise tax from January 1 to March 7,  1997. Comparisons in </w:t>
      </w:r>
      <w:r>
        <w:rPr>
          <w:spacing w:val="3"/>
        </w:rPr>
        <w:t>February </w:t>
      </w:r>
      <w:r>
        <w:rPr/>
        <w:t>and March will be more difficult due to fare increases in </w:t>
      </w:r>
      <w:r>
        <w:rPr>
          <w:spacing w:val="3"/>
        </w:rPr>
        <w:t>February </w:t>
      </w:r>
      <w:r>
        <w:rPr/>
        <w:t>1997. </w:t>
      </w:r>
      <w:r>
        <w:rPr>
          <w:spacing w:val="2"/>
        </w:rPr>
        <w:t>(The </w:t>
      </w:r>
      <w:r>
        <w:rPr/>
        <w:t>immediately preceding sentence is a forward-looking statement which involves uncertainties that could result in actual results differing materially from expected results. </w:t>
      </w:r>
      <w:r>
        <w:rPr>
          <w:spacing w:val="-3"/>
        </w:rPr>
        <w:t>Some </w:t>
      </w:r>
      <w:r>
        <w:rPr/>
        <w:t>significant factors include, but </w:t>
      </w:r>
      <w:r>
        <w:rPr>
          <w:spacing w:val="-3"/>
        </w:rPr>
        <w:t>may </w:t>
      </w:r>
      <w:r>
        <w:rPr/>
        <w:t>not be limited to,  competitive pressure such as fare sales and capacity changes by other carriers,  general economic conditions, and variations in advance booking</w:t>
      </w:r>
      <w:r>
        <w:rPr>
          <w:spacing w:val="29"/>
        </w:rPr>
        <w:t> </w:t>
      </w:r>
      <w:r>
        <w:rPr/>
        <w:t>trends.)</w:t>
      </w:r>
    </w:p>
    <w:p>
      <w:pPr>
        <w:pStyle w:val="BodyText"/>
        <w:spacing w:line="258" w:lineRule="exact" w:before="206"/>
        <w:ind w:left="302"/>
      </w:pPr>
      <w:r>
        <w:rPr/>
        <w:t>Freight revenues in 1997 were $94.8 million, compared to $80.0 million in 1996. The</w:t>
      </w:r>
    </w:p>
    <w:p>
      <w:pPr>
        <w:pStyle w:val="BodyText"/>
        <w:spacing w:line="240" w:lineRule="exact" w:before="15"/>
        <w:ind w:left="119" w:right="203"/>
      </w:pPr>
      <w:r>
        <w:rPr/>
        <w:t>18.4 percent increase in freight revenues exceeded the 9.2 percent increase in ASMs for the same period primarily due to an increase in United States mail services and increased air freight volumes resulting, in part, from the United Parcel Service labor strike during third quarter 1997.</w:t>
      </w:r>
    </w:p>
    <w:p>
      <w:pPr>
        <w:pStyle w:val="BodyText"/>
        <w:spacing w:line="258" w:lineRule="exact" w:before="207"/>
        <w:ind w:left="302"/>
      </w:pPr>
      <w:r>
        <w:rPr/>
        <w:t>Other revenues increased by 45.6 percent in 1997 to $82.9 million, compared to</w:t>
      </w:r>
    </w:p>
    <w:p>
      <w:pPr>
        <w:pStyle w:val="BodyText"/>
        <w:spacing w:line="240" w:lineRule="exact" w:before="15"/>
        <w:ind w:left="119" w:right="406"/>
      </w:pPr>
      <w:r>
        <w:rPr/>
        <w:t>$56.9 million in 1996. This increase is primarily due to the sale of frequent flyer segment credits to participating partners in the Company’s Rapid Rewards frequent flyer program.</w:t>
      </w:r>
    </w:p>
    <w:p>
      <w:pPr>
        <w:pStyle w:val="BodyText"/>
        <w:spacing w:before="9"/>
        <w:rPr>
          <w:sz w:val="20"/>
        </w:rPr>
      </w:pPr>
    </w:p>
    <w:p>
      <w:pPr>
        <w:pStyle w:val="BodyText"/>
        <w:spacing w:line="240" w:lineRule="exact"/>
        <w:ind w:left="119" w:right="203" w:firstLine="182"/>
      </w:pPr>
      <w:r>
        <w:rPr>
          <w:i/>
          <w:color w:val="008080"/>
        </w:rPr>
        <w:t>OPERATING EXPENSES </w:t>
      </w:r>
      <w:r>
        <w:rPr/>
        <w:t>Consolidated operating expenses for 1997 were $3,292.6 million, compared to $3,055.3 million in 1996, an increase of 7.8 percent, compared to the 9.2 percent increase in capacity. Operating expenses per ASM decreased 1.3 percent in 1997, compared to 1996, primarily due to lower jet fuel prices; lower aircraft engine repair costs; and favorable results from numerous Companywide cost reduction efforts.</w:t>
      </w:r>
    </w:p>
    <w:p>
      <w:pPr>
        <w:pStyle w:val="BodyText"/>
        <w:spacing w:before="9"/>
        <w:rPr>
          <w:sz w:val="20"/>
        </w:rPr>
      </w:pPr>
    </w:p>
    <w:p>
      <w:pPr>
        <w:pStyle w:val="BodyText"/>
        <w:spacing w:line="240" w:lineRule="exact"/>
        <w:ind w:left="119" w:right="161" w:firstLine="187"/>
      </w:pPr>
      <w:r>
        <w:rPr/>
        <w:t>Unit costs are expected to benefit in first quarter 1998, versus first quarter 1997, from lower jet fuel prices. Excluding jet fuel costs, operating expenses per </w:t>
      </w:r>
      <w:r>
        <w:rPr>
          <w:spacing w:val="-3"/>
        </w:rPr>
        <w:t>ASM </w:t>
      </w:r>
      <w:r>
        <w:rPr/>
        <w:t>are expected to increase primarily due to higher maintenance costs as management believes first quarter 1998 maintenance unit costs will be higher than the same period in 1997 due to an unusually low number of </w:t>
      </w:r>
      <w:r>
        <w:rPr>
          <w:spacing w:val="2"/>
        </w:rPr>
        <w:t>aircraft </w:t>
      </w:r>
      <w:r>
        <w:rPr/>
        <w:t>engine overhauls performed in first quarter 1997. </w:t>
      </w:r>
      <w:r>
        <w:rPr>
          <w:spacing w:val="2"/>
        </w:rPr>
        <w:t>(The </w:t>
      </w:r>
      <w:r>
        <w:rPr/>
        <w:t>immediately preceding two sentences are forward-looking statements which involve uncertainties that could result in actual results differing materially from   expected results. </w:t>
      </w:r>
      <w:r>
        <w:rPr>
          <w:spacing w:val="-3"/>
        </w:rPr>
        <w:t>Such </w:t>
      </w:r>
      <w:r>
        <w:rPr/>
        <w:t>uncertainties include, but </w:t>
      </w:r>
      <w:r>
        <w:rPr>
          <w:spacing w:val="-3"/>
        </w:rPr>
        <w:t>may </w:t>
      </w:r>
      <w:r>
        <w:rPr/>
        <w:t>not be limited to, the largely unpredictable levels of jet fuel</w:t>
      </w:r>
      <w:r>
        <w:rPr>
          <w:spacing w:val="25"/>
        </w:rPr>
        <w:t> </w:t>
      </w:r>
      <w:r>
        <w:rPr/>
        <w:t>prices.)</w:t>
      </w:r>
    </w:p>
    <w:p>
      <w:pPr>
        <w:spacing w:after="0" w:line="240" w:lineRule="exact"/>
        <w:sectPr>
          <w:pgSz w:w="12240" w:h="15840"/>
          <w:pgMar w:header="1592" w:footer="790" w:top="2120" w:bottom="980" w:left="1320" w:right="1320"/>
        </w:sectPr>
      </w:pPr>
    </w:p>
    <w:p>
      <w:pPr>
        <w:pStyle w:val="BodyText"/>
        <w:spacing w:before="7"/>
        <w:rPr>
          <w:sz w:val="16"/>
        </w:rPr>
      </w:pPr>
    </w:p>
    <w:p>
      <w:pPr>
        <w:pStyle w:val="BodyText"/>
        <w:spacing w:before="92"/>
        <w:ind w:left="119"/>
      </w:pPr>
      <w:r>
        <w:rPr/>
        <w:t>Operating expenses per ASM for 1997 and 1996 were as follows:</w:t>
      </w:r>
    </w:p>
    <w:p>
      <w:pPr>
        <w:pStyle w:val="BodyText"/>
        <w:spacing w:before="5"/>
        <w:rPr>
          <w:sz w:val="26"/>
        </w:rPr>
      </w:pPr>
    </w:p>
    <w:p>
      <w:pPr>
        <w:pStyle w:val="Heading3"/>
        <w:spacing w:after="10"/>
      </w:pPr>
      <w:r>
        <w:rPr/>
        <w:t>OPERATING EXPENSES PER ASM</w:t>
      </w:r>
    </w:p>
    <w:tbl>
      <w:tblPr>
        <w:tblW w:w="0" w:type="auto"/>
        <w:jc w:val="left"/>
        <w:tblInd w:w="25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40"/>
        <w:gridCol w:w="1938"/>
        <w:gridCol w:w="1295"/>
        <w:gridCol w:w="1113"/>
      </w:tblGrid>
      <w:tr>
        <w:trPr>
          <w:trHeight w:val="204" w:hRule="exact"/>
        </w:trPr>
        <w:tc>
          <w:tcPr>
            <w:tcW w:w="7574" w:type="dxa"/>
            <w:gridSpan w:val="3"/>
          </w:tcPr>
          <w:p>
            <w:pPr>
              <w:pStyle w:val="TableParagraph"/>
              <w:spacing w:line="203" w:lineRule="exact"/>
              <w:ind w:right="207"/>
              <w:rPr>
                <w:sz w:val="18"/>
              </w:rPr>
            </w:pPr>
            <w:r>
              <w:rPr>
                <w:sz w:val="18"/>
              </w:rPr>
              <w:t>INCREASE</w:t>
            </w:r>
          </w:p>
        </w:tc>
        <w:tc>
          <w:tcPr>
            <w:tcW w:w="1113" w:type="dxa"/>
          </w:tcPr>
          <w:p>
            <w:pPr>
              <w:pStyle w:val="TableParagraph"/>
              <w:spacing w:line="203" w:lineRule="exact"/>
              <w:ind w:left="209"/>
              <w:jc w:val="left"/>
              <w:rPr>
                <w:sz w:val="18"/>
              </w:rPr>
            </w:pPr>
            <w:r>
              <w:rPr>
                <w:sz w:val="18"/>
              </w:rPr>
              <w:t>PERCENT</w:t>
            </w:r>
          </w:p>
        </w:tc>
      </w:tr>
      <w:tr>
        <w:trPr>
          <w:trHeight w:val="211" w:hRule="exact"/>
        </w:trPr>
        <w:tc>
          <w:tcPr>
            <w:tcW w:w="8686" w:type="dxa"/>
            <w:gridSpan w:val="4"/>
          </w:tcPr>
          <w:p>
            <w:pPr>
              <w:pStyle w:val="TableParagraph"/>
              <w:tabs>
                <w:tab w:pos="4902" w:val="left" w:leader="none"/>
                <w:tab w:pos="5622" w:val="left" w:leader="none"/>
                <w:tab w:pos="6433" w:val="left" w:leader="none"/>
                <w:tab w:pos="7776" w:val="left" w:leader="none"/>
              </w:tabs>
              <w:spacing w:before="3"/>
              <w:ind w:left="45"/>
              <w:jc w:val="left"/>
              <w:rPr>
                <w:sz w:val="18"/>
              </w:rPr>
            </w:pPr>
            <w:r>
              <w:rPr>
                <w:color w:val="008080"/>
                <w:w w:val="101"/>
                <w:sz w:val="18"/>
                <w:u w:val="single" w:color="000000"/>
              </w:rPr>
              <w:t> </w:t>
            </w:r>
            <w:r>
              <w:rPr>
                <w:color w:val="008080"/>
                <w:sz w:val="18"/>
                <w:u w:val="single" w:color="000000"/>
              </w:rPr>
              <w:tab/>
              <w:t>1997</w:t>
            </w:r>
            <w:r>
              <w:rPr>
                <w:sz w:val="18"/>
                <w:u w:val="single"/>
              </w:rPr>
              <w:tab/>
              <w:t>1996</w:t>
              <w:tab/>
              <w:t>(DECREASE)</w:t>
              <w:tab/>
            </w:r>
            <w:r>
              <w:rPr>
                <w:spacing w:val="-2"/>
                <w:sz w:val="18"/>
                <w:u w:val="single"/>
              </w:rPr>
              <w:t>CHANGE</w:t>
            </w:r>
          </w:p>
        </w:tc>
      </w:tr>
      <w:tr>
        <w:trPr>
          <w:trHeight w:val="247" w:hRule="exact"/>
        </w:trPr>
        <w:tc>
          <w:tcPr>
            <w:tcW w:w="4340" w:type="dxa"/>
          </w:tcPr>
          <w:p>
            <w:pPr>
              <w:pStyle w:val="TableParagraph"/>
              <w:spacing w:line="225" w:lineRule="exact"/>
              <w:ind w:left="50"/>
              <w:jc w:val="left"/>
              <w:rPr>
                <w:sz w:val="20"/>
              </w:rPr>
            </w:pPr>
            <w:r>
              <w:rPr>
                <w:sz w:val="20"/>
              </w:rPr>
              <w:t>Salaries, wages, and benefits</w:t>
            </w:r>
          </w:p>
        </w:tc>
        <w:tc>
          <w:tcPr>
            <w:tcW w:w="1938" w:type="dxa"/>
          </w:tcPr>
          <w:p>
            <w:pPr>
              <w:pStyle w:val="TableParagraph"/>
              <w:tabs>
                <w:tab w:pos="1282" w:val="left" w:leader="none"/>
              </w:tabs>
              <w:spacing w:line="225" w:lineRule="exact"/>
              <w:ind w:left="562"/>
              <w:jc w:val="left"/>
              <w:rPr>
                <w:sz w:val="20"/>
              </w:rPr>
            </w:pPr>
            <w:r>
              <w:rPr>
                <w:color w:val="008080"/>
                <w:sz w:val="20"/>
              </w:rPr>
              <w:t>2.26¢</w:t>
              <w:tab/>
            </w:r>
            <w:r>
              <w:rPr>
                <w:sz w:val="20"/>
              </w:rPr>
              <w:t>2.22¢</w:t>
            </w:r>
          </w:p>
        </w:tc>
        <w:tc>
          <w:tcPr>
            <w:tcW w:w="1295" w:type="dxa"/>
          </w:tcPr>
          <w:p>
            <w:pPr>
              <w:pStyle w:val="TableParagraph"/>
              <w:spacing w:line="225" w:lineRule="exact"/>
              <w:ind w:left="155"/>
              <w:jc w:val="left"/>
              <w:rPr>
                <w:sz w:val="20"/>
              </w:rPr>
            </w:pPr>
            <w:r>
              <w:rPr>
                <w:sz w:val="20"/>
              </w:rPr>
              <w:t>.04¢</w:t>
            </w:r>
          </w:p>
        </w:tc>
        <w:tc>
          <w:tcPr>
            <w:tcW w:w="1113" w:type="dxa"/>
          </w:tcPr>
          <w:p>
            <w:pPr>
              <w:pStyle w:val="TableParagraph"/>
              <w:spacing w:line="225" w:lineRule="exact"/>
              <w:ind w:left="209"/>
              <w:jc w:val="left"/>
              <w:rPr>
                <w:sz w:val="20"/>
              </w:rPr>
            </w:pPr>
            <w:r>
              <w:rPr>
                <w:sz w:val="20"/>
              </w:rPr>
              <w:t>1.8%</w:t>
            </w:r>
          </w:p>
        </w:tc>
      </w:tr>
      <w:tr>
        <w:trPr>
          <w:trHeight w:val="240" w:hRule="exact"/>
        </w:trPr>
        <w:tc>
          <w:tcPr>
            <w:tcW w:w="4340" w:type="dxa"/>
          </w:tcPr>
          <w:p>
            <w:pPr>
              <w:pStyle w:val="TableParagraph"/>
              <w:spacing w:before="2"/>
              <w:ind w:left="50"/>
              <w:jc w:val="left"/>
              <w:rPr>
                <w:sz w:val="20"/>
              </w:rPr>
            </w:pPr>
            <w:r>
              <w:rPr>
                <w:sz w:val="20"/>
              </w:rPr>
              <w:t>Employee profitsharing and savings plans</w:t>
            </w:r>
          </w:p>
        </w:tc>
        <w:tc>
          <w:tcPr>
            <w:tcW w:w="1938" w:type="dxa"/>
          </w:tcPr>
          <w:p>
            <w:pPr>
              <w:pStyle w:val="TableParagraph"/>
              <w:tabs>
                <w:tab w:pos="1282" w:val="left" w:leader="none"/>
              </w:tabs>
              <w:spacing w:before="2"/>
              <w:ind w:left="562"/>
              <w:jc w:val="left"/>
              <w:rPr>
                <w:sz w:val="20"/>
              </w:rPr>
            </w:pPr>
            <w:r>
              <w:rPr>
                <w:color w:val="008080"/>
                <w:sz w:val="20"/>
              </w:rPr>
              <w:t>.30</w:t>
              <w:tab/>
            </w:r>
            <w:r>
              <w:rPr>
                <w:sz w:val="20"/>
              </w:rPr>
              <w:t>.23</w:t>
            </w:r>
          </w:p>
        </w:tc>
        <w:tc>
          <w:tcPr>
            <w:tcW w:w="1295" w:type="dxa"/>
          </w:tcPr>
          <w:p>
            <w:pPr>
              <w:pStyle w:val="TableParagraph"/>
              <w:spacing w:before="2"/>
              <w:ind w:left="155"/>
              <w:jc w:val="left"/>
              <w:rPr>
                <w:sz w:val="20"/>
              </w:rPr>
            </w:pPr>
            <w:r>
              <w:rPr>
                <w:sz w:val="20"/>
              </w:rPr>
              <w:t>.07</w:t>
            </w:r>
          </w:p>
        </w:tc>
        <w:tc>
          <w:tcPr>
            <w:tcW w:w="1113" w:type="dxa"/>
          </w:tcPr>
          <w:p>
            <w:pPr>
              <w:pStyle w:val="TableParagraph"/>
              <w:spacing w:before="2"/>
              <w:ind w:left="209"/>
              <w:jc w:val="left"/>
              <w:rPr>
                <w:sz w:val="20"/>
              </w:rPr>
            </w:pPr>
            <w:r>
              <w:rPr>
                <w:sz w:val="20"/>
              </w:rPr>
              <w:t>30.4</w:t>
            </w:r>
          </w:p>
        </w:tc>
      </w:tr>
      <w:tr>
        <w:trPr>
          <w:trHeight w:val="240" w:hRule="exact"/>
        </w:trPr>
        <w:tc>
          <w:tcPr>
            <w:tcW w:w="4340" w:type="dxa"/>
          </w:tcPr>
          <w:p>
            <w:pPr>
              <w:pStyle w:val="TableParagraph"/>
              <w:spacing w:before="2"/>
              <w:ind w:left="50"/>
              <w:jc w:val="left"/>
              <w:rPr>
                <w:sz w:val="20"/>
              </w:rPr>
            </w:pPr>
            <w:r>
              <w:rPr>
                <w:sz w:val="20"/>
              </w:rPr>
              <w:t>Fuel and oil</w:t>
            </w:r>
          </w:p>
        </w:tc>
        <w:tc>
          <w:tcPr>
            <w:tcW w:w="1938" w:type="dxa"/>
          </w:tcPr>
          <w:p>
            <w:pPr>
              <w:pStyle w:val="TableParagraph"/>
              <w:tabs>
                <w:tab w:pos="1282" w:val="left" w:leader="none"/>
              </w:tabs>
              <w:spacing w:before="2"/>
              <w:ind w:left="562"/>
              <w:jc w:val="left"/>
              <w:rPr>
                <w:sz w:val="20"/>
              </w:rPr>
            </w:pPr>
            <w:r>
              <w:rPr>
                <w:color w:val="008080"/>
                <w:sz w:val="20"/>
              </w:rPr>
              <w:t>1.11</w:t>
              <w:tab/>
            </w:r>
            <w:r>
              <w:rPr>
                <w:sz w:val="20"/>
              </w:rPr>
              <w:t>1.19</w:t>
            </w:r>
          </w:p>
        </w:tc>
        <w:tc>
          <w:tcPr>
            <w:tcW w:w="1295" w:type="dxa"/>
          </w:tcPr>
          <w:p>
            <w:pPr>
              <w:pStyle w:val="TableParagraph"/>
              <w:spacing w:before="2"/>
              <w:ind w:left="155"/>
              <w:jc w:val="left"/>
              <w:rPr>
                <w:sz w:val="20"/>
              </w:rPr>
            </w:pPr>
            <w:r>
              <w:rPr>
                <w:sz w:val="20"/>
              </w:rPr>
              <w:t>(.08)</w:t>
            </w:r>
          </w:p>
        </w:tc>
        <w:tc>
          <w:tcPr>
            <w:tcW w:w="1113" w:type="dxa"/>
          </w:tcPr>
          <w:p>
            <w:pPr>
              <w:pStyle w:val="TableParagraph"/>
              <w:spacing w:before="2"/>
              <w:ind w:left="209"/>
              <w:jc w:val="left"/>
              <w:rPr>
                <w:sz w:val="20"/>
              </w:rPr>
            </w:pPr>
            <w:r>
              <w:rPr>
                <w:sz w:val="20"/>
              </w:rPr>
              <w:t>(6.7)</w:t>
            </w:r>
          </w:p>
        </w:tc>
      </w:tr>
      <w:tr>
        <w:trPr>
          <w:trHeight w:val="240" w:hRule="exact"/>
        </w:trPr>
        <w:tc>
          <w:tcPr>
            <w:tcW w:w="4340" w:type="dxa"/>
          </w:tcPr>
          <w:p>
            <w:pPr>
              <w:pStyle w:val="TableParagraph"/>
              <w:spacing w:before="2"/>
              <w:ind w:left="50"/>
              <w:jc w:val="left"/>
              <w:rPr>
                <w:sz w:val="20"/>
              </w:rPr>
            </w:pPr>
            <w:r>
              <w:rPr>
                <w:sz w:val="20"/>
              </w:rPr>
              <w:t>Maintenance materials and repairs</w:t>
            </w:r>
          </w:p>
        </w:tc>
        <w:tc>
          <w:tcPr>
            <w:tcW w:w="1938" w:type="dxa"/>
          </w:tcPr>
          <w:p>
            <w:pPr>
              <w:pStyle w:val="TableParagraph"/>
              <w:tabs>
                <w:tab w:pos="1282" w:val="left" w:leader="none"/>
              </w:tabs>
              <w:spacing w:before="2"/>
              <w:ind w:left="562"/>
              <w:jc w:val="left"/>
              <w:rPr>
                <w:sz w:val="20"/>
              </w:rPr>
            </w:pPr>
            <w:r>
              <w:rPr>
                <w:color w:val="008080"/>
                <w:sz w:val="20"/>
              </w:rPr>
              <w:t>.58</w:t>
              <w:tab/>
            </w:r>
            <w:r>
              <w:rPr>
                <w:sz w:val="20"/>
              </w:rPr>
              <w:t>.62</w:t>
            </w:r>
          </w:p>
        </w:tc>
        <w:tc>
          <w:tcPr>
            <w:tcW w:w="1295" w:type="dxa"/>
          </w:tcPr>
          <w:p>
            <w:pPr>
              <w:pStyle w:val="TableParagraph"/>
              <w:spacing w:before="2"/>
              <w:ind w:left="155"/>
              <w:jc w:val="left"/>
              <w:rPr>
                <w:sz w:val="20"/>
              </w:rPr>
            </w:pPr>
            <w:r>
              <w:rPr>
                <w:sz w:val="20"/>
              </w:rPr>
              <w:t>(.04)</w:t>
            </w:r>
          </w:p>
        </w:tc>
        <w:tc>
          <w:tcPr>
            <w:tcW w:w="1113" w:type="dxa"/>
          </w:tcPr>
          <w:p>
            <w:pPr>
              <w:pStyle w:val="TableParagraph"/>
              <w:spacing w:before="2"/>
              <w:ind w:left="209"/>
              <w:jc w:val="left"/>
              <w:rPr>
                <w:sz w:val="20"/>
              </w:rPr>
            </w:pPr>
            <w:r>
              <w:rPr>
                <w:sz w:val="20"/>
              </w:rPr>
              <w:t>(6.5)</w:t>
            </w:r>
          </w:p>
        </w:tc>
      </w:tr>
      <w:tr>
        <w:trPr>
          <w:trHeight w:val="240" w:hRule="exact"/>
        </w:trPr>
        <w:tc>
          <w:tcPr>
            <w:tcW w:w="4340" w:type="dxa"/>
          </w:tcPr>
          <w:p>
            <w:pPr>
              <w:pStyle w:val="TableParagraph"/>
              <w:spacing w:before="2"/>
              <w:ind w:left="50"/>
              <w:jc w:val="left"/>
              <w:rPr>
                <w:sz w:val="20"/>
              </w:rPr>
            </w:pPr>
            <w:r>
              <w:rPr>
                <w:sz w:val="20"/>
              </w:rPr>
              <w:t>Agency commissions</w:t>
            </w:r>
          </w:p>
        </w:tc>
        <w:tc>
          <w:tcPr>
            <w:tcW w:w="1938" w:type="dxa"/>
          </w:tcPr>
          <w:p>
            <w:pPr>
              <w:pStyle w:val="TableParagraph"/>
              <w:tabs>
                <w:tab w:pos="1282" w:val="left" w:leader="none"/>
              </w:tabs>
              <w:spacing w:before="2"/>
              <w:ind w:left="562"/>
              <w:jc w:val="left"/>
              <w:rPr>
                <w:sz w:val="20"/>
              </w:rPr>
            </w:pPr>
            <w:r>
              <w:rPr>
                <w:color w:val="008080"/>
                <w:sz w:val="20"/>
              </w:rPr>
              <w:t>.35</w:t>
              <w:tab/>
            </w:r>
            <w:r>
              <w:rPr>
                <w:sz w:val="20"/>
              </w:rPr>
              <w:t>.35</w:t>
            </w:r>
          </w:p>
        </w:tc>
        <w:tc>
          <w:tcPr>
            <w:tcW w:w="1295" w:type="dxa"/>
          </w:tcPr>
          <w:p>
            <w:pPr>
              <w:pStyle w:val="TableParagraph"/>
              <w:spacing w:before="2"/>
              <w:ind w:left="155"/>
              <w:jc w:val="left"/>
              <w:rPr>
                <w:sz w:val="20"/>
              </w:rPr>
            </w:pPr>
            <w:r>
              <w:rPr>
                <w:w w:val="100"/>
                <w:sz w:val="20"/>
              </w:rPr>
              <w:t>–</w:t>
            </w:r>
          </w:p>
        </w:tc>
        <w:tc>
          <w:tcPr>
            <w:tcW w:w="1113" w:type="dxa"/>
          </w:tcPr>
          <w:p>
            <w:pPr>
              <w:pStyle w:val="TableParagraph"/>
              <w:spacing w:before="2"/>
              <w:ind w:left="209"/>
              <w:jc w:val="left"/>
              <w:rPr>
                <w:sz w:val="20"/>
              </w:rPr>
            </w:pPr>
            <w:r>
              <w:rPr>
                <w:w w:val="100"/>
                <w:sz w:val="20"/>
              </w:rPr>
              <w:t>–</w:t>
            </w:r>
          </w:p>
        </w:tc>
      </w:tr>
      <w:tr>
        <w:trPr>
          <w:trHeight w:val="240" w:hRule="exact"/>
        </w:trPr>
        <w:tc>
          <w:tcPr>
            <w:tcW w:w="4340" w:type="dxa"/>
          </w:tcPr>
          <w:p>
            <w:pPr>
              <w:pStyle w:val="TableParagraph"/>
              <w:spacing w:before="2"/>
              <w:ind w:left="50"/>
              <w:jc w:val="left"/>
              <w:rPr>
                <w:sz w:val="20"/>
              </w:rPr>
            </w:pPr>
            <w:r>
              <w:rPr>
                <w:sz w:val="20"/>
              </w:rPr>
              <w:t>Aircraft rentals</w:t>
            </w:r>
          </w:p>
        </w:tc>
        <w:tc>
          <w:tcPr>
            <w:tcW w:w="1938" w:type="dxa"/>
          </w:tcPr>
          <w:p>
            <w:pPr>
              <w:pStyle w:val="TableParagraph"/>
              <w:tabs>
                <w:tab w:pos="1282" w:val="left" w:leader="none"/>
              </w:tabs>
              <w:spacing w:before="2"/>
              <w:ind w:left="562"/>
              <w:jc w:val="left"/>
              <w:rPr>
                <w:sz w:val="20"/>
              </w:rPr>
            </w:pPr>
            <w:r>
              <w:rPr>
                <w:color w:val="008080"/>
                <w:sz w:val="20"/>
              </w:rPr>
              <w:t>.45</w:t>
              <w:tab/>
            </w:r>
            <w:r>
              <w:rPr>
                <w:sz w:val="20"/>
              </w:rPr>
              <w:t>.47</w:t>
            </w:r>
          </w:p>
        </w:tc>
        <w:tc>
          <w:tcPr>
            <w:tcW w:w="1295" w:type="dxa"/>
          </w:tcPr>
          <w:p>
            <w:pPr>
              <w:pStyle w:val="TableParagraph"/>
              <w:spacing w:before="2"/>
              <w:ind w:left="155"/>
              <w:jc w:val="left"/>
              <w:rPr>
                <w:sz w:val="20"/>
              </w:rPr>
            </w:pPr>
            <w:r>
              <w:rPr>
                <w:sz w:val="20"/>
              </w:rPr>
              <w:t>(.02)</w:t>
            </w:r>
          </w:p>
        </w:tc>
        <w:tc>
          <w:tcPr>
            <w:tcW w:w="1113" w:type="dxa"/>
          </w:tcPr>
          <w:p>
            <w:pPr>
              <w:pStyle w:val="TableParagraph"/>
              <w:spacing w:before="2"/>
              <w:ind w:left="209"/>
              <w:jc w:val="left"/>
              <w:rPr>
                <w:sz w:val="20"/>
              </w:rPr>
            </w:pPr>
            <w:r>
              <w:rPr>
                <w:sz w:val="20"/>
              </w:rPr>
              <w:t>(4.3)</w:t>
            </w:r>
          </w:p>
        </w:tc>
      </w:tr>
      <w:tr>
        <w:trPr>
          <w:trHeight w:val="240" w:hRule="exact"/>
        </w:trPr>
        <w:tc>
          <w:tcPr>
            <w:tcW w:w="4340" w:type="dxa"/>
          </w:tcPr>
          <w:p>
            <w:pPr>
              <w:pStyle w:val="TableParagraph"/>
              <w:spacing w:before="2"/>
              <w:ind w:left="50"/>
              <w:jc w:val="left"/>
              <w:rPr>
                <w:sz w:val="20"/>
              </w:rPr>
            </w:pPr>
            <w:r>
              <w:rPr>
                <w:sz w:val="20"/>
              </w:rPr>
              <w:t>Landing fees and other rentals</w:t>
            </w:r>
          </w:p>
        </w:tc>
        <w:tc>
          <w:tcPr>
            <w:tcW w:w="1938" w:type="dxa"/>
          </w:tcPr>
          <w:p>
            <w:pPr>
              <w:pStyle w:val="TableParagraph"/>
              <w:tabs>
                <w:tab w:pos="1282" w:val="left" w:leader="none"/>
              </w:tabs>
              <w:spacing w:before="2"/>
              <w:ind w:left="562"/>
              <w:jc w:val="left"/>
              <w:rPr>
                <w:sz w:val="20"/>
              </w:rPr>
            </w:pPr>
            <w:r>
              <w:rPr>
                <w:color w:val="008080"/>
                <w:sz w:val="20"/>
              </w:rPr>
              <w:t>.46</w:t>
              <w:tab/>
            </w:r>
            <w:r>
              <w:rPr>
                <w:sz w:val="20"/>
              </w:rPr>
              <w:t>.46</w:t>
            </w:r>
          </w:p>
        </w:tc>
        <w:tc>
          <w:tcPr>
            <w:tcW w:w="1295" w:type="dxa"/>
          </w:tcPr>
          <w:p>
            <w:pPr>
              <w:pStyle w:val="TableParagraph"/>
              <w:spacing w:before="2"/>
              <w:ind w:left="155"/>
              <w:jc w:val="left"/>
              <w:rPr>
                <w:sz w:val="20"/>
              </w:rPr>
            </w:pPr>
            <w:r>
              <w:rPr>
                <w:w w:val="100"/>
                <w:sz w:val="20"/>
              </w:rPr>
              <w:t>–</w:t>
            </w:r>
          </w:p>
        </w:tc>
        <w:tc>
          <w:tcPr>
            <w:tcW w:w="1113" w:type="dxa"/>
          </w:tcPr>
          <w:p>
            <w:pPr>
              <w:pStyle w:val="TableParagraph"/>
              <w:spacing w:before="2"/>
              <w:ind w:left="209"/>
              <w:jc w:val="left"/>
              <w:rPr>
                <w:sz w:val="20"/>
              </w:rPr>
            </w:pPr>
            <w:r>
              <w:rPr>
                <w:w w:val="100"/>
                <w:sz w:val="20"/>
              </w:rPr>
              <w:t>–</w:t>
            </w:r>
          </w:p>
        </w:tc>
      </w:tr>
      <w:tr>
        <w:trPr>
          <w:trHeight w:val="233" w:hRule="exact"/>
        </w:trPr>
        <w:tc>
          <w:tcPr>
            <w:tcW w:w="4340" w:type="dxa"/>
          </w:tcPr>
          <w:p>
            <w:pPr>
              <w:pStyle w:val="TableParagraph"/>
              <w:spacing w:before="2"/>
              <w:ind w:left="50"/>
              <w:jc w:val="left"/>
              <w:rPr>
                <w:sz w:val="20"/>
              </w:rPr>
            </w:pPr>
            <w:r>
              <w:rPr>
                <w:sz w:val="20"/>
              </w:rPr>
              <w:t>Depreciation</w:t>
            </w:r>
          </w:p>
        </w:tc>
        <w:tc>
          <w:tcPr>
            <w:tcW w:w="1938" w:type="dxa"/>
          </w:tcPr>
          <w:p>
            <w:pPr>
              <w:pStyle w:val="TableParagraph"/>
              <w:tabs>
                <w:tab w:pos="1282" w:val="left" w:leader="none"/>
              </w:tabs>
              <w:spacing w:before="2"/>
              <w:ind w:left="562"/>
              <w:jc w:val="left"/>
              <w:rPr>
                <w:sz w:val="20"/>
              </w:rPr>
            </w:pPr>
            <w:r>
              <w:rPr>
                <w:color w:val="008080"/>
                <w:sz w:val="20"/>
              </w:rPr>
              <w:t>.44</w:t>
              <w:tab/>
            </w:r>
            <w:r>
              <w:rPr>
                <w:sz w:val="20"/>
              </w:rPr>
              <w:t>.45</w:t>
            </w:r>
          </w:p>
        </w:tc>
        <w:tc>
          <w:tcPr>
            <w:tcW w:w="1295" w:type="dxa"/>
          </w:tcPr>
          <w:p>
            <w:pPr>
              <w:pStyle w:val="TableParagraph"/>
              <w:spacing w:before="2"/>
              <w:ind w:left="155"/>
              <w:jc w:val="left"/>
              <w:rPr>
                <w:sz w:val="20"/>
              </w:rPr>
            </w:pPr>
            <w:r>
              <w:rPr>
                <w:sz w:val="20"/>
              </w:rPr>
              <w:t>(.01)</w:t>
            </w:r>
          </w:p>
        </w:tc>
        <w:tc>
          <w:tcPr>
            <w:tcW w:w="1113" w:type="dxa"/>
          </w:tcPr>
          <w:p>
            <w:pPr>
              <w:pStyle w:val="TableParagraph"/>
              <w:spacing w:before="2"/>
              <w:ind w:left="209"/>
              <w:jc w:val="left"/>
              <w:rPr>
                <w:sz w:val="20"/>
              </w:rPr>
            </w:pPr>
            <w:r>
              <w:rPr>
                <w:sz w:val="20"/>
              </w:rPr>
              <w:t>(2.2)</w:t>
            </w:r>
          </w:p>
        </w:tc>
      </w:tr>
      <w:tr>
        <w:trPr>
          <w:trHeight w:val="240" w:hRule="exact"/>
        </w:trPr>
        <w:tc>
          <w:tcPr>
            <w:tcW w:w="8686" w:type="dxa"/>
            <w:gridSpan w:val="4"/>
          </w:tcPr>
          <w:p>
            <w:pPr>
              <w:pStyle w:val="TableParagraph"/>
              <w:tabs>
                <w:tab w:pos="4902" w:val="left" w:leader="none"/>
                <w:tab w:pos="5622" w:val="left" w:leader="none"/>
                <w:tab w:pos="6433" w:val="left" w:leader="none"/>
                <w:tab w:pos="7782" w:val="left" w:leader="none"/>
              </w:tabs>
              <w:spacing w:before="9"/>
              <w:ind w:left="50"/>
              <w:jc w:val="left"/>
              <w:rPr>
                <w:sz w:val="20"/>
              </w:rPr>
            </w:pPr>
            <w:r>
              <w:rPr>
                <w:sz w:val="20"/>
              </w:rPr>
              <w:t>Other</w:t>
              <w:tab/>
            </w:r>
            <w:r>
              <w:rPr>
                <w:color w:val="008080"/>
                <w:sz w:val="20"/>
                <w:u w:val="single" w:color="008080"/>
              </w:rPr>
              <w:t>1.45</w:t>
            </w:r>
            <w:r>
              <w:rPr>
                <w:sz w:val="20"/>
                <w:u w:val="single" w:color="008080"/>
              </w:rPr>
              <w:tab/>
              <w:t>1.51</w:t>
              <w:tab/>
              <w:t>(.06)</w:t>
              <w:tab/>
              <w:t>(4.0)</w:t>
            </w:r>
          </w:p>
        </w:tc>
      </w:tr>
    </w:tbl>
    <w:p>
      <w:pPr>
        <w:tabs>
          <w:tab w:pos="5159" w:val="left" w:leader="none"/>
          <w:tab w:pos="6691" w:val="left" w:leader="none"/>
          <w:tab w:pos="8039" w:val="left" w:leader="none"/>
        </w:tabs>
        <w:spacing w:before="134"/>
        <w:ind w:left="302" w:right="0" w:firstLine="0"/>
        <w:jc w:val="left"/>
        <w:rPr>
          <w:sz w:val="20"/>
        </w:rPr>
      </w:pPr>
      <w:r>
        <w:rPr>
          <w:sz w:val="20"/>
        </w:rPr>
        <w:t>Total</w:t>
        <w:tab/>
      </w:r>
      <w:r>
        <w:rPr>
          <w:color w:val="008080"/>
          <w:sz w:val="20"/>
          <w:u w:val="thick" w:color="008080"/>
        </w:rPr>
        <w:t>7.40¢  </w:t>
      </w:r>
      <w:r>
        <w:rPr>
          <w:color w:val="008080"/>
          <w:spacing w:val="50"/>
          <w:sz w:val="20"/>
          <w:u w:val="thick" w:color="008080"/>
        </w:rPr>
        <w:t> </w:t>
      </w:r>
      <w:r>
        <w:rPr>
          <w:sz w:val="20"/>
          <w:u w:val="thick" w:color="008080"/>
        </w:rPr>
        <w:t>7.50¢</w:t>
        <w:tab/>
        <w:t>(.10)¢</w:t>
        <w:tab/>
        <w:t>(1.3)%</w:t>
      </w:r>
    </w:p>
    <w:p>
      <w:pPr>
        <w:pStyle w:val="BodyText"/>
        <w:spacing w:before="5"/>
        <w:rPr>
          <w:sz w:val="20"/>
        </w:rPr>
      </w:pPr>
    </w:p>
    <w:p>
      <w:pPr>
        <w:pStyle w:val="BodyText"/>
        <w:spacing w:line="240" w:lineRule="exact" w:before="125"/>
        <w:ind w:left="120" w:right="248" w:firstLine="182"/>
      </w:pPr>
      <w:r>
        <w:rPr/>
        <w:t>Salaries, wages, and benefits per </w:t>
      </w:r>
      <w:r>
        <w:rPr>
          <w:spacing w:val="-3"/>
        </w:rPr>
        <w:t>ASM </w:t>
      </w:r>
      <w:r>
        <w:rPr/>
        <w:t>increased 1.8 percent in 1997. </w:t>
      </w:r>
      <w:r>
        <w:rPr>
          <w:spacing w:val="3"/>
        </w:rPr>
        <w:t>This </w:t>
      </w:r>
      <w:r>
        <w:rPr/>
        <w:t>increase resulted primarily from a 2.4 percent increase in 1997 average salary and benefits cost per Employee, partially offset by slower growth in the number of Employees. </w:t>
      </w:r>
      <w:r>
        <w:rPr>
          <w:spacing w:val="2"/>
        </w:rPr>
        <w:t>The </w:t>
      </w:r>
      <w:r>
        <w:rPr/>
        <w:t>increase in average salary and benefits cost per Employee primarily is due to increased health care</w:t>
      </w:r>
      <w:r>
        <w:rPr>
          <w:spacing w:val="12"/>
        </w:rPr>
        <w:t> </w:t>
      </w:r>
      <w:r>
        <w:rPr/>
        <w:t>costs.</w:t>
      </w:r>
    </w:p>
    <w:p>
      <w:pPr>
        <w:pStyle w:val="BodyText"/>
        <w:spacing w:before="9"/>
        <w:rPr>
          <w:sz w:val="20"/>
        </w:rPr>
      </w:pPr>
    </w:p>
    <w:p>
      <w:pPr>
        <w:pStyle w:val="BodyText"/>
        <w:spacing w:line="240" w:lineRule="exact"/>
        <w:ind w:left="120" w:right="203" w:firstLine="182"/>
      </w:pPr>
      <w:r>
        <w:rPr/>
        <w:t>The Company’s Flight Attendants are subject to an agreement with the Transport Workers Union of America, AFL-CIO (TWU), which became amendable May 31, 1996. The Company reached an agreement with the TWU, which was ratified by its membership in December 1997. The new contract becomes amendable in May 2002.</w:t>
      </w:r>
    </w:p>
    <w:p>
      <w:pPr>
        <w:pStyle w:val="BodyText"/>
        <w:spacing w:before="9"/>
        <w:rPr>
          <w:sz w:val="20"/>
        </w:rPr>
      </w:pPr>
    </w:p>
    <w:p>
      <w:pPr>
        <w:pStyle w:val="BodyText"/>
        <w:spacing w:line="240" w:lineRule="exact"/>
        <w:ind w:left="120" w:right="353" w:firstLine="182"/>
      </w:pPr>
      <w:r>
        <w:rPr/>
        <w:t>The Company’s Customer Service and Reservations Sales Agents are subject to an agreement with the International Association of Machinists and Aerospace Workers, AFL-CIO (IAM), which became amendable in November 1997 and is currently under negotiation. Flight Dispatchers are represented by the Southwest Airlines Employees Association, pursuant to an agreement which became amendable in November 1997 and is also currently under negotiation.</w:t>
      </w:r>
    </w:p>
    <w:p>
      <w:pPr>
        <w:pStyle w:val="BodyText"/>
        <w:spacing w:before="9"/>
        <w:rPr>
          <w:sz w:val="20"/>
        </w:rPr>
      </w:pPr>
    </w:p>
    <w:p>
      <w:pPr>
        <w:pStyle w:val="BodyText"/>
        <w:spacing w:line="240" w:lineRule="exact"/>
        <w:ind w:left="120" w:right="203" w:firstLine="182"/>
      </w:pPr>
      <w:r>
        <w:rPr/>
        <w:t>Profitsharing and Employee savings plans expense per ASM increased 30.4 percent in 1997, primarily due to higher earnings available for profitsharing.</w:t>
      </w:r>
    </w:p>
    <w:p>
      <w:pPr>
        <w:pStyle w:val="BodyText"/>
        <w:spacing w:before="9"/>
        <w:rPr>
          <w:sz w:val="20"/>
        </w:rPr>
      </w:pPr>
    </w:p>
    <w:p>
      <w:pPr>
        <w:pStyle w:val="BodyText"/>
        <w:spacing w:line="240" w:lineRule="exact"/>
        <w:ind w:left="120" w:firstLine="182"/>
      </w:pPr>
      <w:r>
        <w:rPr/>
        <w:t>Fuel and oil expenses per ASM decreased 6.7 percent in 1997, primarily due to a 4.6 percent decrease from 1996 in the average jet fuel cost per gallon, coupled with a slight decrease in the average fuel burn rate from 1996. The average price paid for jet fuel in 1997 was $.6246 compared to $.6547 in 1996. During fourth quarter 1997, the average cost per gallon decreased 17.5 percent to $.6040 compared to $.7323 in fourth quarter 1996. In January 1998, fuel prices averaged approximately $.53 per gallon.</w:t>
      </w:r>
    </w:p>
    <w:p>
      <w:pPr>
        <w:pStyle w:val="BodyText"/>
        <w:spacing w:before="9"/>
        <w:rPr>
          <w:sz w:val="20"/>
        </w:rPr>
      </w:pPr>
    </w:p>
    <w:p>
      <w:pPr>
        <w:pStyle w:val="BodyText"/>
        <w:spacing w:line="240" w:lineRule="exact"/>
        <w:ind w:left="120" w:right="203" w:firstLine="187"/>
      </w:pPr>
      <w:r>
        <w:rPr/>
        <w:t>Maintenance materials and repairs per ASM decreased 6.5 percent in 1997, compared to 1996, primarily as a result of lower engine overhaul costs in the first three quarters of 1997, when compared to the same periods in 1996.</w:t>
      </w:r>
    </w:p>
    <w:p>
      <w:pPr>
        <w:pStyle w:val="BodyText"/>
        <w:spacing w:before="9"/>
        <w:rPr>
          <w:sz w:val="20"/>
        </w:rPr>
      </w:pPr>
    </w:p>
    <w:p>
      <w:pPr>
        <w:pStyle w:val="BodyText"/>
        <w:spacing w:line="240" w:lineRule="exact"/>
        <w:ind w:left="120" w:firstLine="182"/>
      </w:pPr>
      <w:r>
        <w:rPr/>
        <w:t>On August 1, 1997, the Company signed a ten-year engine maintenance contract with General Electric Engine Services, Inc. (General Electric). Under the terms of the</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182"/>
      </w:pPr>
      <w:r>
        <w:rPr/>
        <w:t>contract, Southwest will pay General Electric a </w:t>
      </w:r>
      <w:r>
        <w:rPr>
          <w:spacing w:val="2"/>
        </w:rPr>
        <w:t>rate </w:t>
      </w:r>
      <w:r>
        <w:rPr/>
        <w:t>per flight hour in exchange for General Electric performing substantially all engine maintenance for the CFM56-3 engines on the 737-300 and 737-500 </w:t>
      </w:r>
      <w:r>
        <w:rPr>
          <w:spacing w:val="2"/>
        </w:rPr>
        <w:t>aircraft. The </w:t>
      </w:r>
      <w:r>
        <w:rPr/>
        <w:t>Company has a similar agreement with General Electric with </w:t>
      </w:r>
      <w:r>
        <w:rPr>
          <w:spacing w:val="2"/>
        </w:rPr>
        <w:t>respect </w:t>
      </w:r>
      <w:r>
        <w:rPr/>
        <w:t>to the engines on the 737-700 </w:t>
      </w:r>
      <w:r>
        <w:rPr>
          <w:spacing w:val="2"/>
        </w:rPr>
        <w:t>aircraft. </w:t>
      </w:r>
      <w:r>
        <w:rPr/>
        <w:t>Maintenance on the </w:t>
      </w:r>
      <w:r>
        <w:rPr>
          <w:spacing w:val="-4"/>
        </w:rPr>
        <w:t>Pratt </w:t>
      </w:r>
      <w:r>
        <w:rPr/>
        <w:t>&amp; </w:t>
      </w:r>
      <w:r>
        <w:rPr>
          <w:spacing w:val="2"/>
        </w:rPr>
        <w:t>Whitney </w:t>
      </w:r>
      <w:r>
        <w:rPr/>
        <w:t>JT8-D engines on the 737-200 </w:t>
      </w:r>
      <w:r>
        <w:rPr>
          <w:spacing w:val="2"/>
        </w:rPr>
        <w:t>aircraft </w:t>
      </w:r>
      <w:r>
        <w:rPr/>
        <w:t>will continue to be performed by General Electric on a time and materials basis. By consolidating its engine repair work and committing to ten years, Southwest believes it will spend substantially less over the course of the contract versus what it would have spent absent this new agreement. </w:t>
      </w:r>
      <w:r>
        <w:rPr>
          <w:spacing w:val="2"/>
        </w:rPr>
        <w:t>(The </w:t>
      </w:r>
      <w:r>
        <w:rPr/>
        <w:t>immediately preceding sentence is a forward-looking statement which involves uncertainties that could result in actual results differing materially from expected results; such uncertainties include the number of unscheduled engine removals, labor </w:t>
      </w:r>
      <w:r>
        <w:rPr>
          <w:spacing w:val="2"/>
        </w:rPr>
        <w:t>rates, </w:t>
      </w:r>
      <w:r>
        <w:rPr/>
        <w:t>and competition in the engine overhaul</w:t>
      </w:r>
      <w:r>
        <w:rPr>
          <w:spacing w:val="5"/>
        </w:rPr>
        <w:t> </w:t>
      </w:r>
      <w:r>
        <w:rPr/>
        <w:t>market.)</w:t>
      </w:r>
    </w:p>
    <w:p>
      <w:pPr>
        <w:pStyle w:val="BodyText"/>
        <w:spacing w:before="9"/>
        <w:rPr>
          <w:sz w:val="20"/>
        </w:rPr>
      </w:pPr>
    </w:p>
    <w:p>
      <w:pPr>
        <w:pStyle w:val="BodyText"/>
        <w:spacing w:line="240" w:lineRule="exact"/>
        <w:ind w:left="119" w:right="740" w:firstLine="182"/>
      </w:pPr>
      <w:r>
        <w:rPr/>
        <w:t>Agency commissions per ASM remained unchanged in 1997, when compared to 1996, as the mix of commissionable sales was relatively unchanged.</w:t>
      </w:r>
    </w:p>
    <w:p>
      <w:pPr>
        <w:pStyle w:val="BodyText"/>
        <w:spacing w:before="9"/>
        <w:rPr>
          <w:sz w:val="20"/>
        </w:rPr>
      </w:pPr>
    </w:p>
    <w:p>
      <w:pPr>
        <w:pStyle w:val="BodyText"/>
        <w:spacing w:line="240" w:lineRule="exact"/>
        <w:ind w:left="119" w:right="203" w:firstLine="187"/>
      </w:pPr>
      <w:r>
        <w:rPr/>
        <w:t>Aircraft rentals per ASM decreased 4.3 percent in 1997, compared to 1996, primarily due to a lower percentage of the aircraft fleet being leased.</w:t>
      </w:r>
    </w:p>
    <w:p>
      <w:pPr>
        <w:pStyle w:val="BodyText"/>
        <w:spacing w:before="9"/>
        <w:rPr>
          <w:sz w:val="20"/>
        </w:rPr>
      </w:pPr>
    </w:p>
    <w:p>
      <w:pPr>
        <w:pStyle w:val="BodyText"/>
        <w:spacing w:line="240" w:lineRule="exact"/>
        <w:ind w:left="119" w:right="203" w:firstLine="182"/>
      </w:pPr>
      <w:r>
        <w:rPr/>
        <w:t>Depreciation expense per ASM decreased 2.2 percent in 1997, compared to 1996, due to an increase in the average life of depreciable assets.</w:t>
      </w:r>
    </w:p>
    <w:p>
      <w:pPr>
        <w:pStyle w:val="BodyText"/>
        <w:spacing w:before="9"/>
        <w:rPr>
          <w:sz w:val="20"/>
        </w:rPr>
      </w:pPr>
    </w:p>
    <w:p>
      <w:pPr>
        <w:pStyle w:val="BodyText"/>
        <w:spacing w:line="240" w:lineRule="exact"/>
        <w:ind w:left="119" w:right="156" w:firstLine="182"/>
      </w:pPr>
      <w:r>
        <w:rPr/>
        <w:t>Other operating expenses per </w:t>
      </w:r>
      <w:r>
        <w:rPr>
          <w:spacing w:val="-3"/>
        </w:rPr>
        <w:t>ASM </w:t>
      </w:r>
      <w:r>
        <w:rPr/>
        <w:t>decreased 4.0 percent in 1997, compared to 1996, primarily due to lower credit card processing costs, insurance </w:t>
      </w:r>
      <w:r>
        <w:rPr>
          <w:spacing w:val="2"/>
        </w:rPr>
        <w:t>rates, </w:t>
      </w:r>
      <w:r>
        <w:rPr/>
        <w:t>passenger costs, communications costs, and favorable results from numerous other Companywide cost reduction</w:t>
      </w:r>
      <w:r>
        <w:rPr>
          <w:spacing w:val="6"/>
        </w:rPr>
        <w:t> </w:t>
      </w:r>
      <w:r>
        <w:rPr/>
        <w:t>efforts.</w:t>
      </w:r>
    </w:p>
    <w:p>
      <w:pPr>
        <w:pStyle w:val="BodyText"/>
        <w:spacing w:before="9"/>
        <w:rPr>
          <w:sz w:val="20"/>
        </w:rPr>
      </w:pPr>
    </w:p>
    <w:p>
      <w:pPr>
        <w:pStyle w:val="BodyText"/>
        <w:spacing w:line="240" w:lineRule="exact"/>
        <w:ind w:left="119" w:right="203" w:firstLine="182"/>
      </w:pPr>
      <w:r>
        <w:rPr>
          <w:i/>
          <w:color w:val="008080"/>
        </w:rPr>
        <w:t>OTHER </w:t>
      </w:r>
      <w:r>
        <w:rPr/>
        <w:t>“Other expenses (income)” included interest expense, capitalized interest, interest income, and nonoperating gains and losses. Interest expense increased $4.2 million in 1997 primarily due to the February 1997 issuance of $100 million of senior unsecured 7 3/8% Debentures due March 1, 2027. Capitalized interest decreased $2.5 million in 1997 as a result of the timing of payments related to aircraft purchase contracts. Interest income for 1997 increased $10.8 million primarily due to higher invested cash balances.</w:t>
      </w:r>
    </w:p>
    <w:p>
      <w:pPr>
        <w:pStyle w:val="BodyText"/>
        <w:spacing w:before="9"/>
        <w:rPr>
          <w:sz w:val="20"/>
        </w:rPr>
      </w:pPr>
    </w:p>
    <w:p>
      <w:pPr>
        <w:pStyle w:val="BodyText"/>
        <w:spacing w:line="240" w:lineRule="exact"/>
        <w:ind w:left="119" w:right="203" w:firstLine="182"/>
      </w:pPr>
      <w:r>
        <w:rPr>
          <w:i/>
          <w:color w:val="008080"/>
        </w:rPr>
        <w:t>INCOME TAXES </w:t>
      </w:r>
      <w:r>
        <w:rPr/>
        <w:t>The provision for income taxes, as a percentage of income before taxes, decreased in 1997 to 38.5 percent from 39.3 percent in 1996. The decrease resulted from lower effective state tax rates, including a reduced California income tax rate.</w:t>
      </w:r>
    </w:p>
    <w:p>
      <w:pPr>
        <w:spacing w:line="258" w:lineRule="exact" w:before="206"/>
        <w:ind w:left="302" w:right="0" w:firstLine="0"/>
        <w:jc w:val="left"/>
        <w:rPr>
          <w:sz w:val="24"/>
        </w:rPr>
      </w:pPr>
      <w:r>
        <w:rPr>
          <w:b/>
          <w:sz w:val="24"/>
        </w:rPr>
        <w:t>1996 COMPARED WITH 1995 </w:t>
      </w:r>
      <w:r>
        <w:rPr>
          <w:sz w:val="24"/>
        </w:rPr>
        <w:t>The Company’s consolidated net income for 1996 was</w:t>
      </w:r>
    </w:p>
    <w:p>
      <w:pPr>
        <w:pStyle w:val="BodyText"/>
        <w:spacing w:line="240" w:lineRule="exact" w:before="15"/>
        <w:ind w:left="119" w:right="833"/>
      </w:pPr>
      <w:r>
        <w:rPr/>
        <w:t>$207.3 million ($.92 per share, diluted), as compared to the corresponding 1995 amount of $182.6 million ($.82 per share, diluted), an increase of 13.5 percent.</w:t>
      </w:r>
    </w:p>
    <w:p>
      <w:pPr>
        <w:pStyle w:val="BodyText"/>
        <w:spacing w:before="10"/>
        <w:rPr>
          <w:sz w:val="20"/>
        </w:rPr>
      </w:pPr>
    </w:p>
    <w:p>
      <w:pPr>
        <w:pStyle w:val="BodyText"/>
        <w:spacing w:line="240" w:lineRule="exact"/>
        <w:ind w:left="120" w:right="203" w:firstLine="182"/>
      </w:pPr>
      <w:r>
        <w:rPr>
          <w:i/>
          <w:color w:val="008080"/>
        </w:rPr>
        <w:t>OPERATING REVENUES </w:t>
      </w:r>
      <w:r>
        <w:rPr/>
        <w:t>Consolidated operating revenues increased by 18.6 percent in 1996 to $3,406.2 million, compared to $2,872.8 million for 1995. This increase in 1996 operating revenues was derived primarily from an 18.4 percent increase in passenger revenues. RPMs increased 16.1 percent in 1996, compared to a</w:t>
      </w:r>
    </w:p>
    <w:p>
      <w:pPr>
        <w:pStyle w:val="BodyText"/>
        <w:spacing w:line="240" w:lineRule="exact"/>
        <w:ind w:left="120" w:right="141"/>
        <w:jc w:val="both"/>
      </w:pPr>
      <w:r>
        <w:rPr/>
        <w:t>12.6 percent increase in ASMs, resulting in an increase in load factor from 64.5 percent in 1995 to 66.5 percent in 1996. The 1996 ASM growth resulted from the net addition of 19 aircraft during the year: 22 additions and three retirements.</w:t>
      </w:r>
    </w:p>
    <w:p>
      <w:pPr>
        <w:spacing w:after="0" w:line="240" w:lineRule="exact"/>
        <w:jc w:val="both"/>
        <w:sectPr>
          <w:footerReference w:type="default" r:id="rId11"/>
          <w:pgSz w:w="12240" w:h="15840"/>
          <w:pgMar w:footer="790" w:header="1592" w:top="2120" w:bottom="980" w:left="1320" w:right="1320"/>
          <w:pgNumType w:start="30"/>
        </w:sectPr>
      </w:pPr>
    </w:p>
    <w:p>
      <w:pPr>
        <w:pStyle w:val="BodyText"/>
        <w:spacing w:before="6"/>
        <w:rPr>
          <w:sz w:val="9"/>
        </w:rPr>
      </w:pPr>
    </w:p>
    <w:p>
      <w:pPr>
        <w:pStyle w:val="BodyText"/>
        <w:spacing w:line="240" w:lineRule="exact" w:before="125"/>
        <w:ind w:left="119" w:right="203" w:firstLine="182"/>
      </w:pPr>
      <w:r>
        <w:rPr/>
        <w:t>In December 1995, because of the impasse in the federal budget, Congress allowed the ten percent federal excise tax to lapse. This benefited Southwest’s revenues until late August 1996 when Congress reimposed the tax through December 31, 1996. The reimposition of the excise tax negatively impacted Revenue trends in third and fourth quarters 1996, as compared to revenue trends in the first half of 1996.</w:t>
      </w:r>
    </w:p>
    <w:p>
      <w:pPr>
        <w:pStyle w:val="BodyText"/>
        <w:spacing w:before="9"/>
        <w:rPr>
          <w:sz w:val="20"/>
        </w:rPr>
      </w:pPr>
    </w:p>
    <w:p>
      <w:pPr>
        <w:pStyle w:val="BodyText"/>
        <w:spacing w:line="240" w:lineRule="exact"/>
        <w:ind w:left="119" w:firstLine="182"/>
      </w:pPr>
      <w:r>
        <w:rPr/>
        <w:t>In celebration of the Company’s 25th Anniversary, Southwest launched a fare sale in July 1996 for travel between August 19 and October 31, 1996. The sale was extremely popular and resulted in record advance bookings, with more than four and a half million seats sold. Although July and early August load factors and revenues were negatively impacted by telephone line congestion experienced during the sale, revenues for September and October 1996 were positively impacted with very heavy passenger volumes.</w:t>
      </w:r>
    </w:p>
    <w:p>
      <w:pPr>
        <w:pStyle w:val="BodyText"/>
        <w:spacing w:line="258" w:lineRule="exact" w:before="206"/>
        <w:ind w:left="302"/>
      </w:pPr>
      <w:r>
        <w:rPr/>
        <w:t>Freight revenues in 1996 were $80.0 million, compared to $65.8 million in 1995. The</w:t>
      </w:r>
    </w:p>
    <w:p>
      <w:pPr>
        <w:pStyle w:val="BodyText"/>
        <w:spacing w:line="240" w:lineRule="exact" w:before="14"/>
        <w:ind w:left="119" w:right="203"/>
      </w:pPr>
      <w:r>
        <w:rPr/>
        <w:t>21.5 percent increase in freight revenues exceeded the 12.6 percent increase in ASMs for the same period primarily due to increased air freight volumes and United States mail services.</w:t>
      </w:r>
    </w:p>
    <w:p>
      <w:pPr>
        <w:pStyle w:val="BodyText"/>
        <w:spacing w:line="258" w:lineRule="exact" w:before="206"/>
        <w:ind w:left="302"/>
      </w:pPr>
      <w:r>
        <w:rPr/>
        <w:t>Other revenues increased by 23.3 percent in 1996 to $56.9 million, compared to</w:t>
      </w:r>
    </w:p>
    <w:p>
      <w:pPr>
        <w:pStyle w:val="BodyText"/>
        <w:spacing w:line="258" w:lineRule="exact"/>
        <w:ind w:left="119"/>
      </w:pPr>
      <w:r>
        <w:rPr/>
        <w:t>$46.2 million in 1995. This increase primarily was due to increased charter revenue.</w:t>
      </w:r>
    </w:p>
    <w:p>
      <w:pPr>
        <w:pStyle w:val="BodyText"/>
        <w:spacing w:before="7"/>
        <w:rPr>
          <w:sz w:val="20"/>
        </w:rPr>
      </w:pPr>
    </w:p>
    <w:p>
      <w:pPr>
        <w:pStyle w:val="BodyText"/>
        <w:spacing w:line="240" w:lineRule="exact"/>
        <w:ind w:left="119" w:right="136" w:firstLine="182"/>
      </w:pPr>
      <w:r>
        <w:rPr>
          <w:i/>
          <w:color w:val="008080"/>
        </w:rPr>
        <w:t>OPERATING EXPENSES </w:t>
      </w:r>
      <w:r>
        <w:rPr/>
        <w:t>Consolidated operating expenses for 1996 were $3,055.3 million, compared to $2,559.2 million in 1995, an increase of 19.4 percent, compared to the 12.6 percent increase in capacity. Operating expenses per ASM increased 6.1 percent in 1996 compared to 1995, primarily due to significantly higher jet fuel prices along with a 4.3 cent per gallon federal jet fuel tax implemented October 1, 1995.</w:t>
      </w:r>
    </w:p>
    <w:p>
      <w:pPr>
        <w:pStyle w:val="BodyText"/>
        <w:spacing w:line="240" w:lineRule="exact"/>
        <w:ind w:left="119" w:right="203"/>
      </w:pPr>
      <w:r>
        <w:rPr/>
        <w:t>Excluding jet fuel costs and related taxes, operating expenses per ASM were up 3.1 percent in 1996 compared to 1995.</w:t>
      </w:r>
    </w:p>
    <w:p>
      <w:pPr>
        <w:pStyle w:val="BodyText"/>
        <w:spacing w:before="10"/>
        <w:rPr>
          <w:sz w:val="20"/>
        </w:rPr>
      </w:pPr>
    </w:p>
    <w:p>
      <w:pPr>
        <w:pStyle w:val="BodyText"/>
        <w:spacing w:line="240" w:lineRule="exact"/>
        <w:ind w:left="119" w:right="208" w:firstLine="182"/>
      </w:pPr>
      <w:r>
        <w:rPr/>
        <w:t>Salaries, wages, and benefits per </w:t>
      </w:r>
      <w:r>
        <w:rPr>
          <w:spacing w:val="-3"/>
        </w:rPr>
        <w:t>ASM </w:t>
      </w:r>
      <w:r>
        <w:rPr/>
        <w:t>increased 2.3 percent in 1996. </w:t>
      </w:r>
      <w:r>
        <w:rPr>
          <w:spacing w:val="3"/>
        </w:rPr>
        <w:t>This </w:t>
      </w:r>
      <w:r>
        <w:rPr/>
        <w:t>increase resulted primarily from a 16.2 percent increase in 1996 average headcount, which outpaced the 1996 capacity (ASM) increase of 12.6 percent, and offset a .8 percent decrease in average salary and benefits cost per Employee. </w:t>
      </w:r>
      <w:r>
        <w:rPr>
          <w:spacing w:val="2"/>
        </w:rPr>
        <w:t>The </w:t>
      </w:r>
      <w:r>
        <w:rPr/>
        <w:t>16.2 percent increase in average headcount primarily was the result of a 24.3 percent increase in Reservations Sales </w:t>
      </w:r>
      <w:r>
        <w:rPr>
          <w:spacing w:val="-4"/>
        </w:rPr>
        <w:t>Agents </w:t>
      </w:r>
      <w:r>
        <w:rPr/>
        <w:t>in 1996. Excluding Reservations Sales </w:t>
      </w:r>
      <w:r>
        <w:rPr>
          <w:spacing w:val="-4"/>
        </w:rPr>
        <w:t>Agents, </w:t>
      </w:r>
      <w:r>
        <w:rPr/>
        <w:t>total average headcount increased 13.1 percent, in </w:t>
      </w:r>
      <w:r>
        <w:rPr>
          <w:spacing w:val="2"/>
        </w:rPr>
        <w:t>line </w:t>
      </w:r>
      <w:r>
        <w:rPr/>
        <w:t>with</w:t>
      </w:r>
      <w:r>
        <w:rPr>
          <w:spacing w:val="13"/>
        </w:rPr>
        <w:t> </w:t>
      </w:r>
      <w:r>
        <w:rPr/>
        <w:t>capacity.</w:t>
      </w:r>
    </w:p>
    <w:p>
      <w:pPr>
        <w:pStyle w:val="BodyText"/>
        <w:spacing w:line="258" w:lineRule="exact" w:before="206"/>
        <w:ind w:left="302"/>
      </w:pPr>
      <w:r>
        <w:rPr/>
        <w:t>Fuel and oil expenses per ASM increased 17.8 percent in 1996, primarily due to an</w:t>
      </w:r>
    </w:p>
    <w:p>
      <w:pPr>
        <w:pStyle w:val="BodyText"/>
        <w:spacing w:line="240" w:lineRule="exact" w:before="15"/>
        <w:ind w:left="119" w:right="203"/>
      </w:pPr>
      <w:r>
        <w:rPr/>
        <w:t>18.6 percent increase in the average jet fuel cost per gallon from 1995. The average price paid for jet fuel in 1996 was $.6547 compared to $.5522 in 1995. During fourth quarter 1996, the average cost per gallon increased 25.0 percent to $.7323 compared to $.5859 in fourth quarter 1995.</w:t>
      </w:r>
    </w:p>
    <w:p>
      <w:pPr>
        <w:pStyle w:val="BodyText"/>
        <w:spacing w:before="10"/>
        <w:rPr>
          <w:sz w:val="20"/>
        </w:rPr>
      </w:pPr>
    </w:p>
    <w:p>
      <w:pPr>
        <w:pStyle w:val="BodyText"/>
        <w:spacing w:line="240" w:lineRule="exact"/>
        <w:ind w:left="119" w:right="136" w:firstLine="182"/>
      </w:pPr>
      <w:r>
        <w:rPr/>
        <w:t>Maintenance materials and repairs per ASM increased 3.3 percent in 1996, compared to 1995, primarily as a result of increased scheduled airframe inspections during 1996.</w:t>
      </w:r>
    </w:p>
    <w:p>
      <w:pPr>
        <w:pStyle w:val="BodyText"/>
        <w:spacing w:before="9"/>
        <w:rPr>
          <w:sz w:val="20"/>
        </w:rPr>
      </w:pPr>
    </w:p>
    <w:p>
      <w:pPr>
        <w:pStyle w:val="BodyText"/>
        <w:spacing w:line="240" w:lineRule="exact" w:before="1"/>
        <w:ind w:left="119" w:right="645" w:firstLine="182"/>
        <w:jc w:val="both"/>
      </w:pPr>
      <w:r>
        <w:rPr/>
        <w:t>Agency commissions per ASM increased 2.9 percent in 1996, compared to 1995, which was slightly slower than the 5.2 percent increase in passenger revenues per ASM.</w:t>
      </w:r>
    </w:p>
    <w:p>
      <w:pPr>
        <w:spacing w:after="0" w:line="240" w:lineRule="exact"/>
        <w:jc w:val="both"/>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firstLine="182"/>
      </w:pPr>
      <w:r>
        <w:rPr/>
        <w:t>Landing fees and other rentals per ASM increased 4.5 percent in 1996, compared to 1995, which included an airport credit of $4.9 million.</w:t>
      </w:r>
    </w:p>
    <w:p>
      <w:pPr>
        <w:pStyle w:val="BodyText"/>
        <w:spacing w:before="9"/>
        <w:rPr>
          <w:sz w:val="20"/>
        </w:rPr>
      </w:pPr>
    </w:p>
    <w:p>
      <w:pPr>
        <w:pStyle w:val="BodyText"/>
        <w:spacing w:line="240" w:lineRule="exact"/>
        <w:ind w:left="119" w:right="406" w:firstLine="182"/>
      </w:pPr>
      <w:r>
        <w:rPr/>
        <w:t>Depreciation expense per ASM increased 4.7 percent in 1996, compared to 1995, due to an increase in the percentage of owned aircraft.</w:t>
      </w:r>
    </w:p>
    <w:p>
      <w:pPr>
        <w:pStyle w:val="BodyText"/>
        <w:spacing w:before="9"/>
        <w:rPr>
          <w:sz w:val="20"/>
        </w:rPr>
      </w:pPr>
    </w:p>
    <w:p>
      <w:pPr>
        <w:pStyle w:val="BodyText"/>
        <w:spacing w:line="240" w:lineRule="exact"/>
        <w:ind w:left="119" w:right="119" w:firstLine="182"/>
      </w:pPr>
      <w:r>
        <w:rPr/>
        <w:t>Other operating expenses per ASM increased 9.4 percent in 1996, compared to 1995. This increase was primarily due to increased advertising costs resulting from the expansion into Florida and Providence, Rhode Island, as well as a new advertising campaign; the 4.3 cent per gallon tax on commercial aviation jet fuel purchased for use in domestic operations, which became effective October 1, 1995; and increased airport security costs. The additional fuel tax increased 1996 and 1995 “other operating expenses” by $32.7 million and $7.4 million, respectively.</w:t>
      </w:r>
    </w:p>
    <w:p>
      <w:pPr>
        <w:pStyle w:val="BodyText"/>
        <w:spacing w:before="9"/>
        <w:rPr>
          <w:sz w:val="20"/>
        </w:rPr>
      </w:pPr>
    </w:p>
    <w:p>
      <w:pPr>
        <w:pStyle w:val="BodyText"/>
        <w:spacing w:line="240" w:lineRule="exact"/>
        <w:ind w:left="119" w:right="203" w:firstLine="182"/>
      </w:pPr>
      <w:r>
        <w:rPr>
          <w:i/>
          <w:color w:val="008080"/>
        </w:rPr>
        <w:t>OTHER </w:t>
      </w:r>
      <w:r>
        <w:rPr/>
        <w:t>“Other expenses (income)” included interest expense, capitalized interest, interest income, and nonoperating gains and losses. Capitalized interest decreased</w:t>
      </w:r>
    </w:p>
    <w:p>
      <w:pPr>
        <w:pStyle w:val="BodyText"/>
        <w:spacing w:line="240" w:lineRule="exact"/>
        <w:ind w:left="119" w:right="203"/>
      </w:pPr>
      <w:r>
        <w:rPr/>
        <w:t>$9.1 million in 1996 as a result of certain amendments to aircraft purchase contracts during third quarter 1995 that affected the timing of payments. Interest income for 1996 increased $5.7 million primarily due to higher invested cash balances.</w:t>
      </w:r>
    </w:p>
    <w:p>
      <w:pPr>
        <w:pStyle w:val="BodyText"/>
        <w:spacing w:before="10"/>
        <w:rPr>
          <w:sz w:val="20"/>
        </w:rPr>
      </w:pPr>
    </w:p>
    <w:p>
      <w:pPr>
        <w:pStyle w:val="BodyText"/>
        <w:spacing w:line="240" w:lineRule="exact"/>
        <w:ind w:left="119" w:right="203" w:firstLine="182"/>
      </w:pPr>
      <w:r>
        <w:rPr>
          <w:i/>
          <w:color w:val="008080"/>
        </w:rPr>
        <w:t>INCOME TAXES </w:t>
      </w:r>
      <w:r>
        <w:rPr/>
        <w:t>The provision for income taxes, as a percentage of income before taxes, decreased in 1996 to 39.3 percent from 40.2 percent in 1995. The decrease primarily was the result of lower effective state tax rates.</w:t>
      </w:r>
    </w:p>
    <w:p>
      <w:pPr>
        <w:pStyle w:val="Heading3"/>
        <w:spacing w:before="206"/>
      </w:pPr>
      <w:r>
        <w:rPr>
          <w:color w:val="008080"/>
        </w:rPr>
        <w:t>LIQUIDITY AND CAPITAL RESOURCES</w:t>
      </w:r>
    </w:p>
    <w:p>
      <w:pPr>
        <w:pStyle w:val="BodyText"/>
        <w:spacing w:before="6"/>
        <w:rPr>
          <w:b/>
          <w:sz w:val="20"/>
        </w:rPr>
      </w:pPr>
    </w:p>
    <w:p>
      <w:pPr>
        <w:pStyle w:val="BodyText"/>
        <w:spacing w:line="240" w:lineRule="exact"/>
        <w:ind w:left="119" w:right="243" w:firstLine="182"/>
      </w:pPr>
      <w:r>
        <w:rPr/>
        <w:t>Cash provided from operations was $610.6 million in 1997, compared to $615.2 million in 1996. (Operating cash flows in 1996 were inflated by $79.4 million due to a one-time deferral allowed by the federal government for payment of excise taxes. On a pro forma basis, operating cash flows would have been $690.0 million in 1997 versus</w:t>
      </w:r>
    </w:p>
    <w:p>
      <w:pPr>
        <w:pStyle w:val="BodyText"/>
        <w:spacing w:line="243" w:lineRule="exact"/>
        <w:ind w:left="119"/>
      </w:pPr>
      <w:r>
        <w:rPr/>
        <w:t>$535.8 million in 1996.)</w:t>
      </w:r>
    </w:p>
    <w:p>
      <w:pPr>
        <w:pStyle w:val="BodyText"/>
        <w:spacing w:before="7"/>
        <w:rPr>
          <w:sz w:val="20"/>
        </w:rPr>
      </w:pPr>
    </w:p>
    <w:p>
      <w:pPr>
        <w:pStyle w:val="BodyText"/>
        <w:spacing w:line="240" w:lineRule="exact"/>
        <w:ind w:left="119" w:right="136" w:firstLine="182"/>
      </w:pPr>
      <w:r>
        <w:rPr/>
        <w:t>During 1997, additional funds of $98.8 million were generated from the February issuance of $100 million of senior unsecured 7 3/8% Debentures due March 1, 2027. These proceeds primarily were used to finance aircraft-related capital expenditures and to provide working capital.</w:t>
      </w:r>
    </w:p>
    <w:p>
      <w:pPr>
        <w:pStyle w:val="BodyText"/>
        <w:spacing w:before="9"/>
        <w:rPr>
          <w:sz w:val="20"/>
        </w:rPr>
      </w:pPr>
    </w:p>
    <w:p>
      <w:pPr>
        <w:pStyle w:val="BodyText"/>
        <w:spacing w:line="240" w:lineRule="exact"/>
        <w:ind w:left="119" w:right="203" w:firstLine="182"/>
      </w:pPr>
      <w:r>
        <w:rPr/>
        <w:t>During 1997, capital expenditures of $688.9 million primarily were for the purchase of 15 new 737-300 aircraft and three new 737-700 aircraft along with progress payments for future aircraft deliveries. At December 31, 1997, capital commitments of the Company primarily consisted of scheduled aircraft acquisitions and related flight equipment.</w:t>
      </w:r>
    </w:p>
    <w:p>
      <w:pPr>
        <w:pStyle w:val="BodyText"/>
        <w:spacing w:before="9"/>
        <w:rPr>
          <w:sz w:val="20"/>
        </w:rPr>
      </w:pPr>
    </w:p>
    <w:p>
      <w:pPr>
        <w:pStyle w:val="BodyText"/>
        <w:spacing w:line="240" w:lineRule="exact"/>
        <w:ind w:left="119" w:right="203" w:firstLine="182"/>
      </w:pPr>
      <w:r>
        <w:rPr/>
        <w:t>As of December 31, 1997, Southwest had 126 new 737-700s on firm order, including 22 to be delivered in 1998, with options to purchase another 62. Aggregate funding required for firm commitments approximated $3,109.8 million through the year 2004, of which $565.7 million related to 1998. See Note 2 to the Consolidated Financial Statements for further information.</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firstLine="182"/>
      </w:pPr>
      <w:r>
        <w:rPr/>
        <w:t>As of December 31, 1997, the Company had authority from its Board of Directors to purchase up to 2,500,000 shares of its common stock from time to time on the open market. No shares have been purchased since 1990.</w:t>
      </w:r>
    </w:p>
    <w:p>
      <w:pPr>
        <w:pStyle w:val="BodyText"/>
        <w:spacing w:before="9"/>
        <w:rPr>
          <w:sz w:val="20"/>
        </w:rPr>
      </w:pPr>
    </w:p>
    <w:p>
      <w:pPr>
        <w:pStyle w:val="BodyText"/>
        <w:spacing w:line="240" w:lineRule="exact"/>
        <w:ind w:left="119" w:right="203" w:firstLine="182"/>
      </w:pPr>
      <w:r>
        <w:rPr/>
        <w:t>The Company has various options available to meet its capital and operating commitments, including cash on hand at December 31, 1997, of $623.3 million, internally generated funds, and a revolving credit line with a group of banks of up to</w:t>
      </w:r>
    </w:p>
    <w:p>
      <w:pPr>
        <w:pStyle w:val="BodyText"/>
        <w:spacing w:line="240" w:lineRule="exact"/>
        <w:ind w:left="119" w:right="203"/>
      </w:pPr>
      <w:r>
        <w:rPr/>
        <w:t>$475 million (none of which had been drawn at December 31, 1997). In addition, the Company will also consider various borrowing or leasing options to maximize earnings and supplement cash requirements.</w:t>
      </w:r>
    </w:p>
    <w:p>
      <w:pPr>
        <w:pStyle w:val="BodyText"/>
        <w:spacing w:before="10"/>
        <w:rPr>
          <w:sz w:val="20"/>
        </w:rPr>
      </w:pPr>
    </w:p>
    <w:p>
      <w:pPr>
        <w:pStyle w:val="BodyText"/>
        <w:spacing w:line="240" w:lineRule="exact"/>
        <w:ind w:left="119" w:right="189" w:firstLine="182"/>
        <w:jc w:val="both"/>
      </w:pPr>
      <w:r>
        <w:rPr/>
        <w:t>The Company currently has outstanding shelf registrations for the issuance of $414.4 million of public debt securities, which it currently intends to utilize for aircraft financing in 1998 and 1999.</w:t>
      </w:r>
    </w:p>
    <w:p>
      <w:pPr>
        <w:pStyle w:val="Heading3"/>
        <w:spacing w:before="206"/>
      </w:pPr>
      <w:r>
        <w:rPr>
          <w:color w:val="008080"/>
        </w:rPr>
        <w:t>MARKET RISK</w:t>
      </w:r>
    </w:p>
    <w:p>
      <w:pPr>
        <w:pStyle w:val="BodyText"/>
        <w:spacing w:before="6"/>
        <w:rPr>
          <w:b/>
          <w:sz w:val="20"/>
        </w:rPr>
      </w:pPr>
    </w:p>
    <w:p>
      <w:pPr>
        <w:pStyle w:val="BodyText"/>
        <w:spacing w:line="240" w:lineRule="exact"/>
        <w:ind w:left="119" w:right="203" w:firstLine="182"/>
      </w:pPr>
      <w:r>
        <w:rPr/>
        <w:t>In 1997, the Securities and Exchange Commission issued new rules (Item 305 of Regulation S-K), which require disclosure of material risks, as defined in Item 305, related to market risk sensitive financial instruments. As defined, Southwest currently has market risk sensitive instruments related to jet fuel prices and interest rates.</w:t>
      </w:r>
    </w:p>
    <w:p>
      <w:pPr>
        <w:pStyle w:val="BodyText"/>
        <w:spacing w:before="9"/>
        <w:rPr>
          <w:sz w:val="20"/>
        </w:rPr>
      </w:pPr>
    </w:p>
    <w:p>
      <w:pPr>
        <w:pStyle w:val="BodyText"/>
        <w:spacing w:line="240" w:lineRule="exact"/>
        <w:ind w:left="119" w:right="175" w:firstLine="182"/>
      </w:pPr>
      <w:r>
        <w:rPr/>
        <w:t>Airline operators are inherently dependent upon energy to operate and, therefore, are impacted by changes in jet fuel prices. Jet fuel consumed in 1997 represented approximately 15.0 percent of Southwest’s operating expenses. Southwest endeavors to acquire jet fuel at the lowest prevailing prices</w:t>
      </w:r>
      <w:r>
        <w:rPr>
          <w:spacing w:val="31"/>
        </w:rPr>
        <w:t> </w:t>
      </w:r>
      <w:r>
        <w:rPr/>
        <w:t>possible.</w:t>
      </w:r>
    </w:p>
    <w:p>
      <w:pPr>
        <w:pStyle w:val="BodyText"/>
        <w:spacing w:before="9"/>
        <w:rPr>
          <w:sz w:val="20"/>
        </w:rPr>
      </w:pPr>
    </w:p>
    <w:p>
      <w:pPr>
        <w:pStyle w:val="BodyText"/>
        <w:spacing w:line="240" w:lineRule="exact"/>
        <w:ind w:left="119" w:right="141" w:firstLine="182"/>
      </w:pPr>
      <w:r>
        <w:rPr>
          <w:spacing w:val="2"/>
        </w:rPr>
        <w:t>The </w:t>
      </w:r>
      <w:r>
        <w:rPr/>
        <w:t>Company hedges its exposure to jet fuel price market risk only on a conservative, limited basis. </w:t>
      </w:r>
      <w:r>
        <w:rPr>
          <w:spacing w:val="2"/>
        </w:rPr>
        <w:t>The </w:t>
      </w:r>
      <w:r>
        <w:rPr/>
        <w:t>fair value of outstanding derivative commodity instruments (primarily purchased crude oil call options) related to the Company’s jet fuel price market risk during 1997 and at December 31, 1997 was immaterial. </w:t>
      </w:r>
      <w:r>
        <w:rPr>
          <w:spacing w:val="2"/>
        </w:rPr>
        <w:t>For </w:t>
      </w:r>
      <w:r>
        <w:rPr/>
        <w:t>further discussion, see Note 1 to the Consolidated </w:t>
      </w:r>
      <w:r>
        <w:rPr>
          <w:spacing w:val="3"/>
        </w:rPr>
        <w:t>Financial</w:t>
      </w:r>
      <w:r>
        <w:rPr>
          <w:spacing w:val="-7"/>
        </w:rPr>
        <w:t> </w:t>
      </w:r>
      <w:r>
        <w:rPr/>
        <w:t>Statements.</w:t>
      </w:r>
    </w:p>
    <w:p>
      <w:pPr>
        <w:pStyle w:val="BodyText"/>
        <w:spacing w:before="9"/>
        <w:rPr>
          <w:sz w:val="20"/>
        </w:rPr>
      </w:pPr>
    </w:p>
    <w:p>
      <w:pPr>
        <w:pStyle w:val="BodyText"/>
        <w:spacing w:line="240" w:lineRule="exact"/>
        <w:ind w:left="119" w:right="217" w:firstLine="182"/>
      </w:pPr>
      <w:r>
        <w:rPr/>
        <w:t>Airline operators are also inherently capital intensive, as the vast majority of the Company’s assets are aircraft, which are long lived. The Company’s strategy is to capitalize itself conservatively and grow capacity steadily and profitably. While Southwest does use financial leverage, it has maintained a strong balance sheet and “A-” or equivalent credit ratings on its senior unsecured debt with three rating agencies (Standard &amp; Poor’s, Moody’s, and Duff &amp; Phelps).</w:t>
      </w:r>
    </w:p>
    <w:p>
      <w:pPr>
        <w:pStyle w:val="BodyText"/>
        <w:spacing w:before="9"/>
        <w:rPr>
          <w:sz w:val="20"/>
        </w:rPr>
      </w:pPr>
    </w:p>
    <w:p>
      <w:pPr>
        <w:pStyle w:val="BodyText"/>
        <w:spacing w:line="240" w:lineRule="exact"/>
        <w:ind w:left="119" w:right="216" w:firstLine="182"/>
      </w:pPr>
      <w:r>
        <w:rPr/>
        <w:t>As disclosed in Note 4 to the Consolidated Financial Statements, the Company has outstanding unsecured debt of $600 million at December 31, 1997, of which only $500 million is long-term. This long-term debt represents only 14.5 percent of total noncurrent assets at December 31, 1997. The Company has an average maturity of 11 years for the long-term debt at fixed rates averaging 7.8 percent, which is below average rates prevailing over the last ten years.</w:t>
      </w:r>
    </w:p>
    <w:p>
      <w:pPr>
        <w:pStyle w:val="BodyText"/>
        <w:spacing w:before="9"/>
        <w:rPr>
          <w:sz w:val="20"/>
        </w:rPr>
      </w:pPr>
    </w:p>
    <w:p>
      <w:pPr>
        <w:pStyle w:val="BodyText"/>
        <w:spacing w:line="240" w:lineRule="exact"/>
        <w:ind w:left="119" w:right="406" w:firstLine="182"/>
      </w:pPr>
      <w:r>
        <w:rPr/>
        <w:t>At December 31, 1997, the Company operated 119 aircraft under operating and capital leases at rates that are substantially fixed. As defined in Item 305, leases are not market risk sensitive financial instruments and, therefore, are not included in the</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pPr>
      <w:r>
        <w:rPr/>
        <w:t>interest rate sensitivity analysis below. Commitments related to leases are disclosed in Note 5 to the Consolidated Financial Statements.</w:t>
      </w:r>
    </w:p>
    <w:p>
      <w:pPr>
        <w:pStyle w:val="BodyText"/>
        <w:spacing w:before="9"/>
        <w:rPr>
          <w:sz w:val="20"/>
        </w:rPr>
      </w:pPr>
    </w:p>
    <w:p>
      <w:pPr>
        <w:pStyle w:val="BodyText"/>
        <w:spacing w:line="240" w:lineRule="exact"/>
        <w:ind w:left="119" w:right="260" w:firstLine="182"/>
      </w:pPr>
      <w:r>
        <w:rPr/>
        <w:t>The Company does not have significant exposure to changing interest rates on its long-term debt because the interest rates are fixed and the financial leverage is modest. Additionally, the Company does not have significant exposure to changing interest rates on invested cash, which was $623 million at December 31, 1997. The Company invests available cash in certificates of deposit and investment grade commercial paper that have maturities of three months or less. As a result, the interest rate market risk implicit in these investments at December 31, 1997, is low, as the investments mature within three months. The Company has not undertaken any additional actions to cover interest rate market risk and is not a party to any other interest rate market risk management activities.</w:t>
      </w:r>
    </w:p>
    <w:p>
      <w:pPr>
        <w:pStyle w:val="BodyText"/>
        <w:spacing w:before="9"/>
        <w:rPr>
          <w:sz w:val="20"/>
        </w:rPr>
      </w:pPr>
    </w:p>
    <w:p>
      <w:pPr>
        <w:pStyle w:val="BodyText"/>
        <w:spacing w:line="240" w:lineRule="exact"/>
        <w:ind w:left="119" w:right="203" w:firstLine="182"/>
      </w:pPr>
      <w:r>
        <w:rPr/>
        <w:t>The Company does not purchase or hold any derivative financial instruments for trading purposes.</w:t>
      </w:r>
    </w:p>
    <w:p>
      <w:pPr>
        <w:pStyle w:val="BodyText"/>
        <w:spacing w:before="9"/>
        <w:rPr>
          <w:sz w:val="20"/>
        </w:rPr>
      </w:pPr>
    </w:p>
    <w:p>
      <w:pPr>
        <w:pStyle w:val="BodyText"/>
        <w:spacing w:line="240" w:lineRule="exact"/>
        <w:ind w:left="119" w:right="203" w:firstLine="182"/>
      </w:pPr>
      <w:r>
        <w:rPr>
          <w:i/>
          <w:color w:val="008080"/>
        </w:rPr>
        <w:t>INTEREST RATE SENSITIVITY </w:t>
      </w:r>
      <w:r>
        <w:rPr/>
        <w:t>A ten percent change in market interest rates over the next year would not impact the Company’s earnings or cash flow as the interest rates on the Company’s long-term debt are fixed and its cash investments are short- term. A ten percent change in market interest rates would not have a material effect on the fair value of the Company’s publicly traded long-term debt or its short-term cash investments.</w:t>
      </w:r>
    </w:p>
    <w:p>
      <w:pPr>
        <w:pStyle w:val="Heading3"/>
        <w:spacing w:before="206"/>
      </w:pPr>
      <w:r>
        <w:rPr>
          <w:color w:val="008080"/>
        </w:rPr>
        <w:t>IMPACT OF THE YEAR 2000</w:t>
      </w:r>
    </w:p>
    <w:p>
      <w:pPr>
        <w:pStyle w:val="BodyText"/>
        <w:spacing w:before="6"/>
        <w:rPr>
          <w:b/>
          <w:sz w:val="20"/>
        </w:rPr>
      </w:pPr>
    </w:p>
    <w:p>
      <w:pPr>
        <w:pStyle w:val="BodyText"/>
        <w:spacing w:line="240" w:lineRule="exact"/>
        <w:ind w:left="119" w:right="203" w:firstLine="182"/>
      </w:pPr>
      <w:r>
        <w:rPr/>
        <w:t>Based on a recently completed assessment, the Company has determined that it will be required to modify, upgrade, or replace significant portions of its internal software, including financial, reservations, maintenance, and human resources related software, so that its computer systems will properly utilize dates beyond December 31, 1999. As of December 31, 1997, the Company has commenced its year 2000 remediation program, has secured substantially all the required resources, and expects to substantially complete its internal year 2000 efforts by March 31, 1999. The Company believes that by completing the planned remediation program, the year 2000 issue will not adversely impact the Company’s operations or operating results. However, if the program is not completed, or not completed timely, the year 2000 issue could have a material impact on the operations of the Company.</w:t>
      </w:r>
    </w:p>
    <w:p>
      <w:pPr>
        <w:pStyle w:val="BodyText"/>
        <w:spacing w:before="9"/>
        <w:rPr>
          <w:sz w:val="20"/>
        </w:rPr>
      </w:pPr>
    </w:p>
    <w:p>
      <w:pPr>
        <w:pStyle w:val="BodyText"/>
        <w:spacing w:line="240" w:lineRule="exact"/>
        <w:ind w:left="119" w:right="136" w:firstLine="182"/>
      </w:pPr>
      <w:r>
        <w:rPr/>
        <w:t>In addition, the Company has contacted its critical suppliers and other entities to determine the extent to which the Company’s interface systems are vulnerable to those third parties’ failure to remediate their own year 2000 issues. While the Company has not been informed of any material risks associated with these entities, there is no guarantee that the systems of these critical suppliers or other entities, including the Federal Aviation Administration, on which the Company relies, will be timely converted and will not have an adverse effect on the Company’s systems or operations.</w:t>
      </w:r>
    </w:p>
    <w:p>
      <w:pPr>
        <w:pStyle w:val="BodyText"/>
        <w:spacing w:before="9"/>
        <w:rPr>
          <w:sz w:val="20"/>
        </w:rPr>
      </w:pPr>
    </w:p>
    <w:p>
      <w:pPr>
        <w:pStyle w:val="BodyText"/>
        <w:spacing w:line="240" w:lineRule="exact"/>
        <w:ind w:left="119" w:right="203" w:firstLine="182"/>
      </w:pPr>
      <w:r>
        <w:rPr/>
        <w:t>The Company has expensed $4.0 million of costs incurred to date related to the year 2000 issue. The total remaining cost of the year 2000 project is presently estimated at</w:t>
      </w:r>
    </w:p>
    <w:p>
      <w:pPr>
        <w:pStyle w:val="BodyText"/>
        <w:spacing w:line="240" w:lineRule="exact"/>
        <w:ind w:left="119" w:right="203"/>
      </w:pPr>
      <w:r>
        <w:rPr/>
        <w:t>$15 million, which will be expensed as incurred. These amounts include only costs directly related to resolving the year 2000 issue. The costs of the project and the date on which the Company believes it will complete the year 2000 modifications are based</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19" w:right="203"/>
      </w:pPr>
      <w:r>
        <w:rPr/>
        <w:t>on management’s best estimates, which were derived utilizing numerous assumptions of future events, including the continued availability of certain </w:t>
      </w:r>
      <w:r>
        <w:rPr>
          <w:spacing w:val="2"/>
        </w:rPr>
        <w:t>resources. </w:t>
      </w:r>
      <w:r>
        <w:rPr/>
        <w:t>However, there can be no guarantee that these estimates will be achieved and actual results could differ materially from those anticipated. Specific factors that might cause such material differences include, but are not limited to, the availability and cost of personnel trained in this area and the ability to locate and correct all relevant computer</w:t>
      </w:r>
      <w:r>
        <w:rPr>
          <w:spacing w:val="48"/>
        </w:rPr>
        <w:t> </w:t>
      </w:r>
      <w:r>
        <w:rPr/>
        <w:t>codes.</w:t>
      </w:r>
    </w:p>
    <w:p>
      <w:pPr>
        <w:spacing w:after="0" w:line="240" w:lineRule="exact"/>
        <w:sectPr>
          <w:pgSz w:w="12240" w:h="15840"/>
          <w:pgMar w:header="1592" w:footer="790" w:top="2120" w:bottom="980" w:left="1320" w:right="1320"/>
        </w:sectPr>
      </w:pPr>
    </w:p>
    <w:p>
      <w:pPr>
        <w:pStyle w:val="BodyText"/>
        <w:rPr>
          <w:sz w:val="20"/>
        </w:rPr>
      </w:pPr>
    </w:p>
    <w:p>
      <w:pPr>
        <w:pStyle w:val="BodyText"/>
        <w:spacing w:before="8"/>
        <w:rPr>
          <w:sz w:val="21"/>
        </w:rPr>
      </w:pPr>
    </w:p>
    <w:p>
      <w:pPr>
        <w:spacing w:before="0"/>
        <w:ind w:left="119" w:right="0" w:firstLine="0"/>
        <w:jc w:val="left"/>
        <w:rPr>
          <w:b/>
          <w:sz w:val="20"/>
        </w:rPr>
      </w:pPr>
      <w:r>
        <w:rPr>
          <w:b/>
          <w:sz w:val="20"/>
        </w:rPr>
        <w:t>CONSOLIDATED BALANCE SHEET</w:t>
      </w:r>
    </w:p>
    <w:p>
      <w:pPr>
        <w:spacing w:before="5"/>
        <w:ind w:left="0" w:right="885" w:firstLine="0"/>
        <w:jc w:val="right"/>
        <w:rPr>
          <w:sz w:val="20"/>
        </w:rPr>
      </w:pPr>
      <w:r>
        <w:rPr>
          <w:sz w:val="18"/>
        </w:rPr>
        <w:t>DECEMBER </w:t>
      </w:r>
      <w:r>
        <w:rPr>
          <w:sz w:val="20"/>
        </w:rPr>
        <w:t>31,</w:t>
      </w:r>
    </w:p>
    <w:p>
      <w:pPr>
        <w:tabs>
          <w:tab w:pos="6959" w:val="left" w:leader="none"/>
          <w:tab w:pos="8399" w:val="left" w:leader="none"/>
        </w:tabs>
        <w:spacing w:before="0"/>
        <w:ind w:left="119" w:right="0" w:firstLine="0"/>
        <w:jc w:val="left"/>
        <w:rPr>
          <w:sz w:val="20"/>
        </w:rPr>
      </w:pPr>
      <w:r>
        <w:rPr>
          <w:sz w:val="16"/>
        </w:rPr>
        <w:t>(IN</w:t>
      </w:r>
      <w:r>
        <w:rPr>
          <w:spacing w:val="-12"/>
          <w:sz w:val="16"/>
        </w:rPr>
        <w:t> </w:t>
      </w:r>
      <w:r>
        <w:rPr>
          <w:spacing w:val="2"/>
          <w:sz w:val="16"/>
        </w:rPr>
        <w:t>THOUSANDS</w:t>
      </w:r>
      <w:r>
        <w:rPr>
          <w:spacing w:val="-30"/>
          <w:sz w:val="16"/>
        </w:rPr>
        <w:t> </w:t>
      </w:r>
      <w:r>
        <w:rPr>
          <w:sz w:val="16"/>
        </w:rPr>
        <w:t>EXCEPT</w:t>
      </w:r>
      <w:r>
        <w:rPr>
          <w:spacing w:val="-3"/>
          <w:sz w:val="16"/>
        </w:rPr>
        <w:t> </w:t>
      </w:r>
      <w:r>
        <w:rPr>
          <w:sz w:val="16"/>
        </w:rPr>
        <w:t>SHARE</w:t>
      </w:r>
      <w:r>
        <w:rPr>
          <w:spacing w:val="-5"/>
          <w:sz w:val="16"/>
        </w:rPr>
        <w:t> </w:t>
      </w:r>
      <w:r>
        <w:rPr>
          <w:sz w:val="16"/>
        </w:rPr>
        <w:t>AND</w:t>
      </w:r>
      <w:r>
        <w:rPr>
          <w:spacing w:val="-7"/>
          <w:sz w:val="16"/>
        </w:rPr>
        <w:t> </w:t>
      </w:r>
      <w:r>
        <w:rPr>
          <w:sz w:val="16"/>
        </w:rPr>
        <w:t>PER</w:t>
      </w:r>
      <w:r>
        <w:rPr>
          <w:spacing w:val="-8"/>
          <w:sz w:val="16"/>
        </w:rPr>
        <w:t> </w:t>
      </w:r>
      <w:r>
        <w:rPr>
          <w:sz w:val="16"/>
        </w:rPr>
        <w:t>SHARE</w:t>
      </w:r>
      <w:r>
        <w:rPr>
          <w:spacing w:val="-5"/>
          <w:sz w:val="16"/>
        </w:rPr>
        <w:t> </w:t>
      </w:r>
      <w:r>
        <w:rPr>
          <w:sz w:val="16"/>
        </w:rPr>
        <w:t>AMOUNTS)</w:t>
        <w:tab/>
      </w:r>
      <w:r>
        <w:rPr>
          <w:sz w:val="20"/>
        </w:rPr>
        <w:t>1997</w:t>
        <w:tab/>
        <w:t>1996</w:t>
      </w:r>
    </w:p>
    <w:p>
      <w:pPr>
        <w:pStyle w:val="BodyText"/>
        <w:spacing w:before="5"/>
        <w:rPr>
          <w:sz w:val="20"/>
        </w:rPr>
      </w:pPr>
    </w:p>
    <w:p>
      <w:pPr>
        <w:spacing w:before="0"/>
        <w:ind w:left="839" w:right="0" w:firstLine="0"/>
        <w:jc w:val="left"/>
        <w:rPr>
          <w:b/>
          <w:sz w:val="20"/>
        </w:rPr>
      </w:pPr>
      <w:r>
        <w:rPr>
          <w:b/>
          <w:color w:val="008080"/>
          <w:sz w:val="20"/>
        </w:rPr>
        <w:t>ASSETS</w:t>
      </w:r>
    </w:p>
    <w:p>
      <w:pPr>
        <w:spacing w:before="5" w:after="6"/>
        <w:ind w:left="839" w:right="0" w:firstLine="0"/>
        <w:jc w:val="left"/>
        <w:rPr>
          <w:sz w:val="20"/>
        </w:rPr>
      </w:pPr>
      <w:r>
        <w:rPr>
          <w:sz w:val="20"/>
        </w:rPr>
        <w:t>Current assets:</w:t>
      </w:r>
    </w:p>
    <w:tbl>
      <w:tblPr>
        <w:tblW w:w="0" w:type="auto"/>
        <w:jc w:val="left"/>
        <w:tblInd w:w="11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74"/>
        <w:gridCol w:w="2161"/>
        <w:gridCol w:w="1185"/>
      </w:tblGrid>
      <w:tr>
        <w:trPr>
          <w:trHeight w:val="228" w:hRule="exact"/>
        </w:trPr>
        <w:tc>
          <w:tcPr>
            <w:tcW w:w="4674" w:type="dxa"/>
          </w:tcPr>
          <w:p>
            <w:pPr>
              <w:pStyle w:val="TableParagraph"/>
              <w:spacing w:line="225" w:lineRule="exact"/>
              <w:ind w:left="50"/>
              <w:jc w:val="left"/>
              <w:rPr>
                <w:sz w:val="20"/>
              </w:rPr>
            </w:pPr>
            <w:r>
              <w:rPr>
                <w:sz w:val="20"/>
              </w:rPr>
              <w:t>Cash and cash equivalents</w:t>
            </w:r>
          </w:p>
        </w:tc>
        <w:tc>
          <w:tcPr>
            <w:tcW w:w="2161" w:type="dxa"/>
          </w:tcPr>
          <w:p>
            <w:pPr>
              <w:pStyle w:val="TableParagraph"/>
              <w:spacing w:line="225" w:lineRule="exact"/>
              <w:ind w:right="302"/>
              <w:rPr>
                <w:sz w:val="20"/>
              </w:rPr>
            </w:pPr>
            <w:r>
              <w:rPr>
                <w:sz w:val="20"/>
              </w:rPr>
              <w:t>$623,343</w:t>
            </w:r>
          </w:p>
        </w:tc>
        <w:tc>
          <w:tcPr>
            <w:tcW w:w="1185" w:type="dxa"/>
          </w:tcPr>
          <w:p>
            <w:pPr>
              <w:pStyle w:val="TableParagraph"/>
              <w:spacing w:line="225" w:lineRule="exact"/>
              <w:ind w:right="48"/>
              <w:rPr>
                <w:sz w:val="20"/>
              </w:rPr>
            </w:pPr>
            <w:r>
              <w:rPr>
                <w:sz w:val="20"/>
              </w:rPr>
              <w:t>$581,841</w:t>
            </w:r>
          </w:p>
        </w:tc>
      </w:tr>
      <w:tr>
        <w:trPr>
          <w:trHeight w:val="230" w:hRule="exact"/>
        </w:trPr>
        <w:tc>
          <w:tcPr>
            <w:tcW w:w="4674" w:type="dxa"/>
          </w:tcPr>
          <w:p>
            <w:pPr>
              <w:pStyle w:val="TableParagraph"/>
              <w:spacing w:line="227" w:lineRule="exact"/>
              <w:ind w:left="50"/>
              <w:jc w:val="left"/>
              <w:rPr>
                <w:sz w:val="20"/>
              </w:rPr>
            </w:pPr>
            <w:r>
              <w:rPr>
                <w:sz w:val="20"/>
              </w:rPr>
              <w:t>Accounts receivable</w:t>
            </w:r>
          </w:p>
        </w:tc>
        <w:tc>
          <w:tcPr>
            <w:tcW w:w="2161" w:type="dxa"/>
          </w:tcPr>
          <w:p>
            <w:pPr>
              <w:pStyle w:val="TableParagraph"/>
              <w:spacing w:line="227" w:lineRule="exact"/>
              <w:ind w:right="302"/>
              <w:rPr>
                <w:sz w:val="20"/>
              </w:rPr>
            </w:pPr>
            <w:r>
              <w:rPr>
                <w:sz w:val="20"/>
              </w:rPr>
              <w:t>76,530</w:t>
            </w:r>
          </w:p>
        </w:tc>
        <w:tc>
          <w:tcPr>
            <w:tcW w:w="1185" w:type="dxa"/>
          </w:tcPr>
          <w:p>
            <w:pPr>
              <w:pStyle w:val="TableParagraph"/>
              <w:spacing w:line="227" w:lineRule="exact"/>
              <w:ind w:right="48"/>
              <w:rPr>
                <w:sz w:val="20"/>
              </w:rPr>
            </w:pPr>
            <w:r>
              <w:rPr>
                <w:sz w:val="20"/>
              </w:rPr>
              <w:t>73,440</w:t>
            </w:r>
          </w:p>
        </w:tc>
      </w:tr>
      <w:tr>
        <w:trPr>
          <w:trHeight w:val="230" w:hRule="exact"/>
        </w:trPr>
        <w:tc>
          <w:tcPr>
            <w:tcW w:w="4674" w:type="dxa"/>
          </w:tcPr>
          <w:p>
            <w:pPr>
              <w:pStyle w:val="TableParagraph"/>
              <w:spacing w:line="227" w:lineRule="exact"/>
              <w:ind w:left="50"/>
              <w:jc w:val="left"/>
              <w:rPr>
                <w:sz w:val="20"/>
              </w:rPr>
            </w:pPr>
            <w:r>
              <w:rPr>
                <w:sz w:val="20"/>
              </w:rPr>
              <w:t>Inventories of parts and supplies, at cost</w:t>
            </w:r>
          </w:p>
        </w:tc>
        <w:tc>
          <w:tcPr>
            <w:tcW w:w="2161" w:type="dxa"/>
          </w:tcPr>
          <w:p>
            <w:pPr>
              <w:pStyle w:val="TableParagraph"/>
              <w:spacing w:line="227" w:lineRule="exact"/>
              <w:ind w:right="302"/>
              <w:rPr>
                <w:sz w:val="20"/>
              </w:rPr>
            </w:pPr>
            <w:r>
              <w:rPr>
                <w:sz w:val="20"/>
              </w:rPr>
              <w:t>52,376</w:t>
            </w:r>
          </w:p>
        </w:tc>
        <w:tc>
          <w:tcPr>
            <w:tcW w:w="1185" w:type="dxa"/>
          </w:tcPr>
          <w:p>
            <w:pPr>
              <w:pStyle w:val="TableParagraph"/>
              <w:spacing w:line="227" w:lineRule="exact"/>
              <w:ind w:right="48"/>
              <w:rPr>
                <w:sz w:val="20"/>
              </w:rPr>
            </w:pPr>
            <w:r>
              <w:rPr>
                <w:sz w:val="20"/>
              </w:rPr>
              <w:t>51,094</w:t>
            </w:r>
          </w:p>
        </w:tc>
      </w:tr>
      <w:tr>
        <w:trPr>
          <w:trHeight w:val="228" w:hRule="exact"/>
        </w:trPr>
        <w:tc>
          <w:tcPr>
            <w:tcW w:w="4674" w:type="dxa"/>
          </w:tcPr>
          <w:p>
            <w:pPr>
              <w:pStyle w:val="TableParagraph"/>
              <w:spacing w:line="227" w:lineRule="exact"/>
              <w:ind w:left="50"/>
              <w:jc w:val="left"/>
              <w:rPr>
                <w:sz w:val="20"/>
              </w:rPr>
            </w:pPr>
            <w:r>
              <w:rPr>
                <w:sz w:val="20"/>
              </w:rPr>
              <w:t>Deferred income taxes (Note 9)</w:t>
            </w:r>
          </w:p>
        </w:tc>
        <w:tc>
          <w:tcPr>
            <w:tcW w:w="2161" w:type="dxa"/>
          </w:tcPr>
          <w:p>
            <w:pPr>
              <w:pStyle w:val="TableParagraph"/>
              <w:spacing w:line="227" w:lineRule="exact"/>
              <w:ind w:right="302"/>
              <w:rPr>
                <w:sz w:val="20"/>
              </w:rPr>
            </w:pPr>
            <w:r>
              <w:rPr>
                <w:sz w:val="20"/>
              </w:rPr>
              <w:t>18,843</w:t>
            </w:r>
          </w:p>
        </w:tc>
        <w:tc>
          <w:tcPr>
            <w:tcW w:w="1185" w:type="dxa"/>
          </w:tcPr>
          <w:p>
            <w:pPr>
              <w:pStyle w:val="TableParagraph"/>
              <w:spacing w:line="227" w:lineRule="exact"/>
              <w:ind w:right="48"/>
              <w:rPr>
                <w:sz w:val="20"/>
              </w:rPr>
            </w:pPr>
            <w:r>
              <w:rPr>
                <w:sz w:val="20"/>
              </w:rPr>
              <w:t>11,560</w:t>
            </w:r>
          </w:p>
        </w:tc>
      </w:tr>
    </w:tbl>
    <w:p>
      <w:pPr>
        <w:tabs>
          <w:tab w:pos="6959" w:val="left" w:leader="none"/>
          <w:tab w:pos="7070" w:val="left" w:leader="none"/>
          <w:tab w:pos="8399" w:val="left" w:leader="none"/>
          <w:tab w:pos="8510" w:val="left" w:leader="none"/>
        </w:tabs>
        <w:spacing w:before="0"/>
        <w:ind w:left="2280" w:right="477" w:hanging="1080"/>
        <w:jc w:val="left"/>
        <w:rPr>
          <w:sz w:val="20"/>
        </w:rPr>
      </w:pPr>
      <w:r>
        <w:rPr>
          <w:sz w:val="20"/>
        </w:rPr>
        <w:t>Prepaid expenses and other</w:t>
      </w:r>
      <w:r>
        <w:rPr>
          <w:spacing w:val="-20"/>
          <w:sz w:val="20"/>
        </w:rPr>
        <w:t> </w:t>
      </w:r>
      <w:r>
        <w:rPr>
          <w:sz w:val="20"/>
        </w:rPr>
        <w:t>current</w:t>
      </w:r>
      <w:r>
        <w:rPr>
          <w:spacing w:val="1"/>
          <w:sz w:val="20"/>
        </w:rPr>
        <w:t> </w:t>
      </w:r>
      <w:r>
        <w:rPr>
          <w:sz w:val="20"/>
        </w:rPr>
        <w:t>assets</w:t>
        <w:tab/>
        <w:tab/>
      </w:r>
      <w:r>
        <w:rPr>
          <w:sz w:val="20"/>
          <w:u w:val="single"/>
        </w:rPr>
        <w:t>35,324</w:t>
        <w:tab/>
        <w:tab/>
      </w:r>
      <w:r>
        <w:rPr>
          <w:spacing w:val="-2"/>
          <w:sz w:val="20"/>
          <w:u w:val="single"/>
        </w:rPr>
        <w:t>33,055 </w:t>
      </w:r>
      <w:r>
        <w:rPr>
          <w:sz w:val="20"/>
        </w:rPr>
        <w:t>Total</w:t>
      </w:r>
      <w:r>
        <w:rPr>
          <w:spacing w:val="-7"/>
          <w:sz w:val="20"/>
        </w:rPr>
        <w:t> </w:t>
      </w:r>
      <w:r>
        <w:rPr>
          <w:sz w:val="20"/>
        </w:rPr>
        <w:t>current</w:t>
      </w:r>
      <w:r>
        <w:rPr>
          <w:spacing w:val="5"/>
          <w:sz w:val="20"/>
        </w:rPr>
        <w:t> </w:t>
      </w:r>
      <w:r>
        <w:rPr>
          <w:sz w:val="20"/>
        </w:rPr>
        <w:t>assets</w:t>
        <w:tab/>
        <w:t>806,416</w:t>
        <w:tab/>
      </w:r>
      <w:r>
        <w:rPr>
          <w:spacing w:val="-2"/>
          <w:sz w:val="20"/>
        </w:rPr>
        <w:t>750,990</w:t>
      </w:r>
    </w:p>
    <w:p>
      <w:pPr>
        <w:pStyle w:val="BodyText"/>
        <w:rPr>
          <w:sz w:val="20"/>
        </w:rPr>
      </w:pPr>
    </w:p>
    <w:p>
      <w:pPr>
        <w:spacing w:before="0" w:after="5"/>
        <w:ind w:left="840" w:right="0" w:firstLine="0"/>
        <w:jc w:val="left"/>
        <w:rPr>
          <w:sz w:val="20"/>
        </w:rPr>
      </w:pPr>
      <w:r>
        <w:rPr>
          <w:sz w:val="20"/>
        </w:rPr>
        <w:t>Property  and equipment, at cost (Notes 2 and 5):</w:t>
      </w:r>
    </w:p>
    <w:tbl>
      <w:tblPr>
        <w:tblW w:w="0" w:type="auto"/>
        <w:jc w:val="left"/>
        <w:tblInd w:w="79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92"/>
        <w:gridCol w:w="3089"/>
      </w:tblGrid>
      <w:tr>
        <w:trPr>
          <w:trHeight w:val="228" w:hRule="exact"/>
        </w:trPr>
        <w:tc>
          <w:tcPr>
            <w:tcW w:w="5292" w:type="dxa"/>
          </w:tcPr>
          <w:p>
            <w:pPr>
              <w:pStyle w:val="TableParagraph"/>
              <w:spacing w:line="225" w:lineRule="exact"/>
              <w:ind w:left="410"/>
              <w:jc w:val="left"/>
              <w:rPr>
                <w:sz w:val="20"/>
              </w:rPr>
            </w:pPr>
            <w:r>
              <w:rPr>
                <w:sz w:val="20"/>
              </w:rPr>
              <w:t>Flight equipment</w:t>
            </w:r>
          </w:p>
        </w:tc>
        <w:tc>
          <w:tcPr>
            <w:tcW w:w="3089" w:type="dxa"/>
          </w:tcPr>
          <w:p>
            <w:pPr>
              <w:pStyle w:val="TableParagraph"/>
              <w:tabs>
                <w:tab w:pos="1439" w:val="left" w:leader="none"/>
              </w:tabs>
              <w:spacing w:line="225" w:lineRule="exact"/>
              <w:ind w:right="48"/>
              <w:rPr>
                <w:sz w:val="20"/>
              </w:rPr>
            </w:pPr>
            <w:r>
              <w:rPr>
                <w:sz w:val="20"/>
              </w:rPr>
              <w:t>3,987,493</w:t>
              <w:tab/>
            </w:r>
            <w:r>
              <w:rPr>
                <w:spacing w:val="-1"/>
                <w:sz w:val="20"/>
              </w:rPr>
              <w:t>3,435,304</w:t>
            </w:r>
          </w:p>
        </w:tc>
      </w:tr>
      <w:tr>
        <w:trPr>
          <w:trHeight w:val="230" w:hRule="exact"/>
        </w:trPr>
        <w:tc>
          <w:tcPr>
            <w:tcW w:w="5292" w:type="dxa"/>
          </w:tcPr>
          <w:p>
            <w:pPr>
              <w:pStyle w:val="TableParagraph"/>
              <w:spacing w:line="227" w:lineRule="exact"/>
              <w:ind w:left="410"/>
              <w:jc w:val="left"/>
              <w:rPr>
                <w:sz w:val="20"/>
              </w:rPr>
            </w:pPr>
            <w:r>
              <w:rPr>
                <w:sz w:val="20"/>
              </w:rPr>
              <w:t>Ground property and equipment</w:t>
            </w:r>
          </w:p>
        </w:tc>
        <w:tc>
          <w:tcPr>
            <w:tcW w:w="3089" w:type="dxa"/>
          </w:tcPr>
          <w:p>
            <w:pPr>
              <w:pStyle w:val="TableParagraph"/>
              <w:tabs>
                <w:tab w:pos="1439" w:val="left" w:leader="none"/>
              </w:tabs>
              <w:spacing w:line="227" w:lineRule="exact"/>
              <w:ind w:right="48"/>
              <w:rPr>
                <w:sz w:val="20"/>
              </w:rPr>
            </w:pPr>
            <w:r>
              <w:rPr>
                <w:sz w:val="20"/>
              </w:rPr>
              <w:t>601,957</w:t>
              <w:tab/>
            </w:r>
            <w:r>
              <w:rPr>
                <w:spacing w:val="-2"/>
                <w:sz w:val="20"/>
              </w:rPr>
              <w:t>523,958</w:t>
            </w:r>
          </w:p>
        </w:tc>
      </w:tr>
      <w:tr>
        <w:trPr>
          <w:trHeight w:val="230" w:hRule="exact"/>
        </w:trPr>
        <w:tc>
          <w:tcPr>
            <w:tcW w:w="5292" w:type="dxa"/>
          </w:tcPr>
          <w:p>
            <w:pPr>
              <w:pStyle w:val="TableParagraph"/>
              <w:spacing w:line="227" w:lineRule="exact"/>
              <w:ind w:left="410"/>
              <w:jc w:val="left"/>
              <w:rPr>
                <w:sz w:val="20"/>
              </w:rPr>
            </w:pPr>
            <w:r>
              <w:rPr>
                <w:sz w:val="20"/>
              </w:rPr>
              <w:t>Deposits on flight equipment purchase contracts</w:t>
            </w:r>
          </w:p>
        </w:tc>
        <w:tc>
          <w:tcPr>
            <w:tcW w:w="3089" w:type="dxa"/>
          </w:tcPr>
          <w:p>
            <w:pPr>
              <w:pStyle w:val="TableParagraph"/>
              <w:tabs>
                <w:tab w:pos="1439" w:val="left" w:leader="none"/>
              </w:tabs>
              <w:spacing w:line="227" w:lineRule="exact"/>
              <w:ind w:right="48"/>
              <w:rPr>
                <w:sz w:val="20"/>
              </w:rPr>
            </w:pPr>
            <w:r>
              <w:rPr>
                <w:sz w:val="20"/>
                <w:u w:val="single"/>
              </w:rPr>
              <w:t>221,874</w:t>
              <w:tab/>
            </w:r>
            <w:r>
              <w:rPr>
                <w:spacing w:val="-2"/>
                <w:sz w:val="20"/>
                <w:u w:val="single"/>
              </w:rPr>
              <w:t>198,366</w:t>
            </w:r>
          </w:p>
        </w:tc>
      </w:tr>
      <w:tr>
        <w:trPr>
          <w:trHeight w:val="230" w:hRule="exact"/>
        </w:trPr>
        <w:tc>
          <w:tcPr>
            <w:tcW w:w="5292" w:type="dxa"/>
          </w:tcPr>
          <w:p>
            <w:pPr/>
          </w:p>
        </w:tc>
        <w:tc>
          <w:tcPr>
            <w:tcW w:w="3089" w:type="dxa"/>
          </w:tcPr>
          <w:p>
            <w:pPr>
              <w:pStyle w:val="TableParagraph"/>
              <w:tabs>
                <w:tab w:pos="1439" w:val="left" w:leader="none"/>
              </w:tabs>
              <w:spacing w:line="227" w:lineRule="exact"/>
              <w:ind w:right="48"/>
              <w:rPr>
                <w:sz w:val="20"/>
              </w:rPr>
            </w:pPr>
            <w:r>
              <w:rPr>
                <w:sz w:val="20"/>
              </w:rPr>
              <w:t>4,811,324</w:t>
              <w:tab/>
            </w:r>
            <w:r>
              <w:rPr>
                <w:spacing w:val="-1"/>
                <w:sz w:val="20"/>
              </w:rPr>
              <w:t>4,157,628</w:t>
            </w:r>
          </w:p>
        </w:tc>
      </w:tr>
      <w:tr>
        <w:trPr>
          <w:trHeight w:val="230" w:hRule="exact"/>
        </w:trPr>
        <w:tc>
          <w:tcPr>
            <w:tcW w:w="5292" w:type="dxa"/>
          </w:tcPr>
          <w:p>
            <w:pPr>
              <w:pStyle w:val="TableParagraph"/>
              <w:spacing w:line="227" w:lineRule="exact"/>
              <w:ind w:left="410"/>
              <w:jc w:val="left"/>
              <w:rPr>
                <w:sz w:val="20"/>
              </w:rPr>
            </w:pPr>
            <w:r>
              <w:rPr>
                <w:sz w:val="20"/>
              </w:rPr>
              <w:t>Less allowance for depreciation</w:t>
            </w:r>
          </w:p>
        </w:tc>
        <w:tc>
          <w:tcPr>
            <w:tcW w:w="3089" w:type="dxa"/>
          </w:tcPr>
          <w:p>
            <w:pPr>
              <w:pStyle w:val="TableParagraph"/>
              <w:tabs>
                <w:tab w:pos="1439" w:val="left" w:leader="none"/>
              </w:tabs>
              <w:spacing w:line="227" w:lineRule="exact"/>
              <w:ind w:right="48"/>
              <w:rPr>
                <w:sz w:val="20"/>
              </w:rPr>
            </w:pPr>
            <w:r>
              <w:rPr>
                <w:sz w:val="20"/>
                <w:u w:val="single"/>
              </w:rPr>
              <w:t>1,375,631</w:t>
              <w:tab/>
            </w:r>
            <w:r>
              <w:rPr>
                <w:spacing w:val="-1"/>
                <w:sz w:val="20"/>
                <w:u w:val="single"/>
              </w:rPr>
              <w:t>1,188,405</w:t>
            </w:r>
          </w:p>
        </w:tc>
      </w:tr>
      <w:tr>
        <w:trPr>
          <w:trHeight w:val="230" w:hRule="exact"/>
        </w:trPr>
        <w:tc>
          <w:tcPr>
            <w:tcW w:w="5292" w:type="dxa"/>
          </w:tcPr>
          <w:p>
            <w:pPr/>
          </w:p>
        </w:tc>
        <w:tc>
          <w:tcPr>
            <w:tcW w:w="3089" w:type="dxa"/>
          </w:tcPr>
          <w:p>
            <w:pPr>
              <w:pStyle w:val="TableParagraph"/>
              <w:tabs>
                <w:tab w:pos="1439" w:val="left" w:leader="none"/>
              </w:tabs>
              <w:spacing w:line="227" w:lineRule="exact"/>
              <w:ind w:right="48"/>
              <w:rPr>
                <w:sz w:val="20"/>
              </w:rPr>
            </w:pPr>
            <w:r>
              <w:rPr>
                <w:sz w:val="20"/>
              </w:rPr>
              <w:t>3,435,693</w:t>
              <w:tab/>
            </w:r>
            <w:r>
              <w:rPr>
                <w:spacing w:val="-1"/>
                <w:sz w:val="20"/>
              </w:rPr>
              <w:t>2,969,223</w:t>
            </w:r>
          </w:p>
        </w:tc>
      </w:tr>
      <w:tr>
        <w:trPr>
          <w:trHeight w:val="230" w:hRule="exact"/>
        </w:trPr>
        <w:tc>
          <w:tcPr>
            <w:tcW w:w="5292" w:type="dxa"/>
          </w:tcPr>
          <w:p>
            <w:pPr>
              <w:pStyle w:val="TableParagraph"/>
              <w:spacing w:line="227" w:lineRule="exact"/>
              <w:ind w:left="50"/>
              <w:jc w:val="left"/>
              <w:rPr>
                <w:sz w:val="20"/>
              </w:rPr>
            </w:pPr>
            <w:r>
              <w:rPr>
                <w:sz w:val="20"/>
              </w:rPr>
              <w:t>Other assets</w:t>
            </w:r>
          </w:p>
        </w:tc>
        <w:tc>
          <w:tcPr>
            <w:tcW w:w="3089" w:type="dxa"/>
          </w:tcPr>
          <w:p>
            <w:pPr>
              <w:pStyle w:val="TableParagraph"/>
              <w:tabs>
                <w:tab w:pos="1439" w:val="left" w:leader="none"/>
              </w:tabs>
              <w:spacing w:line="227" w:lineRule="exact"/>
              <w:ind w:right="48"/>
              <w:rPr>
                <w:sz w:val="20"/>
              </w:rPr>
            </w:pPr>
            <w:r>
              <w:rPr>
                <w:sz w:val="20"/>
                <w:u w:val="single"/>
              </w:rPr>
              <w:t>4,051</w:t>
              <w:tab/>
            </w:r>
            <w:r>
              <w:rPr>
                <w:spacing w:val="-2"/>
                <w:sz w:val="20"/>
                <w:u w:val="single"/>
              </w:rPr>
              <w:t>3,266</w:t>
            </w:r>
          </w:p>
        </w:tc>
      </w:tr>
      <w:tr>
        <w:trPr>
          <w:trHeight w:val="348" w:hRule="exact"/>
        </w:trPr>
        <w:tc>
          <w:tcPr>
            <w:tcW w:w="5292" w:type="dxa"/>
          </w:tcPr>
          <w:p>
            <w:pPr/>
          </w:p>
        </w:tc>
        <w:tc>
          <w:tcPr>
            <w:tcW w:w="3089" w:type="dxa"/>
          </w:tcPr>
          <w:p>
            <w:pPr>
              <w:pStyle w:val="TableParagraph"/>
              <w:tabs>
                <w:tab w:pos="1439" w:val="left" w:leader="none"/>
              </w:tabs>
              <w:spacing w:line="227" w:lineRule="exact"/>
              <w:ind w:right="48"/>
              <w:rPr>
                <w:sz w:val="20"/>
              </w:rPr>
            </w:pPr>
            <w:r>
              <w:rPr>
                <w:sz w:val="20"/>
                <w:u w:val="thick"/>
              </w:rPr>
              <w:t>$4,246,160</w:t>
              <w:tab/>
            </w:r>
            <w:r>
              <w:rPr>
                <w:spacing w:val="-1"/>
                <w:sz w:val="20"/>
                <w:u w:val="thick"/>
              </w:rPr>
              <w:t>$3,723,479</w:t>
            </w:r>
          </w:p>
        </w:tc>
      </w:tr>
      <w:tr>
        <w:trPr>
          <w:trHeight w:val="814" w:hRule="exact"/>
        </w:trPr>
        <w:tc>
          <w:tcPr>
            <w:tcW w:w="5292" w:type="dxa"/>
          </w:tcPr>
          <w:p>
            <w:pPr>
              <w:pStyle w:val="TableParagraph"/>
              <w:spacing w:before="115"/>
              <w:ind w:left="50"/>
              <w:jc w:val="left"/>
              <w:rPr>
                <w:b/>
                <w:sz w:val="20"/>
              </w:rPr>
            </w:pPr>
            <w:r>
              <w:rPr>
                <w:b/>
                <w:color w:val="008080"/>
                <w:sz w:val="20"/>
              </w:rPr>
              <w:t>LIABILITIES AND STOCKHOLDERS’ EQUITY</w:t>
            </w:r>
          </w:p>
          <w:p>
            <w:pPr>
              <w:pStyle w:val="TableParagraph"/>
              <w:spacing w:before="5"/>
              <w:ind w:left="410" w:right="3282" w:hanging="360"/>
              <w:jc w:val="left"/>
              <w:rPr>
                <w:sz w:val="20"/>
              </w:rPr>
            </w:pPr>
            <w:r>
              <w:rPr>
                <w:sz w:val="20"/>
              </w:rPr>
              <w:t>Current liabilities: Accounts payable</w:t>
            </w:r>
          </w:p>
        </w:tc>
        <w:tc>
          <w:tcPr>
            <w:tcW w:w="3089" w:type="dxa"/>
          </w:tcPr>
          <w:p>
            <w:pPr>
              <w:pStyle w:val="TableParagraph"/>
              <w:jc w:val="left"/>
              <w:rPr>
                <w:sz w:val="22"/>
              </w:rPr>
            </w:pPr>
          </w:p>
          <w:p>
            <w:pPr>
              <w:pStyle w:val="TableParagraph"/>
              <w:spacing w:before="5"/>
              <w:jc w:val="left"/>
              <w:rPr>
                <w:sz w:val="28"/>
              </w:rPr>
            </w:pPr>
          </w:p>
          <w:p>
            <w:pPr>
              <w:pStyle w:val="TableParagraph"/>
              <w:tabs>
                <w:tab w:pos="1439" w:val="left" w:leader="none"/>
              </w:tabs>
              <w:ind w:right="48"/>
              <w:rPr>
                <w:sz w:val="20"/>
              </w:rPr>
            </w:pPr>
            <w:r>
              <w:rPr>
                <w:sz w:val="20"/>
              </w:rPr>
              <w:t>$160,891</w:t>
              <w:tab/>
            </w:r>
            <w:r>
              <w:rPr>
                <w:spacing w:val="-2"/>
                <w:sz w:val="20"/>
              </w:rPr>
              <w:t>$214,232</w:t>
            </w:r>
          </w:p>
        </w:tc>
      </w:tr>
      <w:tr>
        <w:trPr>
          <w:trHeight w:val="230" w:hRule="exact"/>
        </w:trPr>
        <w:tc>
          <w:tcPr>
            <w:tcW w:w="5292" w:type="dxa"/>
          </w:tcPr>
          <w:p>
            <w:pPr>
              <w:pStyle w:val="TableParagraph"/>
              <w:spacing w:line="227" w:lineRule="exact"/>
              <w:ind w:left="410"/>
              <w:jc w:val="left"/>
              <w:rPr>
                <w:sz w:val="20"/>
              </w:rPr>
            </w:pPr>
            <w:r>
              <w:rPr>
                <w:sz w:val="20"/>
              </w:rPr>
              <w:t>Accrued  liabilities (Note 3)</w:t>
            </w:r>
          </w:p>
        </w:tc>
        <w:tc>
          <w:tcPr>
            <w:tcW w:w="3089" w:type="dxa"/>
          </w:tcPr>
          <w:p>
            <w:pPr>
              <w:pStyle w:val="TableParagraph"/>
              <w:tabs>
                <w:tab w:pos="1439" w:val="left" w:leader="none"/>
              </w:tabs>
              <w:spacing w:line="227" w:lineRule="exact"/>
              <w:ind w:right="48"/>
              <w:rPr>
                <w:sz w:val="20"/>
              </w:rPr>
            </w:pPr>
            <w:r>
              <w:rPr>
                <w:sz w:val="20"/>
              </w:rPr>
              <w:t>426,950</w:t>
              <w:tab/>
            </w:r>
            <w:r>
              <w:rPr>
                <w:spacing w:val="-2"/>
                <w:sz w:val="20"/>
              </w:rPr>
              <w:t>368,625</w:t>
            </w:r>
          </w:p>
        </w:tc>
      </w:tr>
      <w:tr>
        <w:trPr>
          <w:trHeight w:val="230" w:hRule="exact"/>
        </w:trPr>
        <w:tc>
          <w:tcPr>
            <w:tcW w:w="5292" w:type="dxa"/>
          </w:tcPr>
          <w:p>
            <w:pPr>
              <w:pStyle w:val="TableParagraph"/>
              <w:spacing w:line="227" w:lineRule="exact"/>
              <w:ind w:left="410"/>
              <w:jc w:val="left"/>
              <w:rPr>
                <w:sz w:val="20"/>
              </w:rPr>
            </w:pPr>
            <w:r>
              <w:rPr>
                <w:sz w:val="20"/>
              </w:rPr>
              <w:t>Air traffic liability</w:t>
            </w:r>
          </w:p>
        </w:tc>
        <w:tc>
          <w:tcPr>
            <w:tcW w:w="3089" w:type="dxa"/>
          </w:tcPr>
          <w:p>
            <w:pPr>
              <w:pStyle w:val="TableParagraph"/>
              <w:tabs>
                <w:tab w:pos="1439" w:val="left" w:leader="none"/>
              </w:tabs>
              <w:spacing w:line="227" w:lineRule="exact"/>
              <w:ind w:right="48"/>
              <w:rPr>
                <w:sz w:val="20"/>
              </w:rPr>
            </w:pPr>
            <w:r>
              <w:rPr>
                <w:sz w:val="20"/>
              </w:rPr>
              <w:t>153,341</w:t>
              <w:tab/>
            </w:r>
            <w:r>
              <w:rPr>
                <w:spacing w:val="-2"/>
                <w:sz w:val="20"/>
              </w:rPr>
              <w:t>158,098</w:t>
            </w:r>
          </w:p>
        </w:tc>
      </w:tr>
      <w:tr>
        <w:trPr>
          <w:trHeight w:val="230" w:hRule="exact"/>
        </w:trPr>
        <w:tc>
          <w:tcPr>
            <w:tcW w:w="5292" w:type="dxa"/>
          </w:tcPr>
          <w:p>
            <w:pPr>
              <w:pStyle w:val="TableParagraph"/>
              <w:spacing w:line="227" w:lineRule="exact"/>
              <w:ind w:left="410"/>
              <w:jc w:val="left"/>
              <w:rPr>
                <w:sz w:val="20"/>
              </w:rPr>
            </w:pPr>
            <w:r>
              <w:rPr>
                <w:sz w:val="20"/>
              </w:rPr>
              <w:t>Current maturities of long-term debt (Note 4)</w:t>
            </w:r>
          </w:p>
        </w:tc>
        <w:tc>
          <w:tcPr>
            <w:tcW w:w="3089" w:type="dxa"/>
          </w:tcPr>
          <w:p>
            <w:pPr>
              <w:pStyle w:val="TableParagraph"/>
              <w:tabs>
                <w:tab w:pos="1550" w:val="left" w:leader="none"/>
              </w:tabs>
              <w:spacing w:line="227" w:lineRule="exact"/>
              <w:ind w:right="48"/>
              <w:rPr>
                <w:sz w:val="20"/>
              </w:rPr>
            </w:pPr>
            <w:r>
              <w:rPr>
                <w:sz w:val="20"/>
              </w:rPr>
              <w:t>121,324</w:t>
              <w:tab/>
            </w:r>
            <w:r>
              <w:rPr>
                <w:spacing w:val="-2"/>
                <w:sz w:val="20"/>
              </w:rPr>
              <w:t>12,327</w:t>
            </w:r>
          </w:p>
        </w:tc>
      </w:tr>
      <w:tr>
        <w:trPr>
          <w:trHeight w:val="230" w:hRule="exact"/>
        </w:trPr>
        <w:tc>
          <w:tcPr>
            <w:tcW w:w="5292" w:type="dxa"/>
          </w:tcPr>
          <w:p>
            <w:pPr>
              <w:pStyle w:val="TableParagraph"/>
              <w:spacing w:line="227" w:lineRule="exact"/>
              <w:ind w:left="410"/>
              <w:jc w:val="left"/>
              <w:rPr>
                <w:sz w:val="20"/>
              </w:rPr>
            </w:pPr>
            <w:r>
              <w:rPr>
                <w:sz w:val="20"/>
              </w:rPr>
              <w:t>Other current liabilities</w:t>
            </w:r>
          </w:p>
        </w:tc>
        <w:tc>
          <w:tcPr>
            <w:tcW w:w="3089" w:type="dxa"/>
          </w:tcPr>
          <w:p>
            <w:pPr>
              <w:pStyle w:val="TableParagraph"/>
              <w:tabs>
                <w:tab w:pos="1329" w:val="left" w:leader="none"/>
              </w:tabs>
              <w:spacing w:line="227" w:lineRule="exact"/>
              <w:ind w:right="48"/>
              <w:rPr>
                <w:sz w:val="20"/>
              </w:rPr>
            </w:pPr>
            <w:r>
              <w:rPr>
                <w:sz w:val="20"/>
                <w:u w:val="single"/>
              </w:rPr>
              <w:t>6,007</w:t>
              <w:tab/>
            </w:r>
            <w:r>
              <w:rPr>
                <w:spacing w:val="-2"/>
                <w:sz w:val="20"/>
                <w:u w:val="single"/>
              </w:rPr>
              <w:t>12,122</w:t>
            </w:r>
          </w:p>
        </w:tc>
      </w:tr>
      <w:tr>
        <w:trPr>
          <w:trHeight w:val="346" w:hRule="exact"/>
        </w:trPr>
        <w:tc>
          <w:tcPr>
            <w:tcW w:w="5292" w:type="dxa"/>
          </w:tcPr>
          <w:p>
            <w:pPr>
              <w:pStyle w:val="TableParagraph"/>
              <w:spacing w:line="227" w:lineRule="exact"/>
              <w:ind w:left="1490"/>
              <w:jc w:val="left"/>
              <w:rPr>
                <w:sz w:val="20"/>
              </w:rPr>
            </w:pPr>
            <w:r>
              <w:rPr>
                <w:sz w:val="20"/>
              </w:rPr>
              <w:t>Total current liabilities</w:t>
            </w:r>
          </w:p>
        </w:tc>
        <w:tc>
          <w:tcPr>
            <w:tcW w:w="3089" w:type="dxa"/>
          </w:tcPr>
          <w:p>
            <w:pPr>
              <w:pStyle w:val="TableParagraph"/>
              <w:tabs>
                <w:tab w:pos="1439" w:val="left" w:leader="none"/>
              </w:tabs>
              <w:spacing w:line="227" w:lineRule="exact"/>
              <w:ind w:right="48"/>
              <w:rPr>
                <w:sz w:val="20"/>
              </w:rPr>
            </w:pPr>
            <w:r>
              <w:rPr>
                <w:sz w:val="20"/>
              </w:rPr>
              <w:t>868,513</w:t>
              <w:tab/>
            </w:r>
            <w:r>
              <w:rPr>
                <w:spacing w:val="-2"/>
                <w:sz w:val="20"/>
              </w:rPr>
              <w:t>765,404</w:t>
            </w:r>
          </w:p>
        </w:tc>
      </w:tr>
      <w:tr>
        <w:trPr>
          <w:trHeight w:val="346" w:hRule="exact"/>
        </w:trPr>
        <w:tc>
          <w:tcPr>
            <w:tcW w:w="5292" w:type="dxa"/>
          </w:tcPr>
          <w:p>
            <w:pPr>
              <w:pStyle w:val="TableParagraph"/>
              <w:spacing w:before="112"/>
              <w:ind w:left="50"/>
              <w:jc w:val="left"/>
              <w:rPr>
                <w:sz w:val="20"/>
              </w:rPr>
            </w:pPr>
            <w:r>
              <w:rPr>
                <w:sz w:val="20"/>
              </w:rPr>
              <w:t>Long-term debt less current maturities (Note 4)</w:t>
            </w:r>
          </w:p>
        </w:tc>
        <w:tc>
          <w:tcPr>
            <w:tcW w:w="3089" w:type="dxa"/>
          </w:tcPr>
          <w:p>
            <w:pPr>
              <w:pStyle w:val="TableParagraph"/>
              <w:tabs>
                <w:tab w:pos="1439" w:val="left" w:leader="none"/>
              </w:tabs>
              <w:spacing w:before="112"/>
              <w:ind w:right="48"/>
              <w:rPr>
                <w:sz w:val="20"/>
              </w:rPr>
            </w:pPr>
            <w:r>
              <w:rPr>
                <w:sz w:val="20"/>
              </w:rPr>
              <w:t>628,106</w:t>
              <w:tab/>
            </w:r>
            <w:r>
              <w:rPr>
                <w:spacing w:val="-2"/>
                <w:sz w:val="20"/>
              </w:rPr>
              <w:t>650,226</w:t>
            </w:r>
          </w:p>
        </w:tc>
      </w:tr>
      <w:tr>
        <w:trPr>
          <w:trHeight w:val="230" w:hRule="exact"/>
        </w:trPr>
        <w:tc>
          <w:tcPr>
            <w:tcW w:w="5292" w:type="dxa"/>
          </w:tcPr>
          <w:p>
            <w:pPr>
              <w:pStyle w:val="TableParagraph"/>
              <w:spacing w:line="227" w:lineRule="exact"/>
              <w:ind w:left="50"/>
              <w:jc w:val="left"/>
              <w:rPr>
                <w:sz w:val="20"/>
              </w:rPr>
            </w:pPr>
            <w:r>
              <w:rPr>
                <w:sz w:val="20"/>
              </w:rPr>
              <w:t>Deferred income taxes (Note 9)</w:t>
            </w:r>
          </w:p>
        </w:tc>
        <w:tc>
          <w:tcPr>
            <w:tcW w:w="3089" w:type="dxa"/>
          </w:tcPr>
          <w:p>
            <w:pPr>
              <w:pStyle w:val="TableParagraph"/>
              <w:tabs>
                <w:tab w:pos="1439" w:val="left" w:leader="none"/>
              </w:tabs>
              <w:spacing w:line="227" w:lineRule="exact"/>
              <w:ind w:right="48"/>
              <w:rPr>
                <w:sz w:val="20"/>
              </w:rPr>
            </w:pPr>
            <w:r>
              <w:rPr>
                <w:sz w:val="20"/>
              </w:rPr>
              <w:t>438,981</w:t>
              <w:tab/>
            </w:r>
            <w:r>
              <w:rPr>
                <w:spacing w:val="-2"/>
                <w:sz w:val="20"/>
              </w:rPr>
              <w:t>349,987</w:t>
            </w:r>
          </w:p>
        </w:tc>
      </w:tr>
      <w:tr>
        <w:trPr>
          <w:trHeight w:val="230" w:hRule="exact"/>
        </w:trPr>
        <w:tc>
          <w:tcPr>
            <w:tcW w:w="5292" w:type="dxa"/>
          </w:tcPr>
          <w:p>
            <w:pPr>
              <w:pStyle w:val="TableParagraph"/>
              <w:spacing w:line="227" w:lineRule="exact"/>
              <w:ind w:left="50"/>
              <w:jc w:val="left"/>
              <w:rPr>
                <w:sz w:val="20"/>
              </w:rPr>
            </w:pPr>
            <w:r>
              <w:rPr>
                <w:sz w:val="20"/>
              </w:rPr>
              <w:t>Deferred gains from sale and leaseback of aircraft</w:t>
            </w:r>
          </w:p>
        </w:tc>
        <w:tc>
          <w:tcPr>
            <w:tcW w:w="3089" w:type="dxa"/>
          </w:tcPr>
          <w:p>
            <w:pPr>
              <w:pStyle w:val="TableParagraph"/>
              <w:tabs>
                <w:tab w:pos="1439" w:val="left" w:leader="none"/>
              </w:tabs>
              <w:spacing w:line="227" w:lineRule="exact"/>
              <w:ind w:right="48"/>
              <w:rPr>
                <w:sz w:val="20"/>
              </w:rPr>
            </w:pPr>
            <w:r>
              <w:rPr>
                <w:sz w:val="20"/>
              </w:rPr>
              <w:t>256,255</w:t>
              <w:tab/>
            </w:r>
            <w:r>
              <w:rPr>
                <w:spacing w:val="-2"/>
                <w:sz w:val="20"/>
              </w:rPr>
              <w:t>274,891</w:t>
            </w:r>
          </w:p>
        </w:tc>
      </w:tr>
      <w:tr>
        <w:trPr>
          <w:trHeight w:val="228" w:hRule="exact"/>
        </w:trPr>
        <w:tc>
          <w:tcPr>
            <w:tcW w:w="5292" w:type="dxa"/>
          </w:tcPr>
          <w:p>
            <w:pPr>
              <w:pStyle w:val="TableParagraph"/>
              <w:spacing w:line="227" w:lineRule="exact"/>
              <w:ind w:left="50"/>
              <w:jc w:val="left"/>
              <w:rPr>
                <w:sz w:val="20"/>
              </w:rPr>
            </w:pPr>
            <w:r>
              <w:rPr>
                <w:sz w:val="20"/>
              </w:rPr>
              <w:t>Other deferred liabilities</w:t>
            </w:r>
          </w:p>
        </w:tc>
        <w:tc>
          <w:tcPr>
            <w:tcW w:w="3089" w:type="dxa"/>
          </w:tcPr>
          <w:p>
            <w:pPr>
              <w:pStyle w:val="TableParagraph"/>
              <w:tabs>
                <w:tab w:pos="1439" w:val="left" w:leader="none"/>
              </w:tabs>
              <w:spacing w:line="227" w:lineRule="exact"/>
              <w:ind w:right="48"/>
              <w:rPr>
                <w:sz w:val="20"/>
              </w:rPr>
            </w:pPr>
            <w:r>
              <w:rPr>
                <w:sz w:val="20"/>
              </w:rPr>
              <w:t>45,287</w:t>
              <w:tab/>
            </w:r>
            <w:r>
              <w:rPr>
                <w:spacing w:val="-2"/>
                <w:sz w:val="20"/>
              </w:rPr>
              <w:t>34,659</w:t>
            </w:r>
          </w:p>
        </w:tc>
      </w:tr>
    </w:tbl>
    <w:p>
      <w:pPr>
        <w:pStyle w:val="BodyText"/>
        <w:rPr>
          <w:sz w:val="20"/>
        </w:rPr>
      </w:pPr>
    </w:p>
    <w:p>
      <w:pPr>
        <w:spacing w:before="0"/>
        <w:ind w:left="840" w:right="0" w:firstLine="0"/>
        <w:jc w:val="left"/>
        <w:rPr>
          <w:sz w:val="20"/>
        </w:rPr>
      </w:pPr>
      <w:r>
        <w:rPr>
          <w:sz w:val="20"/>
        </w:rPr>
        <w:t>Commitments and contingencies (Notes 2, 5, and 9)</w:t>
      </w:r>
    </w:p>
    <w:p>
      <w:pPr>
        <w:spacing w:before="0"/>
        <w:ind w:left="840" w:right="0" w:firstLine="0"/>
        <w:jc w:val="left"/>
        <w:rPr>
          <w:sz w:val="20"/>
        </w:rPr>
      </w:pPr>
      <w:r>
        <w:rPr>
          <w:sz w:val="20"/>
        </w:rPr>
        <w:t>Stockholders’ equity (Notes 6 and 7):</w:t>
      </w:r>
    </w:p>
    <w:p>
      <w:pPr>
        <w:spacing w:before="0" w:after="5"/>
        <w:ind w:left="1560" w:right="2566" w:hanging="360"/>
        <w:jc w:val="left"/>
        <w:rPr>
          <w:sz w:val="20"/>
        </w:rPr>
      </w:pPr>
      <w:r>
        <w:rPr>
          <w:sz w:val="20"/>
        </w:rPr>
        <w:t>Common stock, $1.00 par value: 680,000,000 shares authorized; 221,207,083 and 145,112,090 shares issued and outstanding</w:t>
      </w:r>
    </w:p>
    <w:tbl>
      <w:tblPr>
        <w:tblW w:w="0" w:type="auto"/>
        <w:jc w:val="left"/>
        <w:tblInd w:w="11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37"/>
        <w:gridCol w:w="3684"/>
      </w:tblGrid>
      <w:tr>
        <w:trPr>
          <w:trHeight w:val="228" w:hRule="exact"/>
        </w:trPr>
        <w:tc>
          <w:tcPr>
            <w:tcW w:w="4337" w:type="dxa"/>
          </w:tcPr>
          <w:p>
            <w:pPr>
              <w:pStyle w:val="TableParagraph"/>
              <w:spacing w:line="225" w:lineRule="exact"/>
              <w:ind w:left="410"/>
              <w:jc w:val="left"/>
              <w:rPr>
                <w:sz w:val="20"/>
              </w:rPr>
            </w:pPr>
            <w:r>
              <w:rPr>
                <w:sz w:val="20"/>
              </w:rPr>
              <w:t>in 1997 and 1996, respectively</w:t>
            </w:r>
          </w:p>
        </w:tc>
        <w:tc>
          <w:tcPr>
            <w:tcW w:w="3684" w:type="dxa"/>
          </w:tcPr>
          <w:p>
            <w:pPr>
              <w:pStyle w:val="TableParagraph"/>
              <w:tabs>
                <w:tab w:pos="1439" w:val="left" w:leader="none"/>
              </w:tabs>
              <w:spacing w:line="225" w:lineRule="exact"/>
              <w:ind w:right="48"/>
              <w:rPr>
                <w:sz w:val="20"/>
              </w:rPr>
            </w:pPr>
            <w:r>
              <w:rPr>
                <w:sz w:val="20"/>
              </w:rPr>
              <w:t>221,207</w:t>
              <w:tab/>
            </w:r>
            <w:r>
              <w:rPr>
                <w:spacing w:val="-2"/>
                <w:sz w:val="20"/>
              </w:rPr>
              <w:t>145,112</w:t>
            </w:r>
          </w:p>
        </w:tc>
      </w:tr>
      <w:tr>
        <w:trPr>
          <w:trHeight w:val="230" w:hRule="exact"/>
        </w:trPr>
        <w:tc>
          <w:tcPr>
            <w:tcW w:w="4337" w:type="dxa"/>
          </w:tcPr>
          <w:p>
            <w:pPr>
              <w:pStyle w:val="TableParagraph"/>
              <w:spacing w:line="227" w:lineRule="exact"/>
              <w:ind w:left="50"/>
              <w:jc w:val="left"/>
              <w:rPr>
                <w:sz w:val="20"/>
              </w:rPr>
            </w:pPr>
            <w:r>
              <w:rPr>
                <w:sz w:val="20"/>
              </w:rPr>
              <w:t>Capital in excess of par value</w:t>
            </w:r>
          </w:p>
        </w:tc>
        <w:tc>
          <w:tcPr>
            <w:tcW w:w="3684" w:type="dxa"/>
          </w:tcPr>
          <w:p>
            <w:pPr>
              <w:pStyle w:val="TableParagraph"/>
              <w:tabs>
                <w:tab w:pos="1439" w:val="left" w:leader="none"/>
              </w:tabs>
              <w:spacing w:line="227" w:lineRule="exact"/>
              <w:ind w:right="48"/>
              <w:rPr>
                <w:sz w:val="20"/>
              </w:rPr>
            </w:pPr>
            <w:r>
              <w:rPr>
                <w:sz w:val="20"/>
              </w:rPr>
              <w:t>155,696</w:t>
              <w:tab/>
            </w:r>
            <w:r>
              <w:rPr>
                <w:spacing w:val="-2"/>
                <w:sz w:val="20"/>
              </w:rPr>
              <w:t>181,650</w:t>
            </w:r>
          </w:p>
        </w:tc>
      </w:tr>
      <w:tr>
        <w:trPr>
          <w:trHeight w:val="230" w:hRule="exact"/>
        </w:trPr>
        <w:tc>
          <w:tcPr>
            <w:tcW w:w="4337" w:type="dxa"/>
          </w:tcPr>
          <w:p>
            <w:pPr>
              <w:pStyle w:val="TableParagraph"/>
              <w:spacing w:line="227" w:lineRule="exact"/>
              <w:ind w:left="50"/>
              <w:jc w:val="left"/>
              <w:rPr>
                <w:sz w:val="20"/>
              </w:rPr>
            </w:pPr>
            <w:r>
              <w:rPr>
                <w:sz w:val="20"/>
              </w:rPr>
              <w:t>Retained earnings</w:t>
            </w:r>
          </w:p>
        </w:tc>
        <w:tc>
          <w:tcPr>
            <w:tcW w:w="3684" w:type="dxa"/>
          </w:tcPr>
          <w:p>
            <w:pPr>
              <w:pStyle w:val="TableParagraph"/>
              <w:tabs>
                <w:tab w:pos="1439" w:val="left" w:leader="none"/>
              </w:tabs>
              <w:spacing w:line="227" w:lineRule="exact"/>
              <w:ind w:right="48"/>
              <w:rPr>
                <w:sz w:val="20"/>
              </w:rPr>
            </w:pPr>
            <w:r>
              <w:rPr>
                <w:sz w:val="20"/>
                <w:u w:val="single"/>
              </w:rPr>
              <w:t>1,632,115</w:t>
              <w:tab/>
            </w:r>
            <w:r>
              <w:rPr>
                <w:spacing w:val="-1"/>
                <w:sz w:val="20"/>
                <w:u w:val="single"/>
              </w:rPr>
              <w:t>1,321,550</w:t>
            </w:r>
          </w:p>
        </w:tc>
      </w:tr>
      <w:tr>
        <w:trPr>
          <w:trHeight w:val="230" w:hRule="exact"/>
        </w:trPr>
        <w:tc>
          <w:tcPr>
            <w:tcW w:w="4337" w:type="dxa"/>
          </w:tcPr>
          <w:p>
            <w:pPr>
              <w:pStyle w:val="TableParagraph"/>
              <w:spacing w:line="227" w:lineRule="exact"/>
              <w:ind w:left="410"/>
              <w:jc w:val="left"/>
              <w:rPr>
                <w:sz w:val="20"/>
              </w:rPr>
            </w:pPr>
            <w:r>
              <w:rPr>
                <w:sz w:val="20"/>
              </w:rPr>
              <w:t>Total stockholders’ equity</w:t>
            </w:r>
          </w:p>
        </w:tc>
        <w:tc>
          <w:tcPr>
            <w:tcW w:w="3684" w:type="dxa"/>
          </w:tcPr>
          <w:p>
            <w:pPr>
              <w:pStyle w:val="TableParagraph"/>
              <w:tabs>
                <w:tab w:pos="1439" w:val="left" w:leader="none"/>
              </w:tabs>
              <w:spacing w:line="227" w:lineRule="exact"/>
              <w:ind w:right="48"/>
              <w:rPr>
                <w:sz w:val="20"/>
              </w:rPr>
            </w:pPr>
            <w:r>
              <w:rPr>
                <w:sz w:val="20"/>
                <w:u w:val="single"/>
              </w:rPr>
              <w:t>2,009,018</w:t>
              <w:tab/>
            </w:r>
            <w:r>
              <w:rPr>
                <w:spacing w:val="-1"/>
                <w:sz w:val="20"/>
                <w:u w:val="single"/>
              </w:rPr>
              <w:t>1,648,312</w:t>
            </w:r>
          </w:p>
        </w:tc>
      </w:tr>
      <w:tr>
        <w:trPr>
          <w:trHeight w:val="228" w:hRule="exact"/>
        </w:trPr>
        <w:tc>
          <w:tcPr>
            <w:tcW w:w="4337" w:type="dxa"/>
          </w:tcPr>
          <w:p>
            <w:pPr/>
          </w:p>
        </w:tc>
        <w:tc>
          <w:tcPr>
            <w:tcW w:w="3684" w:type="dxa"/>
          </w:tcPr>
          <w:p>
            <w:pPr>
              <w:pStyle w:val="TableParagraph"/>
              <w:tabs>
                <w:tab w:pos="1439" w:val="left" w:leader="none"/>
              </w:tabs>
              <w:spacing w:line="227" w:lineRule="exact"/>
              <w:ind w:right="48"/>
              <w:rPr>
                <w:sz w:val="20"/>
              </w:rPr>
            </w:pPr>
            <w:r>
              <w:rPr>
                <w:sz w:val="20"/>
                <w:u w:val="thick"/>
              </w:rPr>
              <w:t>$4,246,160</w:t>
              <w:tab/>
            </w:r>
            <w:r>
              <w:rPr>
                <w:spacing w:val="-1"/>
                <w:sz w:val="20"/>
                <w:u w:val="thick"/>
              </w:rPr>
              <w:t>$3,723,479</w:t>
            </w:r>
          </w:p>
        </w:tc>
      </w:tr>
    </w:tbl>
    <w:p>
      <w:pPr>
        <w:pStyle w:val="BodyText"/>
        <w:rPr>
          <w:sz w:val="22"/>
        </w:rPr>
      </w:pPr>
    </w:p>
    <w:p>
      <w:pPr>
        <w:pStyle w:val="BodyText"/>
        <w:rPr>
          <w:sz w:val="22"/>
        </w:rPr>
      </w:pPr>
    </w:p>
    <w:p>
      <w:pPr>
        <w:pStyle w:val="BodyText"/>
        <w:spacing w:before="6"/>
        <w:rPr>
          <w:sz w:val="31"/>
        </w:rPr>
      </w:pPr>
    </w:p>
    <w:p>
      <w:pPr>
        <w:spacing w:before="0"/>
        <w:ind w:left="120" w:right="0" w:firstLine="0"/>
        <w:jc w:val="left"/>
        <w:rPr>
          <w:i/>
          <w:sz w:val="18"/>
        </w:rPr>
      </w:pPr>
      <w:r>
        <w:rPr>
          <w:i/>
          <w:sz w:val="18"/>
        </w:rPr>
        <w:t>See accompanying notes.</w:t>
      </w:r>
    </w:p>
    <w:p>
      <w:pPr>
        <w:spacing w:after="0"/>
        <w:jc w:val="left"/>
        <w:rPr>
          <w:sz w:val="18"/>
        </w:rPr>
        <w:sectPr>
          <w:pgSz w:w="12240" w:h="15840"/>
          <w:pgMar w:header="1592" w:footer="790" w:top="2120" w:bottom="980" w:left="1320" w:right="1320"/>
        </w:sectPr>
      </w:pPr>
    </w:p>
    <w:p>
      <w:pPr>
        <w:pStyle w:val="BodyText"/>
        <w:spacing w:before="6"/>
        <w:rPr>
          <w:i/>
          <w:sz w:val="12"/>
        </w:rPr>
      </w:pPr>
    </w:p>
    <w:p>
      <w:pPr>
        <w:spacing w:after="0"/>
        <w:rPr>
          <w:sz w:val="12"/>
        </w:rPr>
        <w:sectPr>
          <w:pgSz w:w="12240" w:h="15840"/>
          <w:pgMar w:header="1592" w:footer="790" w:top="2120" w:bottom="980" w:left="1320" w:right="1320"/>
        </w:sectPr>
      </w:pPr>
    </w:p>
    <w:p>
      <w:pPr>
        <w:spacing w:before="95"/>
        <w:ind w:left="119" w:right="0" w:firstLine="0"/>
        <w:jc w:val="left"/>
        <w:rPr>
          <w:b/>
          <w:sz w:val="20"/>
        </w:rPr>
      </w:pPr>
      <w:r>
        <w:rPr>
          <w:b/>
          <w:sz w:val="20"/>
        </w:rPr>
        <w:t>CONSOLIDATED STATEMENT OF INCOME</w:t>
      </w:r>
    </w:p>
    <w:p>
      <w:pPr>
        <w:pStyle w:val="BodyText"/>
        <w:rPr>
          <w:b/>
          <w:sz w:val="20"/>
        </w:rPr>
      </w:pPr>
      <w:r>
        <w:rPr/>
        <w:br w:type="column"/>
      </w:r>
      <w:r>
        <w:rPr>
          <w:b/>
          <w:sz w:val="20"/>
        </w:rPr>
      </w:r>
    </w:p>
    <w:p>
      <w:pPr>
        <w:pStyle w:val="BodyText"/>
        <w:spacing w:before="7"/>
        <w:rPr>
          <w:b/>
          <w:sz w:val="21"/>
        </w:rPr>
      </w:pPr>
    </w:p>
    <w:p>
      <w:pPr>
        <w:spacing w:before="0"/>
        <w:ind w:left="119" w:right="0" w:firstLine="0"/>
        <w:jc w:val="left"/>
        <w:rPr>
          <w:sz w:val="18"/>
        </w:rPr>
      </w:pPr>
      <w:r>
        <w:rPr>
          <w:sz w:val="18"/>
        </w:rPr>
        <w:t>YEARS  ENDED  DECEMBER 31,</w:t>
      </w:r>
    </w:p>
    <w:p>
      <w:pPr>
        <w:spacing w:after="0"/>
        <w:jc w:val="left"/>
        <w:rPr>
          <w:sz w:val="18"/>
        </w:rPr>
        <w:sectPr>
          <w:type w:val="continuous"/>
          <w:pgSz w:w="12240" w:h="15840"/>
          <w:pgMar w:top="1880" w:bottom="280" w:left="1320" w:right="1320"/>
          <w:cols w:num="2" w:equalWidth="0">
            <w:col w:w="4238" w:space="1810"/>
            <w:col w:w="3552"/>
          </w:cols>
        </w:sectPr>
      </w:pPr>
    </w:p>
    <w:p>
      <w:pPr>
        <w:tabs>
          <w:tab w:pos="5879" w:val="left" w:leader="none"/>
          <w:tab w:pos="7228" w:val="left" w:leader="none"/>
          <w:tab w:pos="8668" w:val="left" w:leader="none"/>
        </w:tabs>
        <w:spacing w:before="4" w:after="10"/>
        <w:ind w:left="119" w:right="0" w:firstLine="0"/>
        <w:jc w:val="left"/>
        <w:rPr>
          <w:sz w:val="20"/>
        </w:rPr>
      </w:pPr>
      <w:r>
        <w:rPr/>
        <w:pict>
          <v:line style="position:absolute;mso-position-horizontal-relative:page;mso-position-vertical-relative:paragraph;z-index:-144280" from="72pt,10.89988pt" to="521.28pt,10.89988pt" stroked="true" strokeweight=".72pt" strokecolor="#000000">
            <v:stroke dashstyle="solid"/>
            <w10:wrap type="none"/>
          </v:line>
        </w:pict>
      </w:r>
      <w:r>
        <w:rPr>
          <w:sz w:val="16"/>
        </w:rPr>
        <w:t>(IN</w:t>
      </w:r>
      <w:r>
        <w:rPr>
          <w:spacing w:val="-11"/>
          <w:sz w:val="16"/>
        </w:rPr>
        <w:t> </w:t>
      </w:r>
      <w:r>
        <w:rPr>
          <w:spacing w:val="2"/>
          <w:sz w:val="16"/>
        </w:rPr>
        <w:t>THOUSANDS</w:t>
      </w:r>
      <w:r>
        <w:rPr>
          <w:spacing w:val="-30"/>
          <w:sz w:val="16"/>
        </w:rPr>
        <w:t> </w:t>
      </w:r>
      <w:r>
        <w:rPr>
          <w:sz w:val="16"/>
        </w:rPr>
        <w:t>EXCEPT</w:t>
      </w:r>
      <w:r>
        <w:rPr>
          <w:spacing w:val="-2"/>
          <w:sz w:val="16"/>
        </w:rPr>
        <w:t> </w:t>
      </w:r>
      <w:r>
        <w:rPr>
          <w:sz w:val="16"/>
        </w:rPr>
        <w:t>PER</w:t>
      </w:r>
      <w:r>
        <w:rPr>
          <w:spacing w:val="-7"/>
          <w:sz w:val="16"/>
        </w:rPr>
        <w:t> </w:t>
      </w:r>
      <w:r>
        <w:rPr>
          <w:sz w:val="16"/>
        </w:rPr>
        <w:t>SHARE</w:t>
      </w:r>
      <w:r>
        <w:rPr>
          <w:spacing w:val="-5"/>
          <w:sz w:val="16"/>
        </w:rPr>
        <w:t> </w:t>
      </w:r>
      <w:r>
        <w:rPr>
          <w:sz w:val="16"/>
        </w:rPr>
        <w:t>AMOUNTS)</w:t>
        <w:tab/>
      </w:r>
      <w:r>
        <w:rPr>
          <w:sz w:val="20"/>
        </w:rPr>
        <w:t>1997</w:t>
        <w:tab/>
        <w:t>1996</w:t>
        <w:tab/>
        <w:t>1995</w:t>
      </w:r>
    </w:p>
    <w:tbl>
      <w:tblPr>
        <w:tblW w:w="0" w:type="auto"/>
        <w:jc w:val="left"/>
        <w:tblInd w:w="4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85"/>
        <w:gridCol w:w="4341"/>
      </w:tblGrid>
      <w:tr>
        <w:trPr>
          <w:trHeight w:val="235" w:hRule="exact"/>
        </w:trPr>
        <w:tc>
          <w:tcPr>
            <w:tcW w:w="4585" w:type="dxa"/>
          </w:tcPr>
          <w:p>
            <w:pPr>
              <w:pStyle w:val="TableParagraph"/>
              <w:spacing w:line="225" w:lineRule="exact"/>
              <w:ind w:left="50"/>
              <w:jc w:val="left"/>
              <w:rPr>
                <w:b/>
                <w:sz w:val="20"/>
              </w:rPr>
            </w:pPr>
            <w:r>
              <w:rPr>
                <w:b/>
                <w:color w:val="008080"/>
                <w:sz w:val="20"/>
              </w:rPr>
              <w:t>OPERATING REVENUES:</w:t>
            </w:r>
          </w:p>
        </w:tc>
        <w:tc>
          <w:tcPr>
            <w:tcW w:w="4341" w:type="dxa"/>
          </w:tcPr>
          <w:p>
            <w:pPr/>
          </w:p>
        </w:tc>
      </w:tr>
      <w:tr>
        <w:trPr>
          <w:trHeight w:val="228" w:hRule="exact"/>
        </w:trPr>
        <w:tc>
          <w:tcPr>
            <w:tcW w:w="4585" w:type="dxa"/>
          </w:tcPr>
          <w:p>
            <w:pPr>
              <w:pStyle w:val="TableParagraph"/>
              <w:spacing w:line="225" w:lineRule="exact"/>
              <w:ind w:left="678"/>
              <w:jc w:val="left"/>
              <w:rPr>
                <w:sz w:val="20"/>
              </w:rPr>
            </w:pPr>
            <w:r>
              <w:rPr>
                <w:sz w:val="20"/>
              </w:rPr>
              <w:t>Passenger</w:t>
            </w:r>
          </w:p>
        </w:tc>
        <w:tc>
          <w:tcPr>
            <w:tcW w:w="4341" w:type="dxa"/>
          </w:tcPr>
          <w:p>
            <w:pPr>
              <w:pStyle w:val="TableParagraph"/>
              <w:tabs>
                <w:tab w:pos="1439" w:val="left" w:leader="none"/>
                <w:tab w:pos="2879" w:val="left" w:leader="none"/>
              </w:tabs>
              <w:spacing w:line="225" w:lineRule="exact"/>
              <w:ind w:right="51"/>
              <w:rPr>
                <w:sz w:val="20"/>
              </w:rPr>
            </w:pPr>
            <w:r>
              <w:rPr>
                <w:sz w:val="20"/>
              </w:rPr>
              <w:t>$3,639,193</w:t>
              <w:tab/>
              <w:t>$3,269,238</w:t>
              <w:tab/>
            </w:r>
            <w:r>
              <w:rPr>
                <w:spacing w:val="-1"/>
                <w:sz w:val="20"/>
              </w:rPr>
              <w:t>$2,760,756</w:t>
            </w:r>
          </w:p>
        </w:tc>
      </w:tr>
      <w:tr>
        <w:trPr>
          <w:trHeight w:val="230" w:hRule="exact"/>
        </w:trPr>
        <w:tc>
          <w:tcPr>
            <w:tcW w:w="4585" w:type="dxa"/>
          </w:tcPr>
          <w:p>
            <w:pPr>
              <w:pStyle w:val="TableParagraph"/>
              <w:spacing w:line="227" w:lineRule="exact"/>
              <w:ind w:left="678"/>
              <w:jc w:val="left"/>
              <w:rPr>
                <w:sz w:val="20"/>
              </w:rPr>
            </w:pPr>
            <w:r>
              <w:rPr>
                <w:sz w:val="20"/>
              </w:rPr>
              <w:t>Freight</w:t>
            </w:r>
          </w:p>
        </w:tc>
        <w:tc>
          <w:tcPr>
            <w:tcW w:w="4341" w:type="dxa"/>
          </w:tcPr>
          <w:p>
            <w:pPr>
              <w:pStyle w:val="TableParagraph"/>
              <w:tabs>
                <w:tab w:pos="1439" w:val="left" w:leader="none"/>
                <w:tab w:pos="2879" w:val="left" w:leader="none"/>
              </w:tabs>
              <w:spacing w:line="227" w:lineRule="exact"/>
              <w:ind w:right="51"/>
              <w:rPr>
                <w:sz w:val="20"/>
              </w:rPr>
            </w:pPr>
            <w:r>
              <w:rPr>
                <w:sz w:val="20"/>
              </w:rPr>
              <w:t>94,758</w:t>
              <w:tab/>
              <w:t>80,005</w:t>
              <w:tab/>
            </w:r>
            <w:r>
              <w:rPr>
                <w:spacing w:val="-2"/>
                <w:sz w:val="20"/>
              </w:rPr>
              <w:t>65,825</w:t>
            </w:r>
          </w:p>
        </w:tc>
      </w:tr>
      <w:tr>
        <w:trPr>
          <w:trHeight w:val="230" w:hRule="exact"/>
        </w:trPr>
        <w:tc>
          <w:tcPr>
            <w:tcW w:w="4585" w:type="dxa"/>
          </w:tcPr>
          <w:p>
            <w:pPr>
              <w:pStyle w:val="TableParagraph"/>
              <w:spacing w:line="227" w:lineRule="exact"/>
              <w:ind w:left="678"/>
              <w:jc w:val="left"/>
              <w:rPr>
                <w:sz w:val="20"/>
              </w:rPr>
            </w:pPr>
            <w:r>
              <w:rPr>
                <w:sz w:val="20"/>
              </w:rPr>
              <w:t>Other</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82,870</w:t>
              <w:tab/>
              <w:t>56,927</w:t>
              <w:tab/>
            </w:r>
            <w:r>
              <w:rPr>
                <w:spacing w:val="-2"/>
                <w:sz w:val="20"/>
                <w:u w:val="single"/>
              </w:rPr>
              <w:t>46,170</w:t>
            </w:r>
          </w:p>
        </w:tc>
      </w:tr>
      <w:tr>
        <w:trPr>
          <w:trHeight w:val="228" w:hRule="exact"/>
        </w:trPr>
        <w:tc>
          <w:tcPr>
            <w:tcW w:w="4585" w:type="dxa"/>
          </w:tcPr>
          <w:p>
            <w:pPr>
              <w:pStyle w:val="TableParagraph"/>
              <w:spacing w:line="227" w:lineRule="exact"/>
              <w:ind w:left="1130"/>
              <w:jc w:val="left"/>
              <w:rPr>
                <w:sz w:val="20"/>
              </w:rPr>
            </w:pPr>
            <w:r>
              <w:rPr>
                <w:sz w:val="20"/>
              </w:rPr>
              <w:t>Total operating revenues</w:t>
            </w:r>
          </w:p>
        </w:tc>
        <w:tc>
          <w:tcPr>
            <w:tcW w:w="4341" w:type="dxa"/>
          </w:tcPr>
          <w:p>
            <w:pPr>
              <w:pStyle w:val="TableParagraph"/>
              <w:tabs>
                <w:tab w:pos="1439" w:val="left" w:leader="none"/>
                <w:tab w:pos="2879" w:val="left" w:leader="none"/>
              </w:tabs>
              <w:spacing w:line="227" w:lineRule="exact"/>
              <w:ind w:right="51"/>
              <w:rPr>
                <w:sz w:val="20"/>
              </w:rPr>
            </w:pPr>
            <w:r>
              <w:rPr>
                <w:sz w:val="20"/>
              </w:rPr>
              <w:t>3,816,821</w:t>
              <w:tab/>
              <w:t>3,406,170</w:t>
              <w:tab/>
            </w:r>
            <w:r>
              <w:rPr>
                <w:spacing w:val="-1"/>
                <w:sz w:val="20"/>
              </w:rPr>
              <w:t>2,872,751</w:t>
            </w:r>
          </w:p>
        </w:tc>
      </w:tr>
      <w:tr>
        <w:trPr>
          <w:trHeight w:val="466" w:hRule="exact"/>
        </w:trPr>
        <w:tc>
          <w:tcPr>
            <w:tcW w:w="4585" w:type="dxa"/>
          </w:tcPr>
          <w:p>
            <w:pPr>
              <w:pStyle w:val="TableParagraph"/>
              <w:spacing w:before="5"/>
              <w:jc w:val="left"/>
              <w:rPr>
                <w:sz w:val="20"/>
              </w:rPr>
            </w:pPr>
          </w:p>
          <w:p>
            <w:pPr>
              <w:pStyle w:val="TableParagraph"/>
              <w:ind w:left="50"/>
              <w:jc w:val="left"/>
              <w:rPr>
                <w:b/>
                <w:sz w:val="20"/>
              </w:rPr>
            </w:pPr>
            <w:r>
              <w:rPr>
                <w:b/>
                <w:color w:val="008080"/>
                <w:sz w:val="20"/>
              </w:rPr>
              <w:t>OPERATING EXPENSES:</w:t>
            </w:r>
          </w:p>
        </w:tc>
        <w:tc>
          <w:tcPr>
            <w:tcW w:w="4341" w:type="dxa"/>
          </w:tcPr>
          <w:p>
            <w:pPr/>
          </w:p>
        </w:tc>
      </w:tr>
      <w:tr>
        <w:trPr>
          <w:trHeight w:val="238" w:hRule="exact"/>
        </w:trPr>
        <w:tc>
          <w:tcPr>
            <w:tcW w:w="4585" w:type="dxa"/>
          </w:tcPr>
          <w:p>
            <w:pPr>
              <w:pStyle w:val="TableParagraph"/>
              <w:spacing w:line="225" w:lineRule="exact"/>
              <w:ind w:left="678"/>
              <w:jc w:val="left"/>
              <w:rPr>
                <w:sz w:val="20"/>
              </w:rPr>
            </w:pPr>
            <w:r>
              <w:rPr>
                <w:sz w:val="20"/>
              </w:rPr>
              <w:t>Salaries, wages, and benefits (Note 8)</w:t>
            </w:r>
          </w:p>
        </w:tc>
        <w:tc>
          <w:tcPr>
            <w:tcW w:w="4341" w:type="dxa"/>
          </w:tcPr>
          <w:p>
            <w:pPr>
              <w:pStyle w:val="TableParagraph"/>
              <w:tabs>
                <w:tab w:pos="1607" w:val="left" w:leader="none"/>
                <w:tab w:pos="3047" w:val="left" w:leader="none"/>
              </w:tabs>
              <w:spacing w:line="225" w:lineRule="exact"/>
              <w:ind w:right="51"/>
              <w:rPr>
                <w:sz w:val="20"/>
              </w:rPr>
            </w:pPr>
            <w:r>
              <w:rPr>
                <w:sz w:val="20"/>
              </w:rPr>
              <w:t>1,136,542</w:t>
              <w:tab/>
              <w:t>999,719</w:t>
              <w:tab/>
            </w:r>
            <w:r>
              <w:rPr>
                <w:spacing w:val="-2"/>
                <w:sz w:val="20"/>
              </w:rPr>
              <w:t>867,984</w:t>
            </w:r>
          </w:p>
        </w:tc>
      </w:tr>
      <w:tr>
        <w:trPr>
          <w:trHeight w:val="230" w:hRule="exact"/>
        </w:trPr>
        <w:tc>
          <w:tcPr>
            <w:tcW w:w="4585" w:type="dxa"/>
          </w:tcPr>
          <w:p>
            <w:pPr>
              <w:pStyle w:val="TableParagraph"/>
              <w:spacing w:line="227" w:lineRule="exact"/>
              <w:ind w:left="678"/>
              <w:jc w:val="left"/>
              <w:rPr>
                <w:sz w:val="20"/>
              </w:rPr>
            </w:pPr>
            <w:r>
              <w:rPr>
                <w:sz w:val="20"/>
              </w:rPr>
              <w:t>Fuel and oil</w:t>
            </w:r>
          </w:p>
        </w:tc>
        <w:tc>
          <w:tcPr>
            <w:tcW w:w="4341" w:type="dxa"/>
          </w:tcPr>
          <w:p>
            <w:pPr>
              <w:pStyle w:val="TableParagraph"/>
              <w:tabs>
                <w:tab w:pos="1439" w:val="left" w:leader="none"/>
                <w:tab w:pos="2879" w:val="left" w:leader="none"/>
              </w:tabs>
              <w:spacing w:line="227" w:lineRule="exact"/>
              <w:ind w:right="51"/>
              <w:rPr>
                <w:sz w:val="20"/>
              </w:rPr>
            </w:pPr>
            <w:r>
              <w:rPr>
                <w:sz w:val="20"/>
              </w:rPr>
              <w:t>494,952</w:t>
              <w:tab/>
              <w:t>484,673</w:t>
              <w:tab/>
            </w:r>
            <w:r>
              <w:rPr>
                <w:spacing w:val="-2"/>
                <w:sz w:val="20"/>
              </w:rPr>
              <w:t>365,670</w:t>
            </w:r>
          </w:p>
        </w:tc>
      </w:tr>
      <w:tr>
        <w:trPr>
          <w:trHeight w:val="230" w:hRule="exact"/>
        </w:trPr>
        <w:tc>
          <w:tcPr>
            <w:tcW w:w="4585" w:type="dxa"/>
          </w:tcPr>
          <w:p>
            <w:pPr>
              <w:pStyle w:val="TableParagraph"/>
              <w:spacing w:line="227" w:lineRule="exact"/>
              <w:ind w:left="678"/>
              <w:jc w:val="left"/>
              <w:rPr>
                <w:sz w:val="20"/>
              </w:rPr>
            </w:pPr>
            <w:r>
              <w:rPr>
                <w:sz w:val="20"/>
              </w:rPr>
              <w:t>Maintenance materials and repairs</w:t>
            </w:r>
          </w:p>
        </w:tc>
        <w:tc>
          <w:tcPr>
            <w:tcW w:w="4341" w:type="dxa"/>
          </w:tcPr>
          <w:p>
            <w:pPr>
              <w:pStyle w:val="TableParagraph"/>
              <w:tabs>
                <w:tab w:pos="1439" w:val="left" w:leader="none"/>
                <w:tab w:pos="2879" w:val="left" w:leader="none"/>
              </w:tabs>
              <w:spacing w:line="227" w:lineRule="exact"/>
              <w:ind w:right="51"/>
              <w:rPr>
                <w:sz w:val="20"/>
              </w:rPr>
            </w:pPr>
            <w:r>
              <w:rPr>
                <w:sz w:val="20"/>
              </w:rPr>
              <w:t>256,501</w:t>
              <w:tab/>
              <w:t>253,521</w:t>
              <w:tab/>
            </w:r>
            <w:r>
              <w:rPr>
                <w:spacing w:val="-2"/>
                <w:sz w:val="20"/>
              </w:rPr>
              <w:t>217,259</w:t>
            </w:r>
          </w:p>
        </w:tc>
      </w:tr>
      <w:tr>
        <w:trPr>
          <w:trHeight w:val="230" w:hRule="exact"/>
        </w:trPr>
        <w:tc>
          <w:tcPr>
            <w:tcW w:w="4585" w:type="dxa"/>
          </w:tcPr>
          <w:p>
            <w:pPr>
              <w:pStyle w:val="TableParagraph"/>
              <w:spacing w:line="227" w:lineRule="exact"/>
              <w:ind w:left="678"/>
              <w:jc w:val="left"/>
              <w:rPr>
                <w:sz w:val="20"/>
              </w:rPr>
            </w:pPr>
            <w:r>
              <w:rPr>
                <w:sz w:val="20"/>
              </w:rPr>
              <w:t>Agency commissions</w:t>
            </w:r>
          </w:p>
        </w:tc>
        <w:tc>
          <w:tcPr>
            <w:tcW w:w="4341" w:type="dxa"/>
          </w:tcPr>
          <w:p>
            <w:pPr>
              <w:pStyle w:val="TableParagraph"/>
              <w:tabs>
                <w:tab w:pos="1439" w:val="left" w:leader="none"/>
                <w:tab w:pos="2879" w:val="left" w:leader="none"/>
              </w:tabs>
              <w:spacing w:line="227" w:lineRule="exact"/>
              <w:ind w:right="51"/>
              <w:rPr>
                <w:sz w:val="20"/>
              </w:rPr>
            </w:pPr>
            <w:r>
              <w:rPr>
                <w:sz w:val="20"/>
              </w:rPr>
              <w:t>157,211</w:t>
              <w:tab/>
              <w:t>140,940</w:t>
              <w:tab/>
            </w:r>
            <w:r>
              <w:rPr>
                <w:spacing w:val="-2"/>
                <w:sz w:val="20"/>
              </w:rPr>
              <w:t>123,380</w:t>
            </w:r>
          </w:p>
        </w:tc>
      </w:tr>
      <w:tr>
        <w:trPr>
          <w:trHeight w:val="230" w:hRule="exact"/>
        </w:trPr>
        <w:tc>
          <w:tcPr>
            <w:tcW w:w="4585" w:type="dxa"/>
          </w:tcPr>
          <w:p>
            <w:pPr>
              <w:pStyle w:val="TableParagraph"/>
              <w:spacing w:line="227" w:lineRule="exact"/>
              <w:ind w:left="678"/>
              <w:jc w:val="left"/>
              <w:rPr>
                <w:sz w:val="20"/>
              </w:rPr>
            </w:pPr>
            <w:r>
              <w:rPr>
                <w:sz w:val="20"/>
              </w:rPr>
              <w:t>Aircraft rentals</w:t>
            </w:r>
          </w:p>
        </w:tc>
        <w:tc>
          <w:tcPr>
            <w:tcW w:w="4341" w:type="dxa"/>
          </w:tcPr>
          <w:p>
            <w:pPr>
              <w:pStyle w:val="TableParagraph"/>
              <w:tabs>
                <w:tab w:pos="1439" w:val="left" w:leader="none"/>
                <w:tab w:pos="2879" w:val="left" w:leader="none"/>
              </w:tabs>
              <w:spacing w:line="227" w:lineRule="exact"/>
              <w:ind w:right="51"/>
              <w:rPr>
                <w:sz w:val="20"/>
              </w:rPr>
            </w:pPr>
            <w:r>
              <w:rPr>
                <w:sz w:val="20"/>
              </w:rPr>
              <w:t>201,954</w:t>
              <w:tab/>
              <w:t>190,663</w:t>
              <w:tab/>
            </w:r>
            <w:r>
              <w:rPr>
                <w:spacing w:val="-2"/>
                <w:sz w:val="20"/>
              </w:rPr>
              <w:t>169,461</w:t>
            </w:r>
          </w:p>
        </w:tc>
      </w:tr>
      <w:tr>
        <w:trPr>
          <w:trHeight w:val="230" w:hRule="exact"/>
        </w:trPr>
        <w:tc>
          <w:tcPr>
            <w:tcW w:w="4585" w:type="dxa"/>
          </w:tcPr>
          <w:p>
            <w:pPr>
              <w:pStyle w:val="TableParagraph"/>
              <w:spacing w:line="227" w:lineRule="exact"/>
              <w:ind w:left="678"/>
              <w:jc w:val="left"/>
              <w:rPr>
                <w:sz w:val="20"/>
              </w:rPr>
            </w:pPr>
            <w:r>
              <w:rPr>
                <w:sz w:val="20"/>
              </w:rPr>
              <w:t>Landing fees and other rentals</w:t>
            </w:r>
          </w:p>
        </w:tc>
        <w:tc>
          <w:tcPr>
            <w:tcW w:w="4341" w:type="dxa"/>
          </w:tcPr>
          <w:p>
            <w:pPr>
              <w:pStyle w:val="TableParagraph"/>
              <w:tabs>
                <w:tab w:pos="1439" w:val="left" w:leader="none"/>
                <w:tab w:pos="2879" w:val="left" w:leader="none"/>
              </w:tabs>
              <w:spacing w:line="227" w:lineRule="exact"/>
              <w:ind w:right="51"/>
              <w:rPr>
                <w:sz w:val="20"/>
              </w:rPr>
            </w:pPr>
            <w:r>
              <w:rPr>
                <w:sz w:val="20"/>
              </w:rPr>
              <w:t>203,845</w:t>
              <w:tab/>
              <w:t>187,600</w:t>
              <w:tab/>
            </w:r>
            <w:r>
              <w:rPr>
                <w:spacing w:val="-2"/>
                <w:sz w:val="20"/>
              </w:rPr>
              <w:t>160,322</w:t>
            </w:r>
          </w:p>
        </w:tc>
      </w:tr>
      <w:tr>
        <w:trPr>
          <w:trHeight w:val="230" w:hRule="exact"/>
        </w:trPr>
        <w:tc>
          <w:tcPr>
            <w:tcW w:w="4585" w:type="dxa"/>
          </w:tcPr>
          <w:p>
            <w:pPr>
              <w:pStyle w:val="TableParagraph"/>
              <w:spacing w:line="227" w:lineRule="exact"/>
              <w:ind w:left="678"/>
              <w:jc w:val="left"/>
              <w:rPr>
                <w:sz w:val="20"/>
              </w:rPr>
            </w:pPr>
            <w:r>
              <w:rPr>
                <w:sz w:val="20"/>
              </w:rPr>
              <w:t>Depreciation</w:t>
            </w:r>
          </w:p>
        </w:tc>
        <w:tc>
          <w:tcPr>
            <w:tcW w:w="4341" w:type="dxa"/>
          </w:tcPr>
          <w:p>
            <w:pPr>
              <w:pStyle w:val="TableParagraph"/>
              <w:tabs>
                <w:tab w:pos="1439" w:val="left" w:leader="none"/>
                <w:tab w:pos="2879" w:val="left" w:leader="none"/>
              </w:tabs>
              <w:spacing w:line="227" w:lineRule="exact"/>
              <w:ind w:right="51"/>
              <w:rPr>
                <w:sz w:val="20"/>
              </w:rPr>
            </w:pPr>
            <w:r>
              <w:rPr>
                <w:sz w:val="20"/>
              </w:rPr>
              <w:t>195,568</w:t>
              <w:tab/>
              <w:t>183,470</w:t>
              <w:tab/>
            </w:r>
            <w:r>
              <w:rPr>
                <w:spacing w:val="-2"/>
                <w:sz w:val="20"/>
              </w:rPr>
              <w:t>156,771</w:t>
            </w:r>
          </w:p>
        </w:tc>
      </w:tr>
      <w:tr>
        <w:trPr>
          <w:trHeight w:val="230" w:hRule="exact"/>
        </w:trPr>
        <w:tc>
          <w:tcPr>
            <w:tcW w:w="4585" w:type="dxa"/>
          </w:tcPr>
          <w:p>
            <w:pPr>
              <w:pStyle w:val="TableParagraph"/>
              <w:spacing w:line="227" w:lineRule="exact"/>
              <w:ind w:left="678"/>
              <w:jc w:val="left"/>
              <w:rPr>
                <w:sz w:val="20"/>
              </w:rPr>
            </w:pPr>
            <w:r>
              <w:rPr>
                <w:sz w:val="20"/>
              </w:rPr>
              <w:t>Other operating expenses</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646,012</w:t>
              <w:tab/>
              <w:t>614,749</w:t>
              <w:tab/>
            </w:r>
            <w:r>
              <w:rPr>
                <w:spacing w:val="-2"/>
                <w:sz w:val="20"/>
                <w:u w:val="single"/>
              </w:rPr>
              <w:t>498,373</w:t>
            </w:r>
          </w:p>
        </w:tc>
      </w:tr>
      <w:tr>
        <w:trPr>
          <w:trHeight w:val="348" w:hRule="exact"/>
        </w:trPr>
        <w:tc>
          <w:tcPr>
            <w:tcW w:w="4585" w:type="dxa"/>
          </w:tcPr>
          <w:p>
            <w:pPr>
              <w:pStyle w:val="TableParagraph"/>
              <w:spacing w:line="227" w:lineRule="exact"/>
              <w:ind w:left="1130"/>
              <w:jc w:val="left"/>
              <w:rPr>
                <w:sz w:val="20"/>
              </w:rPr>
            </w:pPr>
            <w:r>
              <w:rPr>
                <w:sz w:val="20"/>
              </w:rPr>
              <w:t>Total operating expenses</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3,292,585</w:t>
              <w:tab/>
              <w:t>3,055,335</w:t>
              <w:tab/>
            </w:r>
            <w:r>
              <w:rPr>
                <w:spacing w:val="-1"/>
                <w:sz w:val="20"/>
                <w:u w:val="single"/>
              </w:rPr>
              <w:t>2,559,220</w:t>
            </w:r>
          </w:p>
        </w:tc>
      </w:tr>
      <w:tr>
        <w:trPr>
          <w:trHeight w:val="468" w:hRule="exact"/>
        </w:trPr>
        <w:tc>
          <w:tcPr>
            <w:tcW w:w="4585" w:type="dxa"/>
          </w:tcPr>
          <w:p>
            <w:pPr>
              <w:pStyle w:val="TableParagraph"/>
              <w:spacing w:before="115"/>
              <w:ind w:left="50"/>
              <w:jc w:val="left"/>
              <w:rPr>
                <w:b/>
                <w:sz w:val="20"/>
              </w:rPr>
            </w:pPr>
            <w:r>
              <w:rPr>
                <w:b/>
                <w:color w:val="008080"/>
                <w:sz w:val="20"/>
              </w:rPr>
              <w:t>OPERATING INCOME</w:t>
            </w:r>
          </w:p>
        </w:tc>
        <w:tc>
          <w:tcPr>
            <w:tcW w:w="4341" w:type="dxa"/>
          </w:tcPr>
          <w:p>
            <w:pPr>
              <w:pStyle w:val="TableParagraph"/>
              <w:tabs>
                <w:tab w:pos="1439" w:val="left" w:leader="none"/>
                <w:tab w:pos="2879" w:val="left" w:leader="none"/>
              </w:tabs>
              <w:spacing w:before="115"/>
              <w:ind w:right="51"/>
              <w:rPr>
                <w:sz w:val="20"/>
              </w:rPr>
            </w:pPr>
            <w:r>
              <w:rPr>
                <w:sz w:val="20"/>
              </w:rPr>
              <w:t>524,236</w:t>
              <w:tab/>
              <w:t>350,835</w:t>
              <w:tab/>
            </w:r>
            <w:r>
              <w:rPr>
                <w:spacing w:val="-2"/>
                <w:sz w:val="20"/>
              </w:rPr>
              <w:t>313,531</w:t>
            </w:r>
          </w:p>
        </w:tc>
      </w:tr>
      <w:tr>
        <w:trPr>
          <w:trHeight w:val="353" w:hRule="exact"/>
        </w:trPr>
        <w:tc>
          <w:tcPr>
            <w:tcW w:w="4585" w:type="dxa"/>
          </w:tcPr>
          <w:p>
            <w:pPr>
              <w:pStyle w:val="TableParagraph"/>
              <w:spacing w:before="117"/>
              <w:ind w:left="50"/>
              <w:jc w:val="left"/>
              <w:rPr>
                <w:b/>
                <w:sz w:val="20"/>
              </w:rPr>
            </w:pPr>
            <w:r>
              <w:rPr>
                <w:b/>
                <w:color w:val="008080"/>
                <w:sz w:val="20"/>
              </w:rPr>
              <w:t>OTHER EXPENSES (INCOME):</w:t>
            </w:r>
          </w:p>
        </w:tc>
        <w:tc>
          <w:tcPr>
            <w:tcW w:w="4341" w:type="dxa"/>
          </w:tcPr>
          <w:p>
            <w:pPr/>
          </w:p>
        </w:tc>
      </w:tr>
      <w:tr>
        <w:trPr>
          <w:trHeight w:val="233" w:hRule="exact"/>
        </w:trPr>
        <w:tc>
          <w:tcPr>
            <w:tcW w:w="4585" w:type="dxa"/>
          </w:tcPr>
          <w:p>
            <w:pPr>
              <w:pStyle w:val="TableParagraph"/>
              <w:ind w:left="678"/>
              <w:jc w:val="left"/>
              <w:rPr>
                <w:sz w:val="20"/>
              </w:rPr>
            </w:pPr>
            <w:r>
              <w:rPr>
                <w:sz w:val="20"/>
              </w:rPr>
              <w:t>Interest expense</w:t>
            </w:r>
          </w:p>
        </w:tc>
        <w:tc>
          <w:tcPr>
            <w:tcW w:w="4341" w:type="dxa"/>
          </w:tcPr>
          <w:p>
            <w:pPr>
              <w:pStyle w:val="TableParagraph"/>
              <w:tabs>
                <w:tab w:pos="1439" w:val="left" w:leader="none"/>
                <w:tab w:pos="2879" w:val="left" w:leader="none"/>
              </w:tabs>
              <w:ind w:right="51"/>
              <w:rPr>
                <w:sz w:val="20"/>
              </w:rPr>
            </w:pPr>
            <w:r>
              <w:rPr>
                <w:sz w:val="20"/>
              </w:rPr>
              <w:t>63,454</w:t>
              <w:tab/>
              <w:t>59,269</w:t>
              <w:tab/>
            </w:r>
            <w:r>
              <w:rPr>
                <w:spacing w:val="-2"/>
                <w:sz w:val="20"/>
              </w:rPr>
              <w:t>58,810</w:t>
            </w:r>
          </w:p>
        </w:tc>
      </w:tr>
      <w:tr>
        <w:trPr>
          <w:trHeight w:val="230" w:hRule="exact"/>
        </w:trPr>
        <w:tc>
          <w:tcPr>
            <w:tcW w:w="4585" w:type="dxa"/>
          </w:tcPr>
          <w:p>
            <w:pPr>
              <w:pStyle w:val="TableParagraph"/>
              <w:spacing w:line="227" w:lineRule="exact"/>
              <w:ind w:left="678"/>
              <w:jc w:val="left"/>
              <w:rPr>
                <w:sz w:val="20"/>
              </w:rPr>
            </w:pPr>
            <w:r>
              <w:rPr>
                <w:sz w:val="20"/>
              </w:rPr>
              <w:t>Capitalized interest</w:t>
            </w:r>
          </w:p>
        </w:tc>
        <w:tc>
          <w:tcPr>
            <w:tcW w:w="4341" w:type="dxa"/>
          </w:tcPr>
          <w:p>
            <w:pPr>
              <w:pStyle w:val="TableParagraph"/>
              <w:tabs>
                <w:tab w:pos="1439" w:val="left" w:leader="none"/>
                <w:tab w:pos="2879" w:val="left" w:leader="none"/>
              </w:tabs>
              <w:spacing w:line="227" w:lineRule="exact"/>
              <w:ind w:right="48"/>
              <w:rPr>
                <w:sz w:val="20"/>
              </w:rPr>
            </w:pPr>
            <w:r>
              <w:rPr>
                <w:sz w:val="20"/>
              </w:rPr>
              <w:t>(19,779)</w:t>
              <w:tab/>
              <w:t>(22,267)</w:t>
              <w:tab/>
            </w:r>
            <w:r>
              <w:rPr>
                <w:spacing w:val="-1"/>
                <w:sz w:val="20"/>
              </w:rPr>
              <w:t>(31,371)</w:t>
            </w:r>
          </w:p>
        </w:tc>
      </w:tr>
      <w:tr>
        <w:trPr>
          <w:trHeight w:val="230" w:hRule="exact"/>
        </w:trPr>
        <w:tc>
          <w:tcPr>
            <w:tcW w:w="4585" w:type="dxa"/>
          </w:tcPr>
          <w:p>
            <w:pPr>
              <w:pStyle w:val="TableParagraph"/>
              <w:spacing w:line="227" w:lineRule="exact"/>
              <w:ind w:left="678"/>
              <w:jc w:val="left"/>
              <w:rPr>
                <w:sz w:val="20"/>
              </w:rPr>
            </w:pPr>
            <w:r>
              <w:rPr>
                <w:sz w:val="20"/>
              </w:rPr>
              <w:t>Interest income</w:t>
            </w:r>
          </w:p>
        </w:tc>
        <w:tc>
          <w:tcPr>
            <w:tcW w:w="4341" w:type="dxa"/>
          </w:tcPr>
          <w:p>
            <w:pPr>
              <w:pStyle w:val="TableParagraph"/>
              <w:tabs>
                <w:tab w:pos="1439" w:val="left" w:leader="none"/>
                <w:tab w:pos="2879" w:val="left" w:leader="none"/>
              </w:tabs>
              <w:spacing w:line="227" w:lineRule="exact"/>
              <w:ind w:right="48"/>
              <w:rPr>
                <w:sz w:val="20"/>
              </w:rPr>
            </w:pPr>
            <w:r>
              <w:rPr>
                <w:sz w:val="20"/>
              </w:rPr>
              <w:t>(36,616)</w:t>
              <w:tab/>
              <w:t>(25,797)</w:t>
              <w:tab/>
            </w:r>
            <w:r>
              <w:rPr>
                <w:spacing w:val="-1"/>
                <w:sz w:val="20"/>
              </w:rPr>
              <w:t>(20,095)</w:t>
            </w:r>
          </w:p>
        </w:tc>
      </w:tr>
      <w:tr>
        <w:trPr>
          <w:trHeight w:val="230" w:hRule="exact"/>
        </w:trPr>
        <w:tc>
          <w:tcPr>
            <w:tcW w:w="4585" w:type="dxa"/>
          </w:tcPr>
          <w:p>
            <w:pPr>
              <w:pStyle w:val="TableParagraph"/>
              <w:spacing w:line="227" w:lineRule="exact"/>
              <w:ind w:left="678"/>
              <w:jc w:val="left"/>
              <w:rPr>
                <w:sz w:val="20"/>
              </w:rPr>
            </w:pPr>
            <w:r>
              <w:rPr>
                <w:sz w:val="20"/>
              </w:rPr>
              <w:t>Nonoperating (gains) losses, net</w:t>
            </w:r>
          </w:p>
        </w:tc>
        <w:tc>
          <w:tcPr>
            <w:tcW w:w="4341" w:type="dxa"/>
          </w:tcPr>
          <w:p>
            <w:pPr>
              <w:pStyle w:val="TableParagraph"/>
              <w:tabs>
                <w:tab w:pos="1137" w:val="left" w:leader="none"/>
                <w:tab w:pos="2711" w:val="left" w:leader="none"/>
              </w:tabs>
              <w:spacing w:line="227" w:lineRule="exact"/>
              <w:ind w:right="51"/>
              <w:rPr>
                <w:sz w:val="20"/>
              </w:rPr>
            </w:pPr>
            <w:r>
              <w:rPr>
                <w:sz w:val="20"/>
                <w:u w:val="single"/>
              </w:rPr>
              <w:t>221</w:t>
              <w:tab/>
              <w:t>(1,732)</w:t>
              <w:tab/>
            </w:r>
            <w:r>
              <w:rPr>
                <w:spacing w:val="-2"/>
                <w:sz w:val="20"/>
                <w:u w:val="single"/>
              </w:rPr>
              <w:t>1,047</w:t>
            </w:r>
          </w:p>
        </w:tc>
      </w:tr>
      <w:tr>
        <w:trPr>
          <w:trHeight w:val="348" w:hRule="exact"/>
        </w:trPr>
        <w:tc>
          <w:tcPr>
            <w:tcW w:w="4585" w:type="dxa"/>
          </w:tcPr>
          <w:p>
            <w:pPr>
              <w:pStyle w:val="TableParagraph"/>
              <w:spacing w:line="227" w:lineRule="exact"/>
              <w:ind w:left="1130"/>
              <w:jc w:val="left"/>
              <w:rPr>
                <w:sz w:val="20"/>
              </w:rPr>
            </w:pPr>
            <w:r>
              <w:rPr>
                <w:sz w:val="20"/>
              </w:rPr>
              <w:t>Total other expenses</w:t>
            </w:r>
          </w:p>
        </w:tc>
        <w:tc>
          <w:tcPr>
            <w:tcW w:w="4341" w:type="dxa"/>
          </w:tcPr>
          <w:p>
            <w:pPr>
              <w:pStyle w:val="TableParagraph"/>
              <w:tabs>
                <w:tab w:pos="1439" w:val="left" w:leader="none"/>
                <w:tab w:pos="2879" w:val="left" w:leader="none"/>
              </w:tabs>
              <w:spacing w:line="227" w:lineRule="exact"/>
              <w:ind w:right="51"/>
              <w:rPr>
                <w:sz w:val="20"/>
              </w:rPr>
            </w:pPr>
            <w:r>
              <w:rPr>
                <w:sz w:val="20"/>
                <w:u w:val="single"/>
              </w:rPr>
              <w:t>7,280</w:t>
              <w:tab/>
              <w:t>9,473</w:t>
              <w:tab/>
            </w:r>
            <w:r>
              <w:rPr>
                <w:spacing w:val="-2"/>
                <w:sz w:val="20"/>
                <w:u w:val="single"/>
              </w:rPr>
              <w:t>8,391</w:t>
            </w:r>
          </w:p>
        </w:tc>
      </w:tr>
      <w:tr>
        <w:trPr>
          <w:trHeight w:val="353" w:hRule="exact"/>
        </w:trPr>
        <w:tc>
          <w:tcPr>
            <w:tcW w:w="4585" w:type="dxa"/>
          </w:tcPr>
          <w:p>
            <w:pPr>
              <w:pStyle w:val="TableParagraph"/>
              <w:spacing w:before="115"/>
              <w:ind w:left="50"/>
              <w:jc w:val="left"/>
              <w:rPr>
                <w:b/>
                <w:sz w:val="20"/>
              </w:rPr>
            </w:pPr>
            <w:r>
              <w:rPr>
                <w:b/>
                <w:color w:val="008080"/>
                <w:sz w:val="20"/>
              </w:rPr>
              <w:t>INCOME BEFORE INCOME TAXES</w:t>
            </w:r>
          </w:p>
        </w:tc>
        <w:tc>
          <w:tcPr>
            <w:tcW w:w="4341" w:type="dxa"/>
          </w:tcPr>
          <w:p>
            <w:pPr>
              <w:pStyle w:val="TableParagraph"/>
              <w:tabs>
                <w:tab w:pos="1439" w:val="left" w:leader="none"/>
                <w:tab w:pos="2879" w:val="left" w:leader="none"/>
              </w:tabs>
              <w:spacing w:before="115"/>
              <w:ind w:right="51"/>
              <w:rPr>
                <w:sz w:val="20"/>
              </w:rPr>
            </w:pPr>
            <w:r>
              <w:rPr>
                <w:sz w:val="20"/>
              </w:rPr>
              <w:t>516,956</w:t>
              <w:tab/>
              <w:t>341,362</w:t>
              <w:tab/>
            </w:r>
            <w:r>
              <w:rPr>
                <w:spacing w:val="-2"/>
                <w:sz w:val="20"/>
              </w:rPr>
              <w:t>305,140</w:t>
            </w:r>
          </w:p>
        </w:tc>
      </w:tr>
      <w:tr>
        <w:trPr>
          <w:trHeight w:val="240" w:hRule="exact"/>
        </w:trPr>
        <w:tc>
          <w:tcPr>
            <w:tcW w:w="4585" w:type="dxa"/>
          </w:tcPr>
          <w:p>
            <w:pPr>
              <w:pStyle w:val="TableParagraph"/>
              <w:spacing w:before="2"/>
              <w:ind w:left="50"/>
              <w:jc w:val="left"/>
              <w:rPr>
                <w:b/>
                <w:sz w:val="20"/>
              </w:rPr>
            </w:pPr>
            <w:r>
              <w:rPr>
                <w:b/>
                <w:color w:val="008080"/>
                <w:sz w:val="20"/>
              </w:rPr>
              <w:t>PROVISION FOR INCOME TAXES (NOTE 9)</w:t>
            </w:r>
          </w:p>
        </w:tc>
        <w:tc>
          <w:tcPr>
            <w:tcW w:w="4341" w:type="dxa"/>
          </w:tcPr>
          <w:p>
            <w:pPr>
              <w:pStyle w:val="TableParagraph"/>
              <w:tabs>
                <w:tab w:pos="1439" w:val="left" w:leader="none"/>
                <w:tab w:pos="2879" w:val="left" w:leader="none"/>
              </w:tabs>
              <w:spacing w:before="2"/>
              <w:ind w:right="51"/>
              <w:rPr>
                <w:sz w:val="20"/>
              </w:rPr>
            </w:pPr>
            <w:r>
              <w:rPr>
                <w:sz w:val="20"/>
                <w:u w:val="single"/>
              </w:rPr>
              <w:t>199,184</w:t>
              <w:tab/>
              <w:t>134,025</w:t>
              <w:tab/>
            </w:r>
            <w:r>
              <w:rPr>
                <w:spacing w:val="-2"/>
                <w:sz w:val="20"/>
                <w:u w:val="single"/>
              </w:rPr>
              <w:t>122,514</w:t>
            </w:r>
          </w:p>
        </w:tc>
      </w:tr>
      <w:tr>
        <w:trPr>
          <w:trHeight w:val="355" w:hRule="exact"/>
        </w:trPr>
        <w:tc>
          <w:tcPr>
            <w:tcW w:w="4585" w:type="dxa"/>
          </w:tcPr>
          <w:p>
            <w:pPr>
              <w:pStyle w:val="TableParagraph"/>
              <w:spacing w:before="2"/>
              <w:ind w:left="50"/>
              <w:jc w:val="left"/>
              <w:rPr>
                <w:b/>
                <w:sz w:val="20"/>
              </w:rPr>
            </w:pPr>
            <w:r>
              <w:rPr>
                <w:b/>
                <w:color w:val="008080"/>
                <w:sz w:val="20"/>
              </w:rPr>
              <w:t>NET INCOME</w:t>
            </w:r>
          </w:p>
        </w:tc>
        <w:tc>
          <w:tcPr>
            <w:tcW w:w="4341" w:type="dxa"/>
          </w:tcPr>
          <w:p>
            <w:pPr>
              <w:pStyle w:val="TableParagraph"/>
              <w:tabs>
                <w:tab w:pos="1439" w:val="left" w:leader="none"/>
                <w:tab w:pos="2879" w:val="left" w:leader="none"/>
              </w:tabs>
              <w:spacing w:before="2"/>
              <w:ind w:right="51"/>
              <w:rPr>
                <w:sz w:val="20"/>
              </w:rPr>
            </w:pPr>
            <w:r>
              <w:rPr>
                <w:sz w:val="20"/>
                <w:u w:val="thick"/>
              </w:rPr>
              <w:t>$317,772</w:t>
              <w:tab/>
              <w:t>$207,337</w:t>
              <w:tab/>
            </w:r>
            <w:r>
              <w:rPr>
                <w:spacing w:val="-2"/>
                <w:sz w:val="20"/>
                <w:u w:val="thick"/>
              </w:rPr>
              <w:t>$182,626</w:t>
            </w:r>
          </w:p>
        </w:tc>
      </w:tr>
      <w:tr>
        <w:trPr>
          <w:trHeight w:val="355" w:hRule="exact"/>
        </w:trPr>
        <w:tc>
          <w:tcPr>
            <w:tcW w:w="4585" w:type="dxa"/>
          </w:tcPr>
          <w:p>
            <w:pPr>
              <w:pStyle w:val="TableParagraph"/>
              <w:spacing w:before="117"/>
              <w:ind w:left="50"/>
              <w:jc w:val="left"/>
              <w:rPr>
                <w:b/>
                <w:sz w:val="20"/>
              </w:rPr>
            </w:pPr>
            <w:r>
              <w:rPr>
                <w:b/>
                <w:color w:val="008080"/>
                <w:sz w:val="20"/>
              </w:rPr>
              <w:t>NET INCOME PER SHARE, BASIC</w:t>
            </w:r>
          </w:p>
        </w:tc>
        <w:tc>
          <w:tcPr>
            <w:tcW w:w="4341" w:type="dxa"/>
          </w:tcPr>
          <w:p>
            <w:pPr/>
          </w:p>
        </w:tc>
      </w:tr>
      <w:tr>
        <w:trPr>
          <w:trHeight w:val="233" w:hRule="exact"/>
        </w:trPr>
        <w:tc>
          <w:tcPr>
            <w:tcW w:w="4585" w:type="dxa"/>
          </w:tcPr>
          <w:p>
            <w:pPr>
              <w:pStyle w:val="TableParagraph"/>
              <w:spacing w:before="2"/>
              <w:ind w:left="678"/>
              <w:jc w:val="left"/>
              <w:rPr>
                <w:b/>
                <w:sz w:val="20"/>
              </w:rPr>
            </w:pPr>
            <w:r>
              <w:rPr>
                <w:b/>
                <w:color w:val="008080"/>
                <w:sz w:val="20"/>
              </w:rPr>
              <w:t>(NOTES 6, 7, AND 10)</w:t>
            </w:r>
          </w:p>
        </w:tc>
        <w:tc>
          <w:tcPr>
            <w:tcW w:w="4341" w:type="dxa"/>
          </w:tcPr>
          <w:p>
            <w:pPr>
              <w:pStyle w:val="TableParagraph"/>
              <w:tabs>
                <w:tab w:pos="1550" w:val="left" w:leader="none"/>
                <w:tab w:pos="2990" w:val="left" w:leader="none"/>
              </w:tabs>
              <w:spacing w:before="2"/>
              <w:ind w:right="51"/>
              <w:rPr>
                <w:sz w:val="20"/>
              </w:rPr>
            </w:pPr>
            <w:r>
              <w:rPr>
                <w:sz w:val="20"/>
                <w:u w:val="thick"/>
              </w:rPr>
              <w:t>$1.45</w:t>
              <w:tab/>
              <w:t>$.95</w:t>
              <w:tab/>
            </w:r>
            <w:r>
              <w:rPr>
                <w:spacing w:val="-2"/>
                <w:sz w:val="20"/>
                <w:u w:val="thick"/>
              </w:rPr>
              <w:t>$.85</w:t>
            </w:r>
          </w:p>
        </w:tc>
      </w:tr>
    </w:tbl>
    <w:p>
      <w:pPr>
        <w:pStyle w:val="BodyText"/>
        <w:spacing w:before="10"/>
        <w:rPr>
          <w:sz w:val="20"/>
        </w:rPr>
      </w:pPr>
    </w:p>
    <w:p>
      <w:pPr>
        <w:spacing w:before="0"/>
        <w:ind w:left="480" w:right="0" w:firstLine="0"/>
        <w:jc w:val="left"/>
        <w:rPr>
          <w:b/>
          <w:sz w:val="20"/>
        </w:rPr>
      </w:pPr>
      <w:r>
        <w:rPr>
          <w:b/>
          <w:color w:val="008080"/>
          <w:sz w:val="20"/>
        </w:rPr>
        <w:t>NET INCOME PER SHARE, DILUTED</w:t>
      </w:r>
    </w:p>
    <w:p>
      <w:pPr>
        <w:tabs>
          <w:tab w:pos="5879" w:val="left" w:leader="none"/>
          <w:tab w:pos="7473" w:val="left" w:leader="none"/>
          <w:tab w:pos="8913" w:val="left" w:leader="none"/>
        </w:tabs>
        <w:spacing w:before="10"/>
        <w:ind w:left="1108" w:right="0" w:firstLine="0"/>
        <w:jc w:val="left"/>
        <w:rPr>
          <w:sz w:val="20"/>
        </w:rPr>
      </w:pPr>
      <w:r>
        <w:rPr>
          <w:b/>
          <w:color w:val="008080"/>
          <w:sz w:val="20"/>
        </w:rPr>
        <w:t>(NOTES 6, 7,</w:t>
      </w:r>
      <w:r>
        <w:rPr>
          <w:b/>
          <w:color w:val="008080"/>
          <w:spacing w:val="5"/>
          <w:sz w:val="20"/>
        </w:rPr>
        <w:t> </w:t>
      </w:r>
      <w:r>
        <w:rPr>
          <w:b/>
          <w:color w:val="008080"/>
          <w:sz w:val="20"/>
        </w:rPr>
        <w:t>AND</w:t>
      </w:r>
      <w:r>
        <w:rPr>
          <w:b/>
          <w:color w:val="008080"/>
          <w:spacing w:val="1"/>
          <w:sz w:val="20"/>
        </w:rPr>
        <w:t> </w:t>
      </w:r>
      <w:r>
        <w:rPr>
          <w:b/>
          <w:color w:val="008080"/>
          <w:sz w:val="20"/>
        </w:rPr>
        <w:t>10)</w:t>
        <w:tab/>
      </w:r>
      <w:r>
        <w:rPr>
          <w:sz w:val="20"/>
          <w:u w:val="thick"/>
        </w:rPr>
        <w:t>$1.40</w:t>
        <w:tab/>
        <w:t>$.92</w:t>
        <w:tab/>
        <w:t>$.82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before="96"/>
        <w:ind w:left="120" w:right="0" w:firstLine="0"/>
        <w:jc w:val="left"/>
        <w:rPr>
          <w:i/>
          <w:sz w:val="18"/>
        </w:rPr>
      </w:pPr>
      <w:r>
        <w:rPr>
          <w:i/>
          <w:sz w:val="18"/>
        </w:rPr>
        <w:t>See accompanying notes.</w:t>
      </w:r>
    </w:p>
    <w:p>
      <w:pPr>
        <w:spacing w:after="0"/>
        <w:jc w:val="left"/>
        <w:rPr>
          <w:sz w:val="18"/>
        </w:rPr>
        <w:sectPr>
          <w:type w:val="continuous"/>
          <w:pgSz w:w="12240" w:h="15840"/>
          <w:pgMar w:top="1880" w:bottom="280" w:left="1320" w:right="1320"/>
        </w:sectPr>
      </w:pPr>
    </w:p>
    <w:p>
      <w:pPr>
        <w:pStyle w:val="BodyText"/>
        <w:rPr>
          <w:i/>
          <w:sz w:val="20"/>
        </w:rPr>
      </w:pPr>
    </w:p>
    <w:p>
      <w:pPr>
        <w:pStyle w:val="BodyText"/>
        <w:spacing w:before="8"/>
        <w:rPr>
          <w:i/>
          <w:sz w:val="23"/>
        </w:rPr>
      </w:pPr>
    </w:p>
    <w:p>
      <w:pPr>
        <w:spacing w:before="0"/>
        <w:ind w:left="119" w:right="0" w:firstLine="0"/>
        <w:jc w:val="left"/>
        <w:rPr>
          <w:b/>
          <w:sz w:val="18"/>
        </w:rPr>
      </w:pPr>
      <w:r>
        <w:rPr>
          <w:b/>
          <w:sz w:val="18"/>
        </w:rPr>
        <w:t>CONSOLIDATED STATEMENT OF STOCKHOLDERS’ EQUITY</w:t>
      </w:r>
    </w:p>
    <w:p>
      <w:pPr>
        <w:spacing w:line="244" w:lineRule="auto" w:before="3"/>
        <w:ind w:left="5832" w:right="203" w:hanging="711"/>
        <w:jc w:val="left"/>
        <w:rPr>
          <w:sz w:val="18"/>
        </w:rPr>
      </w:pPr>
      <w:r>
        <w:rPr>
          <w:sz w:val="18"/>
          <w:u w:val="single"/>
        </w:rPr>
        <w:t>Years ended December 31, 1997, 1996, and 1995</w:t>
      </w:r>
      <w:r>
        <w:rPr>
          <w:w w:val="101"/>
          <w:sz w:val="18"/>
        </w:rPr>
        <w:t> </w:t>
      </w:r>
      <w:r>
        <w:rPr>
          <w:sz w:val="18"/>
        </w:rPr>
        <w:t>Capital in</w:t>
      </w:r>
    </w:p>
    <w:p>
      <w:pPr>
        <w:tabs>
          <w:tab w:pos="5841" w:val="left" w:leader="none"/>
          <w:tab w:pos="6959" w:val="left" w:leader="none"/>
        </w:tabs>
        <w:spacing w:before="0"/>
        <w:ind w:left="4771" w:right="0" w:firstLine="0"/>
        <w:jc w:val="left"/>
        <w:rPr>
          <w:sz w:val="18"/>
        </w:rPr>
      </w:pPr>
      <w:r>
        <w:rPr>
          <w:sz w:val="18"/>
        </w:rPr>
        <w:t>Common</w:t>
        <w:tab/>
      </w:r>
      <w:r>
        <w:rPr>
          <w:spacing w:val="-3"/>
          <w:sz w:val="18"/>
        </w:rPr>
        <w:t>excess</w:t>
      </w:r>
      <w:r>
        <w:rPr>
          <w:spacing w:val="5"/>
          <w:sz w:val="18"/>
        </w:rPr>
        <w:t> </w:t>
      </w:r>
      <w:r>
        <w:rPr>
          <w:sz w:val="18"/>
        </w:rPr>
        <w:t>of</w:t>
        <w:tab/>
        <w:t>Retained</w:t>
      </w:r>
    </w:p>
    <w:p>
      <w:pPr>
        <w:tabs>
          <w:tab w:pos="5092" w:val="left" w:leader="none"/>
          <w:tab w:pos="5851" w:val="left" w:leader="none"/>
          <w:tab w:pos="6983" w:val="left" w:leader="none"/>
          <w:tab w:pos="8351" w:val="left" w:leader="none"/>
        </w:tabs>
        <w:spacing w:before="4"/>
        <w:ind w:left="480" w:right="0" w:firstLine="0"/>
        <w:jc w:val="left"/>
        <w:rPr>
          <w:sz w:val="18"/>
        </w:rPr>
      </w:pPr>
      <w:r>
        <w:rPr>
          <w:sz w:val="14"/>
        </w:rPr>
        <w:t>(IN THOUSANDS</w:t>
      </w:r>
      <w:r>
        <w:rPr>
          <w:spacing w:val="-33"/>
          <w:sz w:val="14"/>
        </w:rPr>
        <w:t> </w:t>
      </w:r>
      <w:r>
        <w:rPr>
          <w:sz w:val="14"/>
        </w:rPr>
        <w:t>EXCEPT PER SHARE</w:t>
      </w:r>
      <w:r>
        <w:rPr>
          <w:spacing w:val="-1"/>
          <w:sz w:val="14"/>
        </w:rPr>
        <w:t> </w:t>
      </w:r>
      <w:r>
        <w:rPr>
          <w:sz w:val="14"/>
        </w:rPr>
        <w:t>AMOUNTS)</w:t>
        <w:tab/>
      </w:r>
      <w:r>
        <w:rPr>
          <w:sz w:val="18"/>
        </w:rPr>
        <w:t>stock</w:t>
        <w:tab/>
        <w:t>par</w:t>
      </w:r>
      <w:r>
        <w:rPr>
          <w:spacing w:val="3"/>
          <w:sz w:val="18"/>
        </w:rPr>
        <w:t> </w:t>
      </w:r>
      <w:r>
        <w:rPr>
          <w:sz w:val="18"/>
        </w:rPr>
        <w:t>value</w:t>
        <w:tab/>
        <w:t>earnings</w:t>
        <w:tab/>
        <w:t>Total</w:t>
      </w:r>
    </w:p>
    <w:p>
      <w:pPr>
        <w:pStyle w:val="BodyText"/>
        <w:spacing w:before="7"/>
        <w:rPr>
          <w:sz w:val="18"/>
        </w:rPr>
      </w:pPr>
    </w:p>
    <w:p>
      <w:pPr>
        <w:tabs>
          <w:tab w:pos="4943" w:val="left" w:leader="none"/>
          <w:tab w:pos="6023" w:val="left" w:leader="none"/>
          <w:tab w:pos="7103" w:val="left" w:leader="none"/>
        </w:tabs>
        <w:spacing w:line="244" w:lineRule="auto" w:before="1"/>
        <w:ind w:left="662" w:right="654" w:hanging="183"/>
        <w:jc w:val="left"/>
        <w:rPr>
          <w:sz w:val="18"/>
        </w:rPr>
      </w:pPr>
      <w:r>
        <w:rPr>
          <w:sz w:val="18"/>
        </w:rPr>
        <w:t>Balance at December</w:t>
      </w:r>
      <w:r>
        <w:rPr>
          <w:spacing w:val="6"/>
          <w:sz w:val="18"/>
        </w:rPr>
        <w:t> </w:t>
      </w:r>
      <w:r>
        <w:rPr>
          <w:sz w:val="18"/>
        </w:rPr>
        <w:t>31,</w:t>
      </w:r>
      <w:r>
        <w:rPr>
          <w:spacing w:val="1"/>
          <w:sz w:val="18"/>
        </w:rPr>
        <w:t> </w:t>
      </w:r>
      <w:r>
        <w:rPr>
          <w:sz w:val="18"/>
        </w:rPr>
        <w:t>1994</w:t>
        <w:tab/>
        <w:t>$143,256</w:t>
        <w:tab/>
        <w:t>$151,746</w:t>
        <w:tab/>
        <w:t>$943,704  </w:t>
      </w:r>
      <w:r>
        <w:rPr>
          <w:spacing w:val="31"/>
          <w:sz w:val="18"/>
        </w:rPr>
        <w:t> </w:t>
      </w:r>
      <w:r>
        <w:rPr>
          <w:sz w:val="18"/>
        </w:rPr>
        <w:t>$1,238,706</w:t>
      </w:r>
      <w:r>
        <w:rPr>
          <w:w w:val="101"/>
          <w:sz w:val="18"/>
        </w:rPr>
        <w:t> </w:t>
      </w:r>
      <w:r>
        <w:rPr>
          <w:sz w:val="18"/>
        </w:rPr>
        <w:t>Issuance of common stock</w:t>
      </w:r>
      <w:r>
        <w:rPr>
          <w:spacing w:val="43"/>
          <w:sz w:val="18"/>
        </w:rPr>
        <w:t> </w:t>
      </w:r>
      <w:r>
        <w:rPr>
          <w:sz w:val="18"/>
        </w:rPr>
        <w:t>upon</w:t>
      </w:r>
    </w:p>
    <w:p>
      <w:pPr>
        <w:spacing w:line="244" w:lineRule="auto" w:before="0" w:after="4"/>
        <w:ind w:left="840" w:right="6098" w:firstLine="0"/>
        <w:jc w:val="left"/>
        <w:rPr>
          <w:sz w:val="18"/>
        </w:rPr>
      </w:pPr>
      <w:r>
        <w:rPr>
          <w:sz w:val="18"/>
        </w:rPr>
        <w:t>exercise of executive stock options and pursuant to Employee stock option and</w:t>
      </w:r>
    </w:p>
    <w:tbl>
      <w:tblPr>
        <w:tblW w:w="0" w:type="auto"/>
        <w:jc w:val="left"/>
        <w:tblInd w:w="4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85"/>
        <w:gridCol w:w="1899"/>
        <w:gridCol w:w="1003"/>
        <w:gridCol w:w="1081"/>
        <w:gridCol w:w="997"/>
      </w:tblGrid>
      <w:tr>
        <w:trPr>
          <w:trHeight w:val="207" w:hRule="exact"/>
        </w:trPr>
        <w:tc>
          <w:tcPr>
            <w:tcW w:w="5484" w:type="dxa"/>
            <w:gridSpan w:val="2"/>
          </w:tcPr>
          <w:p>
            <w:pPr>
              <w:pStyle w:val="TableParagraph"/>
              <w:tabs>
                <w:tab w:pos="5272" w:val="right" w:leader="none"/>
              </w:tabs>
              <w:spacing w:line="203" w:lineRule="exact"/>
              <w:ind w:left="410"/>
              <w:jc w:val="left"/>
              <w:rPr>
                <w:sz w:val="18"/>
              </w:rPr>
            </w:pPr>
            <w:r>
              <w:rPr>
                <w:sz w:val="18"/>
              </w:rPr>
              <w:t>purchase plans</w:t>
            </w:r>
            <w:r>
              <w:rPr>
                <w:spacing w:val="-4"/>
                <w:sz w:val="18"/>
              </w:rPr>
              <w:t> </w:t>
            </w:r>
            <w:r>
              <w:rPr>
                <w:sz w:val="18"/>
              </w:rPr>
              <w:t>(Note</w:t>
            </w:r>
            <w:r>
              <w:rPr>
                <w:spacing w:val="-6"/>
                <w:sz w:val="18"/>
              </w:rPr>
              <w:t> </w:t>
            </w:r>
            <w:r>
              <w:rPr>
                <w:sz w:val="18"/>
              </w:rPr>
              <w:t>7)</w:t>
              <w:tab/>
              <w:t>777</w:t>
            </w:r>
          </w:p>
        </w:tc>
        <w:tc>
          <w:tcPr>
            <w:tcW w:w="1003" w:type="dxa"/>
          </w:tcPr>
          <w:p>
            <w:pPr>
              <w:pStyle w:val="TableParagraph"/>
              <w:spacing w:line="203" w:lineRule="exact"/>
              <w:ind w:right="132"/>
              <w:rPr>
                <w:sz w:val="18"/>
              </w:rPr>
            </w:pPr>
            <w:r>
              <w:rPr>
                <w:sz w:val="18"/>
              </w:rPr>
              <w:t>9,907</w:t>
            </w:r>
          </w:p>
        </w:tc>
        <w:tc>
          <w:tcPr>
            <w:tcW w:w="1081" w:type="dxa"/>
          </w:tcPr>
          <w:p>
            <w:pPr>
              <w:pStyle w:val="TableParagraph"/>
              <w:spacing w:line="203" w:lineRule="exact"/>
              <w:ind w:right="133"/>
              <w:rPr>
                <w:sz w:val="18"/>
              </w:rPr>
            </w:pPr>
            <w:r>
              <w:rPr>
                <w:w w:val="101"/>
                <w:sz w:val="18"/>
              </w:rPr>
              <w:t>–</w:t>
            </w:r>
          </w:p>
        </w:tc>
        <w:tc>
          <w:tcPr>
            <w:tcW w:w="997" w:type="dxa"/>
          </w:tcPr>
          <w:p>
            <w:pPr>
              <w:pStyle w:val="TableParagraph"/>
              <w:spacing w:line="203" w:lineRule="exact"/>
              <w:ind w:right="50"/>
              <w:rPr>
                <w:sz w:val="18"/>
              </w:rPr>
            </w:pPr>
            <w:r>
              <w:rPr>
                <w:sz w:val="18"/>
              </w:rPr>
              <w:t>10,684</w:t>
            </w:r>
          </w:p>
        </w:tc>
      </w:tr>
      <w:tr>
        <w:trPr>
          <w:trHeight w:val="211" w:hRule="exact"/>
        </w:trPr>
        <w:tc>
          <w:tcPr>
            <w:tcW w:w="5484" w:type="dxa"/>
            <w:gridSpan w:val="2"/>
          </w:tcPr>
          <w:p>
            <w:pPr>
              <w:pStyle w:val="TableParagraph"/>
              <w:tabs>
                <w:tab w:pos="5171" w:val="left" w:leader="none"/>
              </w:tabs>
              <w:ind w:left="232"/>
              <w:jc w:val="left"/>
              <w:rPr>
                <w:sz w:val="18"/>
              </w:rPr>
            </w:pPr>
            <w:r>
              <w:rPr>
                <w:sz w:val="18"/>
              </w:rPr>
              <w:t>Tax benefit of options</w:t>
            </w:r>
            <w:r>
              <w:rPr>
                <w:spacing w:val="-1"/>
                <w:sz w:val="18"/>
              </w:rPr>
              <w:t> </w:t>
            </w:r>
            <w:r>
              <w:rPr>
                <w:sz w:val="18"/>
              </w:rPr>
              <w:t>exercised</w:t>
              <w:tab/>
              <w:t>–</w:t>
            </w:r>
          </w:p>
        </w:tc>
        <w:tc>
          <w:tcPr>
            <w:tcW w:w="1003" w:type="dxa"/>
          </w:tcPr>
          <w:p>
            <w:pPr>
              <w:pStyle w:val="TableParagraph"/>
              <w:ind w:right="132"/>
              <w:rPr>
                <w:sz w:val="18"/>
              </w:rPr>
            </w:pPr>
            <w:r>
              <w:rPr>
                <w:sz w:val="18"/>
              </w:rPr>
              <w:t>1,051</w:t>
            </w:r>
          </w:p>
        </w:tc>
        <w:tc>
          <w:tcPr>
            <w:tcW w:w="1081" w:type="dxa"/>
          </w:tcPr>
          <w:p>
            <w:pPr>
              <w:pStyle w:val="TableParagraph"/>
              <w:ind w:right="133"/>
              <w:rPr>
                <w:sz w:val="18"/>
              </w:rPr>
            </w:pPr>
            <w:r>
              <w:rPr>
                <w:w w:val="101"/>
                <w:sz w:val="18"/>
              </w:rPr>
              <w:t>–</w:t>
            </w:r>
          </w:p>
        </w:tc>
        <w:tc>
          <w:tcPr>
            <w:tcW w:w="997" w:type="dxa"/>
          </w:tcPr>
          <w:p>
            <w:pPr>
              <w:pStyle w:val="TableParagraph"/>
              <w:ind w:right="50"/>
              <w:rPr>
                <w:sz w:val="18"/>
              </w:rPr>
            </w:pPr>
            <w:r>
              <w:rPr>
                <w:sz w:val="18"/>
              </w:rPr>
              <w:t>1,051</w:t>
            </w:r>
          </w:p>
        </w:tc>
      </w:tr>
      <w:tr>
        <w:trPr>
          <w:trHeight w:val="207" w:hRule="exact"/>
        </w:trPr>
        <w:tc>
          <w:tcPr>
            <w:tcW w:w="5484" w:type="dxa"/>
            <w:gridSpan w:val="2"/>
          </w:tcPr>
          <w:p>
            <w:pPr>
              <w:pStyle w:val="TableParagraph"/>
              <w:tabs>
                <w:tab w:pos="5171" w:val="left" w:leader="none"/>
              </w:tabs>
              <w:ind w:left="232"/>
              <w:jc w:val="left"/>
              <w:rPr>
                <w:sz w:val="18"/>
              </w:rPr>
            </w:pPr>
            <w:r>
              <w:rPr>
                <w:sz w:val="18"/>
              </w:rPr>
              <w:t>Cash dividends, $.02667</w:t>
            </w:r>
            <w:r>
              <w:rPr>
                <w:spacing w:val="8"/>
                <w:sz w:val="18"/>
              </w:rPr>
              <w:t> </w:t>
            </w:r>
            <w:r>
              <w:rPr>
                <w:sz w:val="18"/>
              </w:rPr>
              <w:t>per</w:t>
            </w:r>
            <w:r>
              <w:rPr>
                <w:spacing w:val="4"/>
                <w:sz w:val="18"/>
              </w:rPr>
              <w:t> </w:t>
            </w:r>
            <w:r>
              <w:rPr>
                <w:sz w:val="18"/>
              </w:rPr>
              <w:t>share</w:t>
              <w:tab/>
              <w:t>–</w:t>
            </w:r>
          </w:p>
        </w:tc>
        <w:tc>
          <w:tcPr>
            <w:tcW w:w="1003" w:type="dxa"/>
          </w:tcPr>
          <w:p>
            <w:pPr>
              <w:pStyle w:val="TableParagraph"/>
              <w:ind w:right="132"/>
              <w:rPr>
                <w:sz w:val="18"/>
              </w:rPr>
            </w:pPr>
            <w:r>
              <w:rPr>
                <w:w w:val="101"/>
                <w:sz w:val="18"/>
              </w:rPr>
              <w:t>–</w:t>
            </w:r>
          </w:p>
        </w:tc>
        <w:tc>
          <w:tcPr>
            <w:tcW w:w="1081" w:type="dxa"/>
          </w:tcPr>
          <w:p>
            <w:pPr>
              <w:pStyle w:val="TableParagraph"/>
              <w:ind w:right="130"/>
              <w:rPr>
                <w:sz w:val="18"/>
              </w:rPr>
            </w:pPr>
            <w:r>
              <w:rPr>
                <w:sz w:val="18"/>
              </w:rPr>
              <w:t>(5,749)</w:t>
            </w:r>
          </w:p>
        </w:tc>
        <w:tc>
          <w:tcPr>
            <w:tcW w:w="997" w:type="dxa"/>
          </w:tcPr>
          <w:p>
            <w:pPr>
              <w:pStyle w:val="TableParagraph"/>
              <w:ind w:right="48"/>
              <w:rPr>
                <w:sz w:val="18"/>
              </w:rPr>
            </w:pPr>
            <w:r>
              <w:rPr>
                <w:sz w:val="18"/>
              </w:rPr>
              <w:t>(5,749)</w:t>
            </w:r>
          </w:p>
        </w:tc>
      </w:tr>
      <w:tr>
        <w:trPr>
          <w:trHeight w:val="321" w:hRule="exact"/>
        </w:trPr>
        <w:tc>
          <w:tcPr>
            <w:tcW w:w="8565" w:type="dxa"/>
            <w:gridSpan w:val="5"/>
          </w:tcPr>
          <w:p>
            <w:pPr>
              <w:pStyle w:val="TableParagraph"/>
              <w:tabs>
                <w:tab w:pos="5171" w:val="left" w:leader="none"/>
                <w:tab w:pos="6251" w:val="left" w:leader="none"/>
                <w:tab w:pos="6774" w:val="left" w:leader="none"/>
                <w:tab w:pos="7854" w:val="left" w:leader="none"/>
              </w:tabs>
              <w:spacing w:before="3"/>
              <w:ind w:left="232"/>
              <w:jc w:val="left"/>
              <w:rPr>
                <w:sz w:val="18"/>
              </w:rPr>
            </w:pPr>
            <w:r>
              <w:rPr>
                <w:sz w:val="18"/>
              </w:rPr>
              <w:t>Net income</w:t>
            </w:r>
            <w:r>
              <w:rPr>
                <w:spacing w:val="9"/>
                <w:sz w:val="18"/>
              </w:rPr>
              <w:t> </w:t>
            </w:r>
            <w:r>
              <w:rPr>
                <w:sz w:val="18"/>
              </w:rPr>
              <w:t>—</w:t>
            </w:r>
            <w:r>
              <w:rPr>
                <w:spacing w:val="3"/>
                <w:sz w:val="18"/>
              </w:rPr>
              <w:t> </w:t>
            </w:r>
            <w:r>
              <w:rPr>
                <w:sz w:val="18"/>
              </w:rPr>
              <w:t>1995</w:t>
              <w:tab/>
            </w:r>
            <w:r>
              <w:rPr>
                <w:sz w:val="18"/>
                <w:u w:val="single"/>
              </w:rPr>
              <w:t>–</w:t>
              <w:tab/>
              <w:t>–</w:t>
              <w:tab/>
              <w:t>182,626</w:t>
              <w:tab/>
              <w:t>182,626</w:t>
            </w:r>
          </w:p>
        </w:tc>
      </w:tr>
      <w:tr>
        <w:trPr>
          <w:trHeight w:val="313" w:hRule="exact"/>
        </w:trPr>
        <w:tc>
          <w:tcPr>
            <w:tcW w:w="3585" w:type="dxa"/>
          </w:tcPr>
          <w:p>
            <w:pPr>
              <w:pStyle w:val="TableParagraph"/>
              <w:spacing w:before="105"/>
              <w:ind w:left="50"/>
              <w:jc w:val="left"/>
              <w:rPr>
                <w:sz w:val="18"/>
              </w:rPr>
            </w:pPr>
            <w:r>
              <w:rPr>
                <w:sz w:val="18"/>
              </w:rPr>
              <w:t>Balance at December 31, 1995</w:t>
            </w:r>
          </w:p>
        </w:tc>
        <w:tc>
          <w:tcPr>
            <w:tcW w:w="1899" w:type="dxa"/>
          </w:tcPr>
          <w:p>
            <w:pPr>
              <w:pStyle w:val="TableParagraph"/>
              <w:spacing w:before="105"/>
              <w:ind w:left="1029"/>
              <w:jc w:val="left"/>
              <w:rPr>
                <w:sz w:val="18"/>
              </w:rPr>
            </w:pPr>
            <w:r>
              <w:rPr>
                <w:sz w:val="18"/>
              </w:rPr>
              <w:t>144,033</w:t>
            </w:r>
          </w:p>
        </w:tc>
        <w:tc>
          <w:tcPr>
            <w:tcW w:w="1003" w:type="dxa"/>
          </w:tcPr>
          <w:p>
            <w:pPr>
              <w:pStyle w:val="TableParagraph"/>
              <w:spacing w:before="105"/>
              <w:ind w:right="132"/>
              <w:rPr>
                <w:sz w:val="18"/>
              </w:rPr>
            </w:pPr>
            <w:r>
              <w:rPr>
                <w:sz w:val="18"/>
              </w:rPr>
              <w:t>162,704</w:t>
            </w:r>
          </w:p>
        </w:tc>
        <w:tc>
          <w:tcPr>
            <w:tcW w:w="1081" w:type="dxa"/>
          </w:tcPr>
          <w:p>
            <w:pPr>
              <w:pStyle w:val="TableParagraph"/>
              <w:spacing w:before="105"/>
              <w:ind w:right="133"/>
              <w:rPr>
                <w:sz w:val="18"/>
              </w:rPr>
            </w:pPr>
            <w:r>
              <w:rPr>
                <w:sz w:val="18"/>
              </w:rPr>
              <w:t>1,120,581</w:t>
            </w:r>
          </w:p>
        </w:tc>
        <w:tc>
          <w:tcPr>
            <w:tcW w:w="997" w:type="dxa"/>
          </w:tcPr>
          <w:p>
            <w:pPr>
              <w:pStyle w:val="TableParagraph"/>
              <w:spacing w:before="105"/>
              <w:ind w:right="50"/>
              <w:rPr>
                <w:sz w:val="18"/>
              </w:rPr>
            </w:pPr>
            <w:r>
              <w:rPr>
                <w:sz w:val="18"/>
              </w:rPr>
              <w:t>1,427,318</w:t>
            </w:r>
          </w:p>
        </w:tc>
      </w:tr>
    </w:tbl>
    <w:p>
      <w:pPr>
        <w:pStyle w:val="BodyText"/>
        <w:spacing w:before="7"/>
        <w:rPr>
          <w:sz w:val="18"/>
        </w:rPr>
      </w:pPr>
    </w:p>
    <w:p>
      <w:pPr>
        <w:spacing w:line="244" w:lineRule="auto" w:before="1" w:after="4"/>
        <w:ind w:left="840" w:right="6098" w:hanging="178"/>
        <w:jc w:val="left"/>
        <w:rPr>
          <w:sz w:val="18"/>
        </w:rPr>
      </w:pPr>
      <w:r>
        <w:rPr>
          <w:sz w:val="18"/>
        </w:rPr>
        <w:t>Issuance of common stock upon exercise of executive stock options and pursuant to Employee stock option and</w:t>
      </w:r>
    </w:p>
    <w:tbl>
      <w:tblPr>
        <w:tblW w:w="0" w:type="auto"/>
        <w:jc w:val="left"/>
        <w:tblInd w:w="43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15"/>
        <w:gridCol w:w="857"/>
        <w:gridCol w:w="1018"/>
        <w:gridCol w:w="1079"/>
        <w:gridCol w:w="997"/>
      </w:tblGrid>
      <w:tr>
        <w:trPr>
          <w:trHeight w:val="207" w:hRule="exact"/>
        </w:trPr>
        <w:tc>
          <w:tcPr>
            <w:tcW w:w="5472" w:type="dxa"/>
            <w:gridSpan w:val="2"/>
          </w:tcPr>
          <w:p>
            <w:pPr>
              <w:pStyle w:val="TableParagraph"/>
              <w:tabs>
                <w:tab w:pos="4816" w:val="left" w:leader="none"/>
              </w:tabs>
              <w:spacing w:line="203" w:lineRule="exact"/>
              <w:ind w:left="410"/>
              <w:jc w:val="left"/>
              <w:rPr>
                <w:sz w:val="18"/>
              </w:rPr>
            </w:pPr>
            <w:r>
              <w:rPr>
                <w:sz w:val="18"/>
              </w:rPr>
              <w:t>purchase plans</w:t>
            </w:r>
            <w:r>
              <w:rPr>
                <w:spacing w:val="6"/>
                <w:sz w:val="18"/>
              </w:rPr>
              <w:t> </w:t>
            </w:r>
            <w:r>
              <w:rPr>
                <w:sz w:val="18"/>
              </w:rPr>
              <w:t>(Note</w:t>
            </w:r>
            <w:r>
              <w:rPr>
                <w:spacing w:val="-2"/>
                <w:sz w:val="18"/>
              </w:rPr>
              <w:t> </w:t>
            </w:r>
            <w:r>
              <w:rPr>
                <w:sz w:val="18"/>
              </w:rPr>
              <w:t>7)</w:t>
              <w:tab/>
              <w:t>1,079</w:t>
            </w:r>
          </w:p>
        </w:tc>
        <w:tc>
          <w:tcPr>
            <w:tcW w:w="1018" w:type="dxa"/>
          </w:tcPr>
          <w:p>
            <w:pPr>
              <w:pStyle w:val="TableParagraph"/>
              <w:spacing w:line="203" w:lineRule="exact"/>
              <w:ind w:right="134"/>
              <w:rPr>
                <w:sz w:val="18"/>
              </w:rPr>
            </w:pPr>
            <w:r>
              <w:rPr>
                <w:sz w:val="18"/>
              </w:rPr>
              <w:t>14,513</w:t>
            </w:r>
          </w:p>
        </w:tc>
        <w:tc>
          <w:tcPr>
            <w:tcW w:w="1079" w:type="dxa"/>
          </w:tcPr>
          <w:p>
            <w:pPr>
              <w:pStyle w:val="TableParagraph"/>
              <w:spacing w:line="203" w:lineRule="exact"/>
              <w:ind w:right="133"/>
              <w:rPr>
                <w:sz w:val="18"/>
              </w:rPr>
            </w:pPr>
            <w:r>
              <w:rPr>
                <w:w w:val="101"/>
                <w:sz w:val="18"/>
              </w:rPr>
              <w:t>–</w:t>
            </w:r>
          </w:p>
        </w:tc>
        <w:tc>
          <w:tcPr>
            <w:tcW w:w="997" w:type="dxa"/>
          </w:tcPr>
          <w:p>
            <w:pPr>
              <w:pStyle w:val="TableParagraph"/>
              <w:spacing w:line="203" w:lineRule="exact"/>
              <w:ind w:right="50"/>
              <w:rPr>
                <w:sz w:val="18"/>
              </w:rPr>
            </w:pPr>
            <w:r>
              <w:rPr>
                <w:sz w:val="18"/>
              </w:rPr>
              <w:t>15,592</w:t>
            </w:r>
          </w:p>
        </w:tc>
      </w:tr>
      <w:tr>
        <w:trPr>
          <w:trHeight w:val="211" w:hRule="exact"/>
        </w:trPr>
        <w:tc>
          <w:tcPr>
            <w:tcW w:w="5472" w:type="dxa"/>
            <w:gridSpan w:val="2"/>
          </w:tcPr>
          <w:p>
            <w:pPr>
              <w:pStyle w:val="TableParagraph"/>
              <w:tabs>
                <w:tab w:pos="5171" w:val="left" w:leader="none"/>
              </w:tabs>
              <w:ind w:left="232"/>
              <w:jc w:val="left"/>
              <w:rPr>
                <w:sz w:val="18"/>
              </w:rPr>
            </w:pPr>
            <w:r>
              <w:rPr>
                <w:sz w:val="18"/>
              </w:rPr>
              <w:t>Tax benefit of options</w:t>
            </w:r>
            <w:r>
              <w:rPr>
                <w:spacing w:val="-1"/>
                <w:sz w:val="18"/>
              </w:rPr>
              <w:t> </w:t>
            </w:r>
            <w:r>
              <w:rPr>
                <w:sz w:val="18"/>
              </w:rPr>
              <w:t>exercised</w:t>
              <w:tab/>
              <w:t>–</w:t>
            </w:r>
          </w:p>
        </w:tc>
        <w:tc>
          <w:tcPr>
            <w:tcW w:w="1018" w:type="dxa"/>
          </w:tcPr>
          <w:p>
            <w:pPr>
              <w:pStyle w:val="TableParagraph"/>
              <w:ind w:right="134"/>
              <w:rPr>
                <w:sz w:val="18"/>
              </w:rPr>
            </w:pPr>
            <w:r>
              <w:rPr>
                <w:sz w:val="18"/>
              </w:rPr>
              <w:t>4,433</w:t>
            </w:r>
          </w:p>
        </w:tc>
        <w:tc>
          <w:tcPr>
            <w:tcW w:w="1079" w:type="dxa"/>
          </w:tcPr>
          <w:p>
            <w:pPr>
              <w:pStyle w:val="TableParagraph"/>
              <w:ind w:right="133"/>
              <w:rPr>
                <w:sz w:val="18"/>
              </w:rPr>
            </w:pPr>
            <w:r>
              <w:rPr>
                <w:w w:val="101"/>
                <w:sz w:val="18"/>
              </w:rPr>
              <w:t>–</w:t>
            </w:r>
          </w:p>
        </w:tc>
        <w:tc>
          <w:tcPr>
            <w:tcW w:w="997" w:type="dxa"/>
          </w:tcPr>
          <w:p>
            <w:pPr>
              <w:pStyle w:val="TableParagraph"/>
              <w:ind w:right="50"/>
              <w:rPr>
                <w:sz w:val="18"/>
              </w:rPr>
            </w:pPr>
            <w:r>
              <w:rPr>
                <w:sz w:val="18"/>
              </w:rPr>
              <w:t>4,433</w:t>
            </w:r>
          </w:p>
        </w:tc>
      </w:tr>
      <w:tr>
        <w:trPr>
          <w:trHeight w:val="207" w:hRule="exact"/>
        </w:trPr>
        <w:tc>
          <w:tcPr>
            <w:tcW w:w="5472" w:type="dxa"/>
            <w:gridSpan w:val="2"/>
          </w:tcPr>
          <w:p>
            <w:pPr>
              <w:pStyle w:val="TableParagraph"/>
              <w:tabs>
                <w:tab w:pos="5171" w:val="left" w:leader="none"/>
              </w:tabs>
              <w:ind w:left="232"/>
              <w:jc w:val="left"/>
              <w:rPr>
                <w:sz w:val="18"/>
              </w:rPr>
            </w:pPr>
            <w:r>
              <w:rPr>
                <w:sz w:val="18"/>
              </w:rPr>
              <w:t>Cash dividends, $.02932</w:t>
            </w:r>
            <w:r>
              <w:rPr>
                <w:spacing w:val="8"/>
                <w:sz w:val="18"/>
              </w:rPr>
              <w:t> </w:t>
            </w:r>
            <w:r>
              <w:rPr>
                <w:sz w:val="18"/>
              </w:rPr>
              <w:t>per</w:t>
            </w:r>
            <w:r>
              <w:rPr>
                <w:spacing w:val="4"/>
                <w:sz w:val="18"/>
              </w:rPr>
              <w:t> </w:t>
            </w:r>
            <w:r>
              <w:rPr>
                <w:sz w:val="18"/>
              </w:rPr>
              <w:t>share</w:t>
              <w:tab/>
              <w:t>–</w:t>
            </w:r>
          </w:p>
        </w:tc>
        <w:tc>
          <w:tcPr>
            <w:tcW w:w="1018" w:type="dxa"/>
          </w:tcPr>
          <w:p>
            <w:pPr>
              <w:pStyle w:val="TableParagraph"/>
              <w:ind w:right="134"/>
              <w:rPr>
                <w:sz w:val="18"/>
              </w:rPr>
            </w:pPr>
            <w:r>
              <w:rPr>
                <w:w w:val="101"/>
                <w:sz w:val="18"/>
              </w:rPr>
              <w:t>–</w:t>
            </w:r>
          </w:p>
        </w:tc>
        <w:tc>
          <w:tcPr>
            <w:tcW w:w="1079" w:type="dxa"/>
          </w:tcPr>
          <w:p>
            <w:pPr>
              <w:pStyle w:val="TableParagraph"/>
              <w:ind w:right="130"/>
              <w:rPr>
                <w:sz w:val="18"/>
              </w:rPr>
            </w:pPr>
            <w:r>
              <w:rPr>
                <w:sz w:val="18"/>
              </w:rPr>
              <w:t>(6,368)</w:t>
            </w:r>
          </w:p>
        </w:tc>
        <w:tc>
          <w:tcPr>
            <w:tcW w:w="997" w:type="dxa"/>
          </w:tcPr>
          <w:p>
            <w:pPr>
              <w:pStyle w:val="TableParagraph"/>
              <w:ind w:right="48"/>
              <w:rPr>
                <w:sz w:val="18"/>
              </w:rPr>
            </w:pPr>
            <w:r>
              <w:rPr>
                <w:sz w:val="18"/>
              </w:rPr>
              <w:t>(6,368)</w:t>
            </w:r>
          </w:p>
        </w:tc>
      </w:tr>
      <w:tr>
        <w:trPr>
          <w:trHeight w:val="321" w:hRule="exact"/>
        </w:trPr>
        <w:tc>
          <w:tcPr>
            <w:tcW w:w="8565" w:type="dxa"/>
            <w:gridSpan w:val="5"/>
          </w:tcPr>
          <w:p>
            <w:pPr>
              <w:pStyle w:val="TableParagraph"/>
              <w:tabs>
                <w:tab w:pos="5171" w:val="left" w:leader="none"/>
                <w:tab w:pos="6251" w:val="left" w:leader="none"/>
                <w:tab w:pos="6774" w:val="left" w:leader="none"/>
                <w:tab w:pos="7854" w:val="left" w:leader="none"/>
              </w:tabs>
              <w:spacing w:before="3"/>
              <w:ind w:left="232"/>
              <w:jc w:val="left"/>
              <w:rPr>
                <w:sz w:val="18"/>
              </w:rPr>
            </w:pPr>
            <w:r>
              <w:rPr>
                <w:sz w:val="18"/>
              </w:rPr>
              <w:t>Net income</w:t>
            </w:r>
            <w:r>
              <w:rPr>
                <w:spacing w:val="9"/>
                <w:sz w:val="18"/>
              </w:rPr>
              <w:t> </w:t>
            </w:r>
            <w:r>
              <w:rPr>
                <w:sz w:val="18"/>
              </w:rPr>
              <w:t>—</w:t>
            </w:r>
            <w:r>
              <w:rPr>
                <w:spacing w:val="3"/>
                <w:sz w:val="18"/>
              </w:rPr>
              <w:t> </w:t>
            </w:r>
            <w:r>
              <w:rPr>
                <w:sz w:val="18"/>
              </w:rPr>
              <w:t>1996</w:t>
              <w:tab/>
            </w:r>
            <w:r>
              <w:rPr>
                <w:sz w:val="18"/>
                <w:u w:val="single"/>
              </w:rPr>
              <w:t>–</w:t>
              <w:tab/>
              <w:t>–</w:t>
              <w:tab/>
              <w:t>207,337</w:t>
              <w:tab/>
              <w:t>207,337</w:t>
            </w:r>
          </w:p>
        </w:tc>
      </w:tr>
      <w:tr>
        <w:trPr>
          <w:trHeight w:val="422" w:hRule="exact"/>
        </w:trPr>
        <w:tc>
          <w:tcPr>
            <w:tcW w:w="4615" w:type="dxa"/>
          </w:tcPr>
          <w:p>
            <w:pPr>
              <w:pStyle w:val="TableParagraph"/>
              <w:spacing w:before="105"/>
              <w:ind w:left="50"/>
              <w:jc w:val="left"/>
              <w:rPr>
                <w:sz w:val="18"/>
              </w:rPr>
            </w:pPr>
            <w:r>
              <w:rPr>
                <w:sz w:val="18"/>
              </w:rPr>
              <w:t>Balance at December 31, 1996</w:t>
            </w:r>
          </w:p>
        </w:tc>
        <w:tc>
          <w:tcPr>
            <w:tcW w:w="857" w:type="dxa"/>
          </w:tcPr>
          <w:p>
            <w:pPr>
              <w:pStyle w:val="TableParagraph"/>
              <w:spacing w:before="105"/>
              <w:ind w:left="-1"/>
              <w:jc w:val="left"/>
              <w:rPr>
                <w:sz w:val="18"/>
              </w:rPr>
            </w:pPr>
            <w:r>
              <w:rPr>
                <w:sz w:val="18"/>
              </w:rPr>
              <w:t>145,112</w:t>
            </w:r>
          </w:p>
        </w:tc>
        <w:tc>
          <w:tcPr>
            <w:tcW w:w="1018" w:type="dxa"/>
          </w:tcPr>
          <w:p>
            <w:pPr>
              <w:pStyle w:val="TableParagraph"/>
              <w:spacing w:before="105"/>
              <w:ind w:right="129"/>
              <w:rPr>
                <w:sz w:val="18"/>
              </w:rPr>
            </w:pPr>
            <w:r>
              <w:rPr>
                <w:sz w:val="18"/>
              </w:rPr>
              <w:t>181,650</w:t>
            </w:r>
          </w:p>
        </w:tc>
        <w:tc>
          <w:tcPr>
            <w:tcW w:w="1079" w:type="dxa"/>
          </w:tcPr>
          <w:p>
            <w:pPr>
              <w:pStyle w:val="TableParagraph"/>
              <w:spacing w:before="105"/>
              <w:ind w:right="133"/>
              <w:rPr>
                <w:sz w:val="18"/>
              </w:rPr>
            </w:pPr>
            <w:r>
              <w:rPr>
                <w:sz w:val="18"/>
              </w:rPr>
              <w:t>1,321,550</w:t>
            </w:r>
          </w:p>
        </w:tc>
        <w:tc>
          <w:tcPr>
            <w:tcW w:w="997" w:type="dxa"/>
          </w:tcPr>
          <w:p>
            <w:pPr>
              <w:pStyle w:val="TableParagraph"/>
              <w:spacing w:before="105"/>
              <w:ind w:right="50"/>
              <w:rPr>
                <w:sz w:val="18"/>
              </w:rPr>
            </w:pPr>
            <w:r>
              <w:rPr>
                <w:sz w:val="18"/>
              </w:rPr>
              <w:t>1,648,312</w:t>
            </w:r>
          </w:p>
        </w:tc>
      </w:tr>
      <w:tr>
        <w:trPr>
          <w:trHeight w:val="739" w:hRule="exact"/>
        </w:trPr>
        <w:tc>
          <w:tcPr>
            <w:tcW w:w="5472" w:type="dxa"/>
            <w:gridSpan w:val="2"/>
          </w:tcPr>
          <w:p>
            <w:pPr>
              <w:pStyle w:val="TableParagraph"/>
              <w:tabs>
                <w:tab w:pos="4715" w:val="left" w:leader="none"/>
              </w:tabs>
              <w:spacing w:line="244" w:lineRule="auto" w:before="105"/>
              <w:ind w:left="232" w:right="197"/>
              <w:jc w:val="left"/>
              <w:rPr>
                <w:sz w:val="18"/>
              </w:rPr>
            </w:pPr>
            <w:r>
              <w:rPr>
                <w:color w:val="008080"/>
                <w:sz w:val="18"/>
              </w:rPr>
              <w:t>Three-for-two stock split</w:t>
            </w:r>
            <w:r>
              <w:rPr>
                <w:color w:val="008080"/>
                <w:spacing w:val="18"/>
                <w:sz w:val="18"/>
              </w:rPr>
              <w:t> </w:t>
            </w:r>
            <w:r>
              <w:rPr>
                <w:color w:val="008080"/>
                <w:sz w:val="18"/>
              </w:rPr>
              <w:t>(Note</w:t>
            </w:r>
            <w:r>
              <w:rPr>
                <w:color w:val="008080"/>
                <w:spacing w:val="-3"/>
                <w:sz w:val="18"/>
              </w:rPr>
              <w:t> </w:t>
            </w:r>
            <w:r>
              <w:rPr>
                <w:color w:val="008080"/>
                <w:sz w:val="18"/>
              </w:rPr>
              <w:t>6)</w:t>
              <w:tab/>
            </w:r>
            <w:r>
              <w:rPr>
                <w:color w:val="008080"/>
                <w:spacing w:val="-1"/>
                <w:sz w:val="18"/>
              </w:rPr>
              <w:t>73,578 </w:t>
            </w:r>
            <w:r>
              <w:rPr>
                <w:color w:val="008080"/>
                <w:sz w:val="18"/>
              </w:rPr>
              <w:t>Issuance of common stock</w:t>
            </w:r>
            <w:r>
              <w:rPr>
                <w:color w:val="008080"/>
                <w:spacing w:val="43"/>
                <w:sz w:val="18"/>
              </w:rPr>
              <w:t> </w:t>
            </w:r>
            <w:r>
              <w:rPr>
                <w:color w:val="008080"/>
                <w:sz w:val="18"/>
              </w:rPr>
              <w:t>upon</w:t>
            </w:r>
          </w:p>
          <w:p>
            <w:pPr>
              <w:pStyle w:val="TableParagraph"/>
              <w:ind w:left="410"/>
              <w:jc w:val="left"/>
              <w:rPr>
                <w:sz w:val="18"/>
              </w:rPr>
            </w:pPr>
            <w:r>
              <w:rPr>
                <w:color w:val="008080"/>
                <w:sz w:val="18"/>
              </w:rPr>
              <w:t>exercise of executive stock</w:t>
            </w:r>
          </w:p>
        </w:tc>
        <w:tc>
          <w:tcPr>
            <w:tcW w:w="1018" w:type="dxa"/>
          </w:tcPr>
          <w:p>
            <w:pPr>
              <w:pStyle w:val="TableParagraph"/>
              <w:spacing w:before="105"/>
              <w:ind w:right="131"/>
              <w:rPr>
                <w:sz w:val="18"/>
              </w:rPr>
            </w:pPr>
            <w:r>
              <w:rPr>
                <w:color w:val="008080"/>
                <w:sz w:val="18"/>
              </w:rPr>
              <w:t>(73,578)</w:t>
            </w:r>
          </w:p>
        </w:tc>
        <w:tc>
          <w:tcPr>
            <w:tcW w:w="1079" w:type="dxa"/>
          </w:tcPr>
          <w:p>
            <w:pPr>
              <w:pStyle w:val="TableParagraph"/>
              <w:spacing w:before="105"/>
              <w:ind w:right="133"/>
              <w:rPr>
                <w:sz w:val="18"/>
              </w:rPr>
            </w:pPr>
            <w:r>
              <w:rPr>
                <w:color w:val="008080"/>
                <w:w w:val="101"/>
                <w:sz w:val="18"/>
              </w:rPr>
              <w:t>–</w:t>
            </w:r>
          </w:p>
        </w:tc>
        <w:tc>
          <w:tcPr>
            <w:tcW w:w="997" w:type="dxa"/>
          </w:tcPr>
          <w:p>
            <w:pPr>
              <w:pStyle w:val="TableParagraph"/>
              <w:spacing w:before="105"/>
              <w:ind w:right="50"/>
              <w:rPr>
                <w:sz w:val="18"/>
              </w:rPr>
            </w:pPr>
            <w:r>
              <w:rPr>
                <w:color w:val="008080"/>
                <w:w w:val="101"/>
                <w:sz w:val="18"/>
              </w:rPr>
              <w:t>–</w:t>
            </w:r>
          </w:p>
        </w:tc>
      </w:tr>
      <w:tr>
        <w:trPr>
          <w:trHeight w:val="634" w:hRule="exact"/>
        </w:trPr>
        <w:tc>
          <w:tcPr>
            <w:tcW w:w="5472" w:type="dxa"/>
            <w:gridSpan w:val="2"/>
          </w:tcPr>
          <w:p>
            <w:pPr>
              <w:pStyle w:val="TableParagraph"/>
              <w:spacing w:line="244" w:lineRule="auto"/>
              <w:ind w:left="410" w:right="2400"/>
              <w:jc w:val="left"/>
              <w:rPr>
                <w:sz w:val="18"/>
              </w:rPr>
            </w:pPr>
            <w:r>
              <w:rPr>
                <w:color w:val="008080"/>
                <w:sz w:val="18"/>
              </w:rPr>
              <w:t>options and pursuant to Employee stock option and</w:t>
            </w:r>
          </w:p>
          <w:p>
            <w:pPr>
              <w:pStyle w:val="TableParagraph"/>
              <w:tabs>
                <w:tab w:pos="4816" w:val="left" w:leader="none"/>
              </w:tabs>
              <w:ind w:left="410"/>
              <w:jc w:val="left"/>
              <w:rPr>
                <w:sz w:val="18"/>
              </w:rPr>
            </w:pPr>
            <w:r>
              <w:rPr>
                <w:color w:val="008080"/>
                <w:sz w:val="18"/>
              </w:rPr>
              <w:t>purchase plans</w:t>
            </w:r>
            <w:r>
              <w:rPr>
                <w:color w:val="008080"/>
                <w:spacing w:val="6"/>
                <w:sz w:val="18"/>
              </w:rPr>
              <w:t> </w:t>
            </w:r>
            <w:r>
              <w:rPr>
                <w:color w:val="008080"/>
                <w:sz w:val="18"/>
              </w:rPr>
              <w:t>(Note</w:t>
            </w:r>
            <w:r>
              <w:rPr>
                <w:color w:val="008080"/>
                <w:spacing w:val="-2"/>
                <w:sz w:val="18"/>
              </w:rPr>
              <w:t> </w:t>
            </w:r>
            <w:r>
              <w:rPr>
                <w:color w:val="008080"/>
                <w:sz w:val="18"/>
              </w:rPr>
              <w:t>7)</w:t>
              <w:tab/>
              <w:t>2,517</w:t>
            </w:r>
          </w:p>
        </w:tc>
        <w:tc>
          <w:tcPr>
            <w:tcW w:w="1018" w:type="dxa"/>
          </w:tcPr>
          <w:p>
            <w:pPr>
              <w:pStyle w:val="TableParagraph"/>
              <w:jc w:val="left"/>
              <w:rPr>
                <w:sz w:val="20"/>
              </w:rPr>
            </w:pPr>
          </w:p>
          <w:p>
            <w:pPr>
              <w:pStyle w:val="TableParagraph"/>
              <w:spacing w:before="8"/>
              <w:jc w:val="left"/>
              <w:rPr>
                <w:sz w:val="16"/>
              </w:rPr>
            </w:pPr>
          </w:p>
          <w:p>
            <w:pPr>
              <w:pStyle w:val="TableParagraph"/>
              <w:ind w:right="134"/>
              <w:rPr>
                <w:sz w:val="18"/>
              </w:rPr>
            </w:pPr>
            <w:r>
              <w:rPr>
                <w:color w:val="008080"/>
                <w:sz w:val="18"/>
              </w:rPr>
              <w:t>37,818</w:t>
            </w:r>
          </w:p>
        </w:tc>
        <w:tc>
          <w:tcPr>
            <w:tcW w:w="1079" w:type="dxa"/>
          </w:tcPr>
          <w:p>
            <w:pPr>
              <w:pStyle w:val="TableParagraph"/>
              <w:jc w:val="left"/>
              <w:rPr>
                <w:sz w:val="20"/>
              </w:rPr>
            </w:pPr>
          </w:p>
          <w:p>
            <w:pPr>
              <w:pStyle w:val="TableParagraph"/>
              <w:spacing w:before="8"/>
              <w:jc w:val="left"/>
              <w:rPr>
                <w:sz w:val="16"/>
              </w:rPr>
            </w:pPr>
          </w:p>
          <w:p>
            <w:pPr>
              <w:pStyle w:val="TableParagraph"/>
              <w:ind w:right="133"/>
              <w:rPr>
                <w:sz w:val="18"/>
              </w:rPr>
            </w:pPr>
            <w:r>
              <w:rPr>
                <w:color w:val="008080"/>
                <w:w w:val="101"/>
                <w:sz w:val="18"/>
              </w:rPr>
              <w:t>–</w:t>
            </w:r>
          </w:p>
        </w:tc>
        <w:tc>
          <w:tcPr>
            <w:tcW w:w="997" w:type="dxa"/>
          </w:tcPr>
          <w:p>
            <w:pPr>
              <w:pStyle w:val="TableParagraph"/>
              <w:jc w:val="left"/>
              <w:rPr>
                <w:sz w:val="20"/>
              </w:rPr>
            </w:pPr>
          </w:p>
          <w:p>
            <w:pPr>
              <w:pStyle w:val="TableParagraph"/>
              <w:spacing w:before="8"/>
              <w:jc w:val="left"/>
              <w:rPr>
                <w:sz w:val="16"/>
              </w:rPr>
            </w:pPr>
          </w:p>
          <w:p>
            <w:pPr>
              <w:pStyle w:val="TableParagraph"/>
              <w:ind w:right="50"/>
              <w:rPr>
                <w:sz w:val="18"/>
              </w:rPr>
            </w:pPr>
            <w:r>
              <w:rPr>
                <w:color w:val="008080"/>
                <w:sz w:val="18"/>
              </w:rPr>
              <w:t>40,335</w:t>
            </w:r>
          </w:p>
        </w:tc>
      </w:tr>
      <w:tr>
        <w:trPr>
          <w:trHeight w:val="211" w:hRule="exact"/>
        </w:trPr>
        <w:tc>
          <w:tcPr>
            <w:tcW w:w="5472" w:type="dxa"/>
            <w:gridSpan w:val="2"/>
          </w:tcPr>
          <w:p>
            <w:pPr>
              <w:pStyle w:val="TableParagraph"/>
              <w:tabs>
                <w:tab w:pos="5171" w:val="left" w:leader="none"/>
              </w:tabs>
              <w:ind w:left="232"/>
              <w:jc w:val="left"/>
              <w:rPr>
                <w:sz w:val="18"/>
              </w:rPr>
            </w:pPr>
            <w:r>
              <w:rPr>
                <w:color w:val="008080"/>
                <w:sz w:val="18"/>
              </w:rPr>
              <w:t>Tax benefit of options</w:t>
            </w:r>
            <w:r>
              <w:rPr>
                <w:color w:val="008080"/>
                <w:spacing w:val="-1"/>
                <w:sz w:val="18"/>
              </w:rPr>
              <w:t> </w:t>
            </w:r>
            <w:r>
              <w:rPr>
                <w:color w:val="008080"/>
                <w:sz w:val="18"/>
              </w:rPr>
              <w:t>exercised</w:t>
              <w:tab/>
              <w:t>–</w:t>
            </w:r>
          </w:p>
        </w:tc>
        <w:tc>
          <w:tcPr>
            <w:tcW w:w="1018" w:type="dxa"/>
          </w:tcPr>
          <w:p>
            <w:pPr>
              <w:pStyle w:val="TableParagraph"/>
              <w:ind w:right="134"/>
              <w:rPr>
                <w:sz w:val="18"/>
              </w:rPr>
            </w:pPr>
            <w:r>
              <w:rPr>
                <w:color w:val="008080"/>
                <w:sz w:val="18"/>
              </w:rPr>
              <w:t>9,806</w:t>
            </w:r>
          </w:p>
        </w:tc>
        <w:tc>
          <w:tcPr>
            <w:tcW w:w="1079" w:type="dxa"/>
          </w:tcPr>
          <w:p>
            <w:pPr>
              <w:pStyle w:val="TableParagraph"/>
              <w:ind w:right="133"/>
              <w:rPr>
                <w:sz w:val="18"/>
              </w:rPr>
            </w:pPr>
            <w:r>
              <w:rPr>
                <w:color w:val="008080"/>
                <w:w w:val="101"/>
                <w:sz w:val="18"/>
              </w:rPr>
              <w:t>–</w:t>
            </w:r>
          </w:p>
        </w:tc>
        <w:tc>
          <w:tcPr>
            <w:tcW w:w="997" w:type="dxa"/>
          </w:tcPr>
          <w:p>
            <w:pPr>
              <w:pStyle w:val="TableParagraph"/>
              <w:ind w:right="50"/>
              <w:rPr>
                <w:sz w:val="18"/>
              </w:rPr>
            </w:pPr>
            <w:r>
              <w:rPr>
                <w:color w:val="008080"/>
                <w:sz w:val="18"/>
              </w:rPr>
              <w:t>9,806</w:t>
            </w:r>
          </w:p>
        </w:tc>
      </w:tr>
      <w:tr>
        <w:trPr>
          <w:trHeight w:val="207" w:hRule="exact"/>
        </w:trPr>
        <w:tc>
          <w:tcPr>
            <w:tcW w:w="5472" w:type="dxa"/>
            <w:gridSpan w:val="2"/>
          </w:tcPr>
          <w:p>
            <w:pPr>
              <w:pStyle w:val="TableParagraph"/>
              <w:tabs>
                <w:tab w:pos="5171" w:val="left" w:leader="none"/>
              </w:tabs>
              <w:ind w:left="232"/>
              <w:jc w:val="left"/>
              <w:rPr>
                <w:sz w:val="18"/>
              </w:rPr>
            </w:pPr>
            <w:r>
              <w:rPr>
                <w:color w:val="008080"/>
                <w:sz w:val="18"/>
              </w:rPr>
              <w:t>Cash dividends, $.0331</w:t>
            </w:r>
            <w:r>
              <w:rPr>
                <w:color w:val="008080"/>
                <w:spacing w:val="8"/>
                <w:sz w:val="18"/>
              </w:rPr>
              <w:t> </w:t>
            </w:r>
            <w:r>
              <w:rPr>
                <w:color w:val="008080"/>
                <w:sz w:val="18"/>
              </w:rPr>
              <w:t>per</w:t>
            </w:r>
            <w:r>
              <w:rPr>
                <w:color w:val="008080"/>
                <w:spacing w:val="4"/>
                <w:sz w:val="18"/>
              </w:rPr>
              <w:t> </w:t>
            </w:r>
            <w:r>
              <w:rPr>
                <w:color w:val="008080"/>
                <w:sz w:val="18"/>
              </w:rPr>
              <w:t>share</w:t>
              <w:tab/>
              <w:t>–</w:t>
            </w:r>
          </w:p>
        </w:tc>
        <w:tc>
          <w:tcPr>
            <w:tcW w:w="1018" w:type="dxa"/>
          </w:tcPr>
          <w:p>
            <w:pPr>
              <w:pStyle w:val="TableParagraph"/>
              <w:ind w:right="134"/>
              <w:rPr>
                <w:sz w:val="18"/>
              </w:rPr>
            </w:pPr>
            <w:r>
              <w:rPr>
                <w:color w:val="008080"/>
                <w:w w:val="101"/>
                <w:sz w:val="18"/>
              </w:rPr>
              <w:t>–</w:t>
            </w:r>
          </w:p>
        </w:tc>
        <w:tc>
          <w:tcPr>
            <w:tcW w:w="1079" w:type="dxa"/>
          </w:tcPr>
          <w:p>
            <w:pPr>
              <w:pStyle w:val="TableParagraph"/>
              <w:ind w:right="130"/>
              <w:rPr>
                <w:sz w:val="18"/>
              </w:rPr>
            </w:pPr>
            <w:r>
              <w:rPr>
                <w:color w:val="008080"/>
                <w:sz w:val="18"/>
              </w:rPr>
              <w:t>(7,207)</w:t>
            </w:r>
          </w:p>
        </w:tc>
        <w:tc>
          <w:tcPr>
            <w:tcW w:w="997" w:type="dxa"/>
          </w:tcPr>
          <w:p>
            <w:pPr>
              <w:pStyle w:val="TableParagraph"/>
              <w:ind w:right="48"/>
              <w:rPr>
                <w:sz w:val="18"/>
              </w:rPr>
            </w:pPr>
            <w:r>
              <w:rPr>
                <w:color w:val="008080"/>
                <w:sz w:val="18"/>
              </w:rPr>
              <w:t>(7,207)</w:t>
            </w:r>
          </w:p>
        </w:tc>
      </w:tr>
      <w:tr>
        <w:trPr>
          <w:trHeight w:val="211" w:hRule="exact"/>
        </w:trPr>
        <w:tc>
          <w:tcPr>
            <w:tcW w:w="8565" w:type="dxa"/>
            <w:gridSpan w:val="5"/>
          </w:tcPr>
          <w:p>
            <w:pPr>
              <w:pStyle w:val="TableParagraph"/>
              <w:tabs>
                <w:tab w:pos="5171" w:val="left" w:leader="none"/>
                <w:tab w:pos="6251" w:val="left" w:leader="none"/>
                <w:tab w:pos="6774" w:val="left" w:leader="none"/>
                <w:tab w:pos="7854" w:val="left" w:leader="none"/>
              </w:tabs>
              <w:spacing w:before="3"/>
              <w:ind w:left="232"/>
              <w:jc w:val="left"/>
              <w:rPr>
                <w:sz w:val="18"/>
              </w:rPr>
            </w:pPr>
            <w:r>
              <w:rPr>
                <w:color w:val="008080"/>
                <w:sz w:val="18"/>
              </w:rPr>
              <w:t>Net income</w:t>
            </w:r>
            <w:r>
              <w:rPr>
                <w:color w:val="008080"/>
                <w:spacing w:val="7"/>
                <w:sz w:val="18"/>
              </w:rPr>
              <w:t> </w:t>
            </w:r>
            <w:r>
              <w:rPr>
                <w:color w:val="008080"/>
                <w:sz w:val="18"/>
              </w:rPr>
              <w:t>–</w:t>
            </w:r>
            <w:r>
              <w:rPr>
                <w:color w:val="008080"/>
                <w:spacing w:val="6"/>
                <w:sz w:val="18"/>
              </w:rPr>
              <w:t> </w:t>
            </w:r>
            <w:r>
              <w:rPr>
                <w:color w:val="008080"/>
                <w:sz w:val="18"/>
              </w:rPr>
              <w:t>1997</w:t>
              <w:tab/>
            </w:r>
            <w:r>
              <w:rPr>
                <w:color w:val="008080"/>
                <w:sz w:val="18"/>
                <w:u w:val="single" w:color="008080"/>
              </w:rPr>
              <w:t>–</w:t>
              <w:tab/>
              <w:t>–</w:t>
              <w:tab/>
              <w:t>317,772</w:t>
              <w:tab/>
              <w:t>317,772</w:t>
            </w:r>
          </w:p>
        </w:tc>
      </w:tr>
    </w:tbl>
    <w:p>
      <w:pPr>
        <w:pStyle w:val="BodyText"/>
        <w:spacing w:before="7"/>
        <w:rPr>
          <w:sz w:val="18"/>
        </w:rPr>
      </w:pPr>
    </w:p>
    <w:p>
      <w:pPr>
        <w:tabs>
          <w:tab w:pos="4943" w:val="left" w:leader="none"/>
          <w:tab w:pos="6023" w:val="left" w:leader="none"/>
        </w:tabs>
        <w:spacing w:before="1"/>
        <w:ind w:left="480" w:right="0" w:firstLine="0"/>
        <w:jc w:val="left"/>
        <w:rPr>
          <w:sz w:val="18"/>
        </w:rPr>
      </w:pPr>
      <w:r>
        <w:rPr>
          <w:color w:val="008080"/>
          <w:sz w:val="18"/>
        </w:rPr>
        <w:t>Balance at December</w:t>
      </w:r>
      <w:r>
        <w:rPr>
          <w:color w:val="008080"/>
          <w:spacing w:val="6"/>
          <w:sz w:val="18"/>
        </w:rPr>
        <w:t> </w:t>
      </w:r>
      <w:r>
        <w:rPr>
          <w:color w:val="008080"/>
          <w:sz w:val="18"/>
        </w:rPr>
        <w:t>31,</w:t>
      </w:r>
      <w:r>
        <w:rPr>
          <w:color w:val="008080"/>
          <w:spacing w:val="1"/>
          <w:sz w:val="18"/>
        </w:rPr>
        <w:t> </w:t>
      </w:r>
      <w:r>
        <w:rPr>
          <w:color w:val="008080"/>
          <w:sz w:val="18"/>
        </w:rPr>
        <w:t>1997</w:t>
        <w:tab/>
      </w:r>
      <w:r>
        <w:rPr>
          <w:color w:val="008080"/>
          <w:sz w:val="18"/>
          <w:u w:val="thick" w:color="008080"/>
        </w:rPr>
        <w:t>$221,207</w:t>
        <w:tab/>
        <w:t>$155,696    $1,632,115  </w:t>
      </w:r>
      <w:r>
        <w:rPr>
          <w:color w:val="008080"/>
          <w:spacing w:val="14"/>
          <w:sz w:val="18"/>
          <w:u w:val="thick" w:color="008080"/>
        </w:rPr>
        <w:t> </w:t>
      </w:r>
      <w:r>
        <w:rPr>
          <w:color w:val="008080"/>
          <w:sz w:val="18"/>
          <w:u w:val="thick" w:color="008080"/>
        </w:rPr>
        <w:t>$2,009,018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spacing w:before="96"/>
        <w:ind w:left="120" w:right="0" w:firstLine="0"/>
        <w:jc w:val="left"/>
        <w:rPr>
          <w:i/>
          <w:sz w:val="18"/>
        </w:rPr>
      </w:pPr>
      <w:r>
        <w:rPr>
          <w:i/>
          <w:sz w:val="18"/>
        </w:rPr>
        <w:t>See accompanying notes.</w:t>
      </w:r>
    </w:p>
    <w:p>
      <w:pPr>
        <w:spacing w:after="0"/>
        <w:jc w:val="left"/>
        <w:rPr>
          <w:sz w:val="18"/>
        </w:rPr>
        <w:sectPr>
          <w:pgSz w:w="12240" w:h="15840"/>
          <w:pgMar w:header="1592" w:footer="790" w:top="2120" w:bottom="980" w:left="1320" w:right="1320"/>
        </w:sectPr>
      </w:pPr>
    </w:p>
    <w:p>
      <w:pPr>
        <w:pStyle w:val="BodyText"/>
        <w:rPr>
          <w:i/>
          <w:sz w:val="20"/>
        </w:rPr>
      </w:pPr>
    </w:p>
    <w:p>
      <w:pPr>
        <w:pStyle w:val="BodyText"/>
        <w:spacing w:before="9"/>
        <w:rPr>
          <w:i/>
          <w:sz w:val="26"/>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60"/>
        <w:gridCol w:w="3227"/>
      </w:tblGrid>
      <w:tr>
        <w:trPr>
          <w:trHeight w:val="367" w:hRule="exact"/>
        </w:trPr>
        <w:tc>
          <w:tcPr>
            <w:tcW w:w="6060" w:type="dxa"/>
          </w:tcPr>
          <w:p>
            <w:pPr>
              <w:pStyle w:val="TableParagraph"/>
              <w:spacing w:line="177" w:lineRule="exact"/>
              <w:ind w:left="50"/>
              <w:jc w:val="left"/>
              <w:rPr>
                <w:b/>
                <w:sz w:val="16"/>
              </w:rPr>
            </w:pPr>
            <w:r>
              <w:rPr>
                <w:b/>
                <w:sz w:val="16"/>
              </w:rPr>
              <w:t>CONSOLIDATED STATEMENT OF CASH FLOWS</w:t>
            </w:r>
          </w:p>
        </w:tc>
        <w:tc>
          <w:tcPr>
            <w:tcW w:w="3227" w:type="dxa"/>
          </w:tcPr>
          <w:p>
            <w:pPr>
              <w:pStyle w:val="TableParagraph"/>
              <w:spacing w:before="8"/>
              <w:jc w:val="left"/>
              <w:rPr>
                <w:i/>
                <w:sz w:val="15"/>
              </w:rPr>
            </w:pPr>
          </w:p>
          <w:p>
            <w:pPr>
              <w:pStyle w:val="TableParagraph"/>
              <w:ind w:left="283"/>
              <w:jc w:val="left"/>
              <w:rPr>
                <w:sz w:val="16"/>
              </w:rPr>
            </w:pPr>
            <w:r>
              <w:rPr>
                <w:sz w:val="16"/>
              </w:rPr>
              <w:t>YEARS ENDED DECEMBER 31,</w:t>
            </w:r>
          </w:p>
        </w:tc>
      </w:tr>
      <w:tr>
        <w:trPr>
          <w:trHeight w:val="348" w:hRule="exact"/>
        </w:trPr>
        <w:tc>
          <w:tcPr>
            <w:tcW w:w="6060" w:type="dxa"/>
          </w:tcPr>
          <w:p>
            <w:pPr>
              <w:pStyle w:val="TableParagraph"/>
              <w:spacing w:before="34"/>
              <w:ind w:left="50"/>
              <w:jc w:val="left"/>
              <w:rPr>
                <w:sz w:val="16"/>
              </w:rPr>
            </w:pPr>
            <w:r>
              <w:rPr>
                <w:sz w:val="16"/>
              </w:rPr>
              <w:t>(IN THOUSANDS)</w:t>
            </w:r>
          </w:p>
        </w:tc>
        <w:tc>
          <w:tcPr>
            <w:tcW w:w="3227" w:type="dxa"/>
          </w:tcPr>
          <w:p>
            <w:pPr>
              <w:pStyle w:val="TableParagraph"/>
              <w:tabs>
                <w:tab w:pos="1190" w:val="left" w:leader="none"/>
                <w:tab w:pos="2270" w:val="left" w:leader="none"/>
              </w:tabs>
              <w:spacing w:line="227" w:lineRule="exact"/>
              <w:ind w:left="110"/>
              <w:jc w:val="left"/>
              <w:rPr>
                <w:sz w:val="20"/>
              </w:rPr>
            </w:pPr>
            <w:r>
              <w:rPr>
                <w:sz w:val="20"/>
                <w:u w:val="single"/>
              </w:rPr>
              <w:t>1997</w:t>
              <w:tab/>
              <w:t>1996</w:t>
              <w:tab/>
              <w:t>1995</w:t>
            </w:r>
          </w:p>
        </w:tc>
      </w:tr>
      <w:tr>
        <w:trPr>
          <w:trHeight w:val="350" w:hRule="exact"/>
        </w:trPr>
        <w:tc>
          <w:tcPr>
            <w:tcW w:w="6060" w:type="dxa"/>
          </w:tcPr>
          <w:p>
            <w:pPr>
              <w:pStyle w:val="TableParagraph"/>
              <w:spacing w:before="115"/>
              <w:ind w:left="50"/>
              <w:jc w:val="left"/>
              <w:rPr>
                <w:b/>
                <w:sz w:val="20"/>
              </w:rPr>
            </w:pPr>
            <w:r>
              <w:rPr>
                <w:b/>
                <w:color w:val="008080"/>
                <w:sz w:val="20"/>
              </w:rPr>
              <w:t>CASH FLOWS FROM OPERATING ACTIVITIES:</w:t>
            </w:r>
          </w:p>
        </w:tc>
        <w:tc>
          <w:tcPr>
            <w:tcW w:w="3227" w:type="dxa"/>
          </w:tcPr>
          <w:p>
            <w:pPr/>
          </w:p>
        </w:tc>
      </w:tr>
      <w:tr>
        <w:trPr>
          <w:trHeight w:val="233" w:hRule="exact"/>
        </w:trPr>
        <w:tc>
          <w:tcPr>
            <w:tcW w:w="6060" w:type="dxa"/>
          </w:tcPr>
          <w:p>
            <w:pPr>
              <w:pStyle w:val="TableParagraph"/>
              <w:ind w:left="232"/>
              <w:jc w:val="left"/>
              <w:rPr>
                <w:sz w:val="20"/>
              </w:rPr>
            </w:pPr>
            <w:r>
              <w:rPr>
                <w:sz w:val="20"/>
              </w:rPr>
              <w:t>Net income</w:t>
            </w:r>
          </w:p>
        </w:tc>
        <w:tc>
          <w:tcPr>
            <w:tcW w:w="3227" w:type="dxa"/>
          </w:tcPr>
          <w:p>
            <w:pPr>
              <w:pStyle w:val="TableParagraph"/>
              <w:tabs>
                <w:tab w:pos="1262" w:val="left" w:leader="none"/>
                <w:tab w:pos="2342" w:val="left" w:leader="none"/>
              </w:tabs>
              <w:jc w:val="left"/>
              <w:rPr>
                <w:sz w:val="20"/>
              </w:rPr>
            </w:pPr>
            <w:r>
              <w:rPr>
                <w:sz w:val="20"/>
              </w:rPr>
              <w:t>$317,772</w:t>
              <w:tab/>
              <w:t>$207,337</w:t>
              <w:tab/>
              <w:t>$182,626</w:t>
            </w:r>
          </w:p>
        </w:tc>
      </w:tr>
      <w:tr>
        <w:trPr>
          <w:trHeight w:val="230" w:hRule="exact"/>
        </w:trPr>
        <w:tc>
          <w:tcPr>
            <w:tcW w:w="6060" w:type="dxa"/>
          </w:tcPr>
          <w:p>
            <w:pPr>
              <w:pStyle w:val="TableParagraph"/>
              <w:spacing w:line="227" w:lineRule="exact"/>
              <w:ind w:left="232"/>
              <w:jc w:val="left"/>
              <w:rPr>
                <w:sz w:val="20"/>
              </w:rPr>
            </w:pPr>
            <w:r>
              <w:rPr>
                <w:sz w:val="20"/>
              </w:rPr>
              <w:t>Adjustments to reconcile net income to net</w:t>
            </w:r>
          </w:p>
        </w:tc>
        <w:tc>
          <w:tcPr>
            <w:tcW w:w="3227" w:type="dxa"/>
          </w:tcPr>
          <w:p>
            <w:pPr/>
          </w:p>
        </w:tc>
      </w:tr>
      <w:tr>
        <w:trPr>
          <w:trHeight w:val="230" w:hRule="exact"/>
        </w:trPr>
        <w:tc>
          <w:tcPr>
            <w:tcW w:w="6060" w:type="dxa"/>
          </w:tcPr>
          <w:p>
            <w:pPr>
              <w:pStyle w:val="TableParagraph"/>
              <w:spacing w:line="227" w:lineRule="exact"/>
              <w:ind w:left="410"/>
              <w:jc w:val="left"/>
              <w:rPr>
                <w:sz w:val="20"/>
              </w:rPr>
            </w:pPr>
            <w:r>
              <w:rPr>
                <w:sz w:val="20"/>
              </w:rPr>
              <w:t>cash provided by operating activities:</w:t>
            </w:r>
          </w:p>
        </w:tc>
        <w:tc>
          <w:tcPr>
            <w:tcW w:w="3227" w:type="dxa"/>
          </w:tcPr>
          <w:p>
            <w:pPr/>
          </w:p>
        </w:tc>
      </w:tr>
      <w:tr>
        <w:trPr>
          <w:trHeight w:val="230" w:hRule="exact"/>
        </w:trPr>
        <w:tc>
          <w:tcPr>
            <w:tcW w:w="6060" w:type="dxa"/>
          </w:tcPr>
          <w:p>
            <w:pPr>
              <w:pStyle w:val="TableParagraph"/>
              <w:spacing w:line="227" w:lineRule="exact"/>
              <w:ind w:left="410"/>
              <w:jc w:val="left"/>
              <w:rPr>
                <w:sz w:val="20"/>
              </w:rPr>
            </w:pPr>
            <w:r>
              <w:rPr>
                <w:sz w:val="20"/>
              </w:rPr>
              <w:t>Depreciation</w:t>
            </w:r>
          </w:p>
        </w:tc>
        <w:tc>
          <w:tcPr>
            <w:tcW w:w="3227" w:type="dxa"/>
          </w:tcPr>
          <w:p>
            <w:pPr>
              <w:pStyle w:val="TableParagraph"/>
              <w:tabs>
                <w:tab w:pos="1262" w:val="left" w:leader="none"/>
                <w:tab w:pos="2342" w:val="left" w:leader="none"/>
              </w:tabs>
              <w:spacing w:line="227" w:lineRule="exact"/>
              <w:ind w:right="51"/>
              <w:rPr>
                <w:sz w:val="20"/>
              </w:rPr>
            </w:pPr>
            <w:r>
              <w:rPr>
                <w:sz w:val="20"/>
              </w:rPr>
              <w:t>195,568</w:t>
              <w:tab/>
              <w:t>183,470</w:t>
              <w:tab/>
            </w:r>
            <w:r>
              <w:rPr>
                <w:spacing w:val="-2"/>
                <w:sz w:val="20"/>
              </w:rPr>
              <w:t>156,771</w:t>
            </w:r>
          </w:p>
        </w:tc>
      </w:tr>
      <w:tr>
        <w:trPr>
          <w:trHeight w:val="230" w:hRule="exact"/>
        </w:trPr>
        <w:tc>
          <w:tcPr>
            <w:tcW w:w="6060" w:type="dxa"/>
          </w:tcPr>
          <w:p>
            <w:pPr>
              <w:pStyle w:val="TableParagraph"/>
              <w:spacing w:line="227" w:lineRule="exact"/>
              <w:ind w:left="410"/>
              <w:jc w:val="left"/>
              <w:rPr>
                <w:sz w:val="20"/>
              </w:rPr>
            </w:pPr>
            <w:r>
              <w:rPr>
                <w:sz w:val="20"/>
              </w:rPr>
              <w:t>Deferred income taxes</w:t>
            </w:r>
          </w:p>
        </w:tc>
        <w:tc>
          <w:tcPr>
            <w:tcW w:w="3227" w:type="dxa"/>
          </w:tcPr>
          <w:p>
            <w:pPr>
              <w:pStyle w:val="TableParagraph"/>
              <w:tabs>
                <w:tab w:pos="1262" w:val="left" w:leader="none"/>
                <w:tab w:pos="2342" w:val="left" w:leader="none"/>
              </w:tabs>
              <w:spacing w:line="227" w:lineRule="exact"/>
              <w:ind w:right="51"/>
              <w:rPr>
                <w:sz w:val="20"/>
              </w:rPr>
            </w:pPr>
            <w:r>
              <w:rPr>
                <w:sz w:val="20"/>
              </w:rPr>
              <w:t>81,711</w:t>
              <w:tab/>
              <w:t>67,253</w:t>
              <w:tab/>
            </w:r>
            <w:r>
              <w:rPr>
                <w:spacing w:val="-2"/>
                <w:sz w:val="20"/>
              </w:rPr>
              <w:t>48,147</w:t>
            </w:r>
          </w:p>
        </w:tc>
      </w:tr>
      <w:tr>
        <w:trPr>
          <w:trHeight w:val="230" w:hRule="exact"/>
        </w:trPr>
        <w:tc>
          <w:tcPr>
            <w:tcW w:w="6060" w:type="dxa"/>
          </w:tcPr>
          <w:p>
            <w:pPr>
              <w:pStyle w:val="TableParagraph"/>
              <w:spacing w:line="227" w:lineRule="exact"/>
              <w:ind w:left="410" w:right="-9"/>
              <w:jc w:val="left"/>
              <w:rPr>
                <w:sz w:val="20"/>
              </w:rPr>
            </w:pPr>
            <w:r>
              <w:rPr>
                <w:sz w:val="20"/>
              </w:rPr>
              <w:t>Amortization of deferred gains on sale and leaseback of</w:t>
            </w:r>
            <w:r>
              <w:rPr>
                <w:spacing w:val="25"/>
                <w:sz w:val="20"/>
              </w:rPr>
              <w:t> </w:t>
            </w:r>
            <w:r>
              <w:rPr>
                <w:sz w:val="20"/>
              </w:rPr>
              <w:t>aircraft</w:t>
            </w:r>
          </w:p>
        </w:tc>
        <w:tc>
          <w:tcPr>
            <w:tcW w:w="3227" w:type="dxa"/>
          </w:tcPr>
          <w:p>
            <w:pPr>
              <w:pStyle w:val="TableParagraph"/>
              <w:tabs>
                <w:tab w:pos="1262" w:val="left" w:leader="none"/>
                <w:tab w:pos="2342" w:val="left" w:leader="none"/>
              </w:tabs>
              <w:spacing w:line="227" w:lineRule="exact"/>
              <w:ind w:right="48"/>
              <w:rPr>
                <w:sz w:val="20"/>
              </w:rPr>
            </w:pPr>
            <w:r>
              <w:rPr>
                <w:sz w:val="20"/>
              </w:rPr>
              <w:t>(15,414)</w:t>
              <w:tab/>
              <w:t>(18,263)</w:t>
              <w:tab/>
            </w:r>
            <w:r>
              <w:rPr>
                <w:spacing w:val="-1"/>
                <w:sz w:val="20"/>
              </w:rPr>
              <w:t>(24,286)</w:t>
            </w:r>
          </w:p>
        </w:tc>
      </w:tr>
      <w:tr>
        <w:trPr>
          <w:trHeight w:val="230" w:hRule="exact"/>
        </w:trPr>
        <w:tc>
          <w:tcPr>
            <w:tcW w:w="6060" w:type="dxa"/>
          </w:tcPr>
          <w:p>
            <w:pPr>
              <w:pStyle w:val="TableParagraph"/>
              <w:spacing w:line="227" w:lineRule="exact"/>
              <w:ind w:left="410"/>
              <w:jc w:val="left"/>
              <w:rPr>
                <w:sz w:val="20"/>
              </w:rPr>
            </w:pPr>
            <w:r>
              <w:rPr>
                <w:sz w:val="20"/>
              </w:rPr>
              <w:t>Amortization of scheduled airframe overhauls</w:t>
            </w:r>
          </w:p>
        </w:tc>
        <w:tc>
          <w:tcPr>
            <w:tcW w:w="3227" w:type="dxa"/>
          </w:tcPr>
          <w:p>
            <w:pPr>
              <w:pStyle w:val="TableParagraph"/>
              <w:tabs>
                <w:tab w:pos="1262" w:val="left" w:leader="none"/>
                <w:tab w:pos="2342" w:val="left" w:leader="none"/>
              </w:tabs>
              <w:spacing w:line="227" w:lineRule="exact"/>
              <w:ind w:right="51"/>
              <w:rPr>
                <w:sz w:val="20"/>
              </w:rPr>
            </w:pPr>
            <w:r>
              <w:rPr>
                <w:sz w:val="20"/>
              </w:rPr>
              <w:t>20,540</w:t>
              <w:tab/>
              <w:t>20,539</w:t>
              <w:tab/>
            </w:r>
            <w:r>
              <w:rPr>
                <w:spacing w:val="-2"/>
                <w:sz w:val="20"/>
              </w:rPr>
              <w:t>17,337</w:t>
            </w:r>
          </w:p>
        </w:tc>
      </w:tr>
      <w:tr>
        <w:trPr>
          <w:trHeight w:val="230" w:hRule="exact"/>
        </w:trPr>
        <w:tc>
          <w:tcPr>
            <w:tcW w:w="6060" w:type="dxa"/>
          </w:tcPr>
          <w:p>
            <w:pPr>
              <w:pStyle w:val="TableParagraph"/>
              <w:spacing w:line="227" w:lineRule="exact"/>
              <w:ind w:left="410"/>
              <w:jc w:val="left"/>
              <w:rPr>
                <w:sz w:val="20"/>
              </w:rPr>
            </w:pPr>
            <w:r>
              <w:rPr>
                <w:sz w:val="20"/>
              </w:rPr>
              <w:t>Changes in certain assets and liabilities:</w:t>
            </w:r>
          </w:p>
        </w:tc>
        <w:tc>
          <w:tcPr>
            <w:tcW w:w="3227" w:type="dxa"/>
          </w:tcPr>
          <w:p>
            <w:pPr/>
          </w:p>
        </w:tc>
      </w:tr>
      <w:tr>
        <w:trPr>
          <w:trHeight w:val="230" w:hRule="exact"/>
        </w:trPr>
        <w:tc>
          <w:tcPr>
            <w:tcW w:w="6060" w:type="dxa"/>
          </w:tcPr>
          <w:p>
            <w:pPr>
              <w:pStyle w:val="TableParagraph"/>
              <w:spacing w:line="227" w:lineRule="exact"/>
              <w:ind w:left="592"/>
              <w:jc w:val="left"/>
              <w:rPr>
                <w:sz w:val="20"/>
              </w:rPr>
            </w:pPr>
            <w:r>
              <w:rPr>
                <w:sz w:val="20"/>
              </w:rPr>
              <w:t>Accounts receivable</w:t>
            </w:r>
          </w:p>
        </w:tc>
        <w:tc>
          <w:tcPr>
            <w:tcW w:w="3227" w:type="dxa"/>
          </w:tcPr>
          <w:p>
            <w:pPr>
              <w:pStyle w:val="TableParagraph"/>
              <w:tabs>
                <w:tab w:pos="1396" w:val="left" w:leader="none"/>
                <w:tab w:pos="2342" w:val="left" w:leader="none"/>
              </w:tabs>
              <w:spacing w:line="227" w:lineRule="exact"/>
              <w:ind w:right="48"/>
              <w:rPr>
                <w:sz w:val="20"/>
              </w:rPr>
            </w:pPr>
            <w:r>
              <w:rPr>
                <w:sz w:val="20"/>
              </w:rPr>
              <w:t>(3,090)</w:t>
              <w:tab/>
              <w:t>6,341</w:t>
              <w:tab/>
            </w:r>
            <w:r>
              <w:rPr>
                <w:spacing w:val="-1"/>
                <w:sz w:val="20"/>
              </w:rPr>
              <w:t>(4,089)</w:t>
            </w:r>
          </w:p>
        </w:tc>
      </w:tr>
      <w:tr>
        <w:trPr>
          <w:trHeight w:val="230" w:hRule="exact"/>
        </w:trPr>
        <w:tc>
          <w:tcPr>
            <w:tcW w:w="6060" w:type="dxa"/>
          </w:tcPr>
          <w:p>
            <w:pPr>
              <w:pStyle w:val="TableParagraph"/>
              <w:spacing w:line="227" w:lineRule="exact"/>
              <w:ind w:left="592"/>
              <w:jc w:val="left"/>
              <w:rPr>
                <w:sz w:val="20"/>
              </w:rPr>
            </w:pPr>
            <w:r>
              <w:rPr>
                <w:sz w:val="20"/>
              </w:rPr>
              <w:t>Other current assets</w:t>
            </w:r>
          </w:p>
        </w:tc>
        <w:tc>
          <w:tcPr>
            <w:tcW w:w="3227" w:type="dxa"/>
          </w:tcPr>
          <w:p>
            <w:pPr>
              <w:pStyle w:val="TableParagraph"/>
              <w:tabs>
                <w:tab w:pos="1017" w:val="left" w:leader="none"/>
                <w:tab w:pos="2097" w:val="left" w:leader="none"/>
              </w:tabs>
              <w:spacing w:line="227" w:lineRule="exact"/>
              <w:ind w:right="48"/>
              <w:rPr>
                <w:sz w:val="20"/>
              </w:rPr>
            </w:pPr>
            <w:r>
              <w:rPr>
                <w:sz w:val="20"/>
              </w:rPr>
              <w:t>6,243</w:t>
              <w:tab/>
              <w:t>(19,534)</w:t>
              <w:tab/>
            </w:r>
            <w:r>
              <w:rPr>
                <w:spacing w:val="-1"/>
                <w:sz w:val="20"/>
              </w:rPr>
              <w:t>(11,857)</w:t>
            </w:r>
          </w:p>
        </w:tc>
      </w:tr>
      <w:tr>
        <w:trPr>
          <w:trHeight w:val="230" w:hRule="exact"/>
        </w:trPr>
        <w:tc>
          <w:tcPr>
            <w:tcW w:w="6060" w:type="dxa"/>
          </w:tcPr>
          <w:p>
            <w:pPr>
              <w:pStyle w:val="TableParagraph"/>
              <w:spacing w:line="227" w:lineRule="exact"/>
              <w:ind w:left="592"/>
              <w:jc w:val="left"/>
              <w:rPr>
                <w:sz w:val="20"/>
              </w:rPr>
            </w:pPr>
            <w:r>
              <w:rPr>
                <w:sz w:val="20"/>
              </w:rPr>
              <w:t>Accounts  payable and accrued liabilities</w:t>
            </w:r>
          </w:p>
        </w:tc>
        <w:tc>
          <w:tcPr>
            <w:tcW w:w="3227" w:type="dxa"/>
          </w:tcPr>
          <w:p>
            <w:pPr>
              <w:pStyle w:val="TableParagraph"/>
              <w:tabs>
                <w:tab w:pos="1041" w:val="left" w:leader="none"/>
                <w:tab w:pos="2231" w:val="left" w:leader="none"/>
              </w:tabs>
              <w:spacing w:line="227" w:lineRule="exact"/>
              <w:ind w:right="51"/>
              <w:rPr>
                <w:sz w:val="20"/>
              </w:rPr>
            </w:pPr>
            <w:r>
              <w:rPr>
                <w:sz w:val="20"/>
              </w:rPr>
              <w:t>8,751</w:t>
              <w:tab/>
              <w:t>132,096</w:t>
              <w:tab/>
            </w:r>
            <w:r>
              <w:rPr>
                <w:spacing w:val="-2"/>
                <w:sz w:val="20"/>
              </w:rPr>
              <w:t>61,937</w:t>
            </w:r>
          </w:p>
        </w:tc>
      </w:tr>
      <w:tr>
        <w:trPr>
          <w:trHeight w:val="230" w:hRule="exact"/>
        </w:trPr>
        <w:tc>
          <w:tcPr>
            <w:tcW w:w="6060" w:type="dxa"/>
          </w:tcPr>
          <w:p>
            <w:pPr>
              <w:pStyle w:val="TableParagraph"/>
              <w:spacing w:line="227" w:lineRule="exact"/>
              <w:ind w:left="592"/>
              <w:jc w:val="left"/>
              <w:rPr>
                <w:sz w:val="20"/>
              </w:rPr>
            </w:pPr>
            <w:r>
              <w:rPr>
                <w:sz w:val="20"/>
              </w:rPr>
              <w:t>Air traffic liability</w:t>
            </w:r>
          </w:p>
        </w:tc>
        <w:tc>
          <w:tcPr>
            <w:tcW w:w="3227" w:type="dxa"/>
          </w:tcPr>
          <w:p>
            <w:pPr>
              <w:pStyle w:val="TableParagraph"/>
              <w:tabs>
                <w:tab w:pos="1286" w:val="left" w:leader="none"/>
                <w:tab w:pos="2366" w:val="left" w:leader="none"/>
              </w:tabs>
              <w:spacing w:line="227" w:lineRule="exact"/>
              <w:ind w:right="50"/>
              <w:rPr>
                <w:sz w:val="20"/>
              </w:rPr>
            </w:pPr>
            <w:r>
              <w:rPr>
                <w:sz w:val="20"/>
              </w:rPr>
              <w:t>(4,757)</w:t>
              <w:tab/>
              <w:t>26,942</w:t>
              <w:tab/>
            </w:r>
            <w:r>
              <w:rPr>
                <w:spacing w:val="-1"/>
                <w:sz w:val="20"/>
              </w:rPr>
              <w:t>25,017</w:t>
            </w:r>
          </w:p>
        </w:tc>
      </w:tr>
      <w:tr>
        <w:trPr>
          <w:trHeight w:val="230" w:hRule="exact"/>
        </w:trPr>
        <w:tc>
          <w:tcPr>
            <w:tcW w:w="6060" w:type="dxa"/>
          </w:tcPr>
          <w:p>
            <w:pPr>
              <w:pStyle w:val="TableParagraph"/>
              <w:spacing w:line="227" w:lineRule="exact"/>
              <w:ind w:left="592"/>
              <w:jc w:val="left"/>
              <w:rPr>
                <w:sz w:val="20"/>
              </w:rPr>
            </w:pPr>
            <w:r>
              <w:rPr>
                <w:sz w:val="20"/>
              </w:rPr>
              <w:t>Other current liabilities</w:t>
            </w:r>
          </w:p>
        </w:tc>
        <w:tc>
          <w:tcPr>
            <w:tcW w:w="3227" w:type="dxa"/>
          </w:tcPr>
          <w:p>
            <w:pPr>
              <w:pStyle w:val="TableParagraph"/>
              <w:tabs>
                <w:tab w:pos="1396" w:val="left" w:leader="none"/>
                <w:tab w:pos="2476" w:val="left" w:leader="none"/>
              </w:tabs>
              <w:spacing w:line="227" w:lineRule="exact"/>
              <w:ind w:right="51"/>
              <w:rPr>
                <w:sz w:val="20"/>
              </w:rPr>
            </w:pPr>
            <w:r>
              <w:rPr>
                <w:sz w:val="20"/>
              </w:rPr>
              <w:t>(4,204)</w:t>
              <w:tab/>
              <w:t>5,334</w:t>
              <w:tab/>
            </w:r>
            <w:r>
              <w:rPr>
                <w:spacing w:val="-2"/>
                <w:sz w:val="20"/>
              </w:rPr>
              <w:t>1,050</w:t>
            </w:r>
          </w:p>
        </w:tc>
      </w:tr>
      <w:tr>
        <w:trPr>
          <w:trHeight w:val="230" w:hRule="exact"/>
        </w:trPr>
        <w:tc>
          <w:tcPr>
            <w:tcW w:w="6060" w:type="dxa"/>
          </w:tcPr>
          <w:p>
            <w:pPr>
              <w:pStyle w:val="TableParagraph"/>
              <w:spacing w:line="227" w:lineRule="exact"/>
              <w:ind w:left="232"/>
              <w:jc w:val="left"/>
              <w:rPr>
                <w:sz w:val="20"/>
              </w:rPr>
            </w:pPr>
            <w:r>
              <w:rPr>
                <w:sz w:val="20"/>
              </w:rPr>
              <w:t>Other</w:t>
            </w:r>
          </w:p>
        </w:tc>
        <w:tc>
          <w:tcPr>
            <w:tcW w:w="3227" w:type="dxa"/>
          </w:tcPr>
          <w:p>
            <w:pPr>
              <w:pStyle w:val="TableParagraph"/>
              <w:tabs>
                <w:tab w:pos="1262" w:val="left" w:leader="none"/>
                <w:tab w:pos="2342" w:val="left" w:leader="none"/>
              </w:tabs>
              <w:spacing w:line="227" w:lineRule="exact"/>
              <w:ind w:right="51"/>
              <w:rPr>
                <w:sz w:val="20"/>
              </w:rPr>
            </w:pPr>
            <w:r>
              <w:rPr>
                <w:sz w:val="20"/>
                <w:u w:val="single"/>
              </w:rPr>
              <w:t>7,468</w:t>
              <w:tab/>
              <w:t>3,713</w:t>
              <w:tab/>
            </w:r>
            <w:r>
              <w:rPr>
                <w:spacing w:val="-2"/>
                <w:sz w:val="20"/>
                <w:u w:val="single"/>
              </w:rPr>
              <w:t>3,789</w:t>
            </w:r>
          </w:p>
        </w:tc>
      </w:tr>
      <w:tr>
        <w:trPr>
          <w:trHeight w:val="228" w:hRule="exact"/>
        </w:trPr>
        <w:tc>
          <w:tcPr>
            <w:tcW w:w="6060" w:type="dxa"/>
          </w:tcPr>
          <w:p>
            <w:pPr>
              <w:pStyle w:val="TableParagraph"/>
              <w:spacing w:line="227" w:lineRule="exact"/>
              <w:ind w:left="410"/>
              <w:jc w:val="left"/>
              <w:rPr>
                <w:sz w:val="20"/>
              </w:rPr>
            </w:pPr>
            <w:r>
              <w:rPr>
                <w:sz w:val="20"/>
              </w:rPr>
              <w:t>Net cash provided by operating activities</w:t>
            </w:r>
          </w:p>
        </w:tc>
        <w:tc>
          <w:tcPr>
            <w:tcW w:w="3227" w:type="dxa"/>
          </w:tcPr>
          <w:p>
            <w:pPr>
              <w:pStyle w:val="TableParagraph"/>
              <w:tabs>
                <w:tab w:pos="1262" w:val="left" w:leader="none"/>
                <w:tab w:pos="2342" w:val="left" w:leader="none"/>
              </w:tabs>
              <w:spacing w:line="227" w:lineRule="exact"/>
              <w:ind w:right="51"/>
              <w:rPr>
                <w:sz w:val="20"/>
              </w:rPr>
            </w:pPr>
            <w:r>
              <w:rPr>
                <w:sz w:val="20"/>
              </w:rPr>
              <w:t>610,588</w:t>
              <w:tab/>
              <w:t>615,228</w:t>
              <w:tab/>
            </w:r>
            <w:r>
              <w:rPr>
                <w:spacing w:val="-2"/>
                <w:sz w:val="20"/>
              </w:rPr>
              <w:t>456,442</w:t>
            </w:r>
          </w:p>
        </w:tc>
      </w:tr>
    </w:tbl>
    <w:p>
      <w:pPr>
        <w:pStyle w:val="BodyText"/>
        <w:spacing w:before="2"/>
        <w:rPr>
          <w:i/>
          <w:sz w:val="12"/>
        </w:rPr>
      </w:pPr>
    </w:p>
    <w:p>
      <w:pPr>
        <w:spacing w:before="95"/>
        <w:ind w:left="342" w:right="0" w:firstLine="0"/>
        <w:jc w:val="left"/>
        <w:rPr>
          <w:b/>
          <w:sz w:val="20"/>
        </w:rPr>
      </w:pPr>
      <w:r>
        <w:rPr>
          <w:b/>
          <w:color w:val="008080"/>
          <w:sz w:val="20"/>
        </w:rPr>
        <w:t>CASH FLOWS FROM INVESTING ACTIVITIES:</w:t>
      </w:r>
    </w:p>
    <w:p>
      <w:pPr>
        <w:tabs>
          <w:tab w:pos="5852" w:val="left" w:leader="none"/>
          <w:tab w:pos="7114" w:val="left" w:leader="none"/>
          <w:tab w:pos="8194" w:val="left" w:leader="none"/>
        </w:tabs>
        <w:spacing w:before="5"/>
        <w:ind w:left="227" w:right="0" w:firstLine="0"/>
        <w:jc w:val="center"/>
        <w:rPr>
          <w:sz w:val="20"/>
        </w:rPr>
      </w:pPr>
      <w:r>
        <w:rPr>
          <w:spacing w:val="-5"/>
          <w:sz w:val="20"/>
        </w:rPr>
        <w:t>Purchases  </w:t>
      </w:r>
      <w:r>
        <w:rPr>
          <w:sz w:val="20"/>
        </w:rPr>
        <w:t>of property</w:t>
      </w:r>
      <w:r>
        <w:rPr>
          <w:spacing w:val="-16"/>
          <w:sz w:val="20"/>
        </w:rPr>
        <w:t> </w:t>
      </w:r>
      <w:r>
        <w:rPr>
          <w:sz w:val="20"/>
        </w:rPr>
        <w:t>and</w:t>
      </w:r>
      <w:r>
        <w:rPr>
          <w:spacing w:val="2"/>
          <w:sz w:val="20"/>
        </w:rPr>
        <w:t> </w:t>
      </w:r>
      <w:r>
        <w:rPr>
          <w:sz w:val="20"/>
        </w:rPr>
        <w:t>equipment</w:t>
        <w:tab/>
      </w:r>
      <w:r>
        <w:rPr>
          <w:sz w:val="20"/>
          <w:u w:val="single"/>
        </w:rPr>
        <w:t>(688,927)</w:t>
        <w:tab/>
        <w:t>(677,431)</w:t>
        <w:tab/>
        <w:t>(728,643)</w:t>
      </w:r>
    </w:p>
    <w:p>
      <w:pPr>
        <w:tabs>
          <w:tab w:pos="5852" w:val="left" w:leader="none"/>
          <w:tab w:pos="7114" w:val="left" w:leader="none"/>
          <w:tab w:pos="8194" w:val="left" w:leader="none"/>
        </w:tabs>
        <w:spacing w:before="0"/>
        <w:ind w:left="409" w:right="0" w:firstLine="0"/>
        <w:jc w:val="center"/>
        <w:rPr>
          <w:sz w:val="20"/>
        </w:rPr>
      </w:pPr>
      <w:r>
        <w:rPr>
          <w:sz w:val="20"/>
        </w:rPr>
        <w:t>Net cash used in</w:t>
      </w:r>
      <w:r>
        <w:rPr>
          <w:spacing w:val="11"/>
          <w:sz w:val="20"/>
        </w:rPr>
        <w:t> </w:t>
      </w:r>
      <w:r>
        <w:rPr>
          <w:sz w:val="20"/>
        </w:rPr>
        <w:t>investing</w:t>
      </w:r>
      <w:r>
        <w:rPr>
          <w:spacing w:val="2"/>
          <w:sz w:val="20"/>
        </w:rPr>
        <w:t> </w:t>
      </w:r>
      <w:r>
        <w:rPr>
          <w:sz w:val="20"/>
        </w:rPr>
        <w:t>activities</w:t>
        <w:tab/>
        <w:t>(688,927)</w:t>
        <w:tab/>
        <w:t>(677,431)</w:t>
        <w:tab/>
        <w:t>(728,643)</w:t>
      </w:r>
    </w:p>
    <w:p>
      <w:pPr>
        <w:pStyle w:val="BodyText"/>
        <w:spacing w:before="5"/>
        <w:rPr>
          <w:sz w:val="20"/>
        </w:rPr>
      </w:pPr>
    </w:p>
    <w:p>
      <w:pPr>
        <w:spacing w:before="0" w:after="10"/>
        <w:ind w:left="342" w:right="0" w:firstLine="0"/>
        <w:jc w:val="left"/>
        <w:rPr>
          <w:b/>
          <w:sz w:val="20"/>
        </w:rPr>
      </w:pPr>
      <w:r>
        <w:rPr>
          <w:b/>
          <w:color w:val="008080"/>
          <w:sz w:val="20"/>
        </w:rPr>
        <w:t>CASH FLOWS FROM FINANCING ACTIVITIES:</w:t>
      </w:r>
    </w:p>
    <w:tbl>
      <w:tblPr>
        <w:tblW w:w="0" w:type="auto"/>
        <w:jc w:val="left"/>
        <w:tblInd w:w="4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05"/>
        <w:gridCol w:w="2486"/>
        <w:gridCol w:w="1171"/>
        <w:gridCol w:w="964"/>
      </w:tblGrid>
      <w:tr>
        <w:trPr>
          <w:trHeight w:val="228" w:hRule="exact"/>
        </w:trPr>
        <w:tc>
          <w:tcPr>
            <w:tcW w:w="4305" w:type="dxa"/>
          </w:tcPr>
          <w:p>
            <w:pPr>
              <w:pStyle w:val="TableParagraph"/>
              <w:spacing w:line="225" w:lineRule="exact"/>
              <w:ind w:left="50"/>
              <w:jc w:val="left"/>
              <w:rPr>
                <w:sz w:val="20"/>
              </w:rPr>
            </w:pPr>
            <w:r>
              <w:rPr>
                <w:sz w:val="20"/>
              </w:rPr>
              <w:t>Issuance of long-term debt</w:t>
            </w:r>
          </w:p>
        </w:tc>
        <w:tc>
          <w:tcPr>
            <w:tcW w:w="2486" w:type="dxa"/>
          </w:tcPr>
          <w:p>
            <w:pPr>
              <w:pStyle w:val="TableParagraph"/>
              <w:spacing w:line="225" w:lineRule="exact"/>
              <w:ind w:right="258"/>
              <w:rPr>
                <w:sz w:val="20"/>
              </w:rPr>
            </w:pPr>
            <w:r>
              <w:rPr>
                <w:sz w:val="20"/>
              </w:rPr>
              <w:t>98,764</w:t>
            </w:r>
          </w:p>
        </w:tc>
        <w:tc>
          <w:tcPr>
            <w:tcW w:w="1171" w:type="dxa"/>
          </w:tcPr>
          <w:p>
            <w:pPr>
              <w:pStyle w:val="TableParagraph"/>
              <w:spacing w:line="225" w:lineRule="exact"/>
              <w:ind w:right="166"/>
              <w:rPr>
                <w:sz w:val="20"/>
              </w:rPr>
            </w:pPr>
            <w:r>
              <w:rPr>
                <w:w w:val="100"/>
                <w:sz w:val="20"/>
              </w:rPr>
              <w:t>–</w:t>
            </w:r>
          </w:p>
        </w:tc>
        <w:tc>
          <w:tcPr>
            <w:tcW w:w="964" w:type="dxa"/>
          </w:tcPr>
          <w:p>
            <w:pPr>
              <w:pStyle w:val="TableParagraph"/>
              <w:spacing w:line="225" w:lineRule="exact"/>
              <w:ind w:right="51"/>
              <w:rPr>
                <w:sz w:val="20"/>
              </w:rPr>
            </w:pPr>
            <w:r>
              <w:rPr>
                <w:sz w:val="20"/>
              </w:rPr>
              <w:t>98,811</w:t>
            </w:r>
          </w:p>
        </w:tc>
      </w:tr>
      <w:tr>
        <w:trPr>
          <w:trHeight w:val="461" w:hRule="exact"/>
        </w:trPr>
        <w:tc>
          <w:tcPr>
            <w:tcW w:w="4305" w:type="dxa"/>
          </w:tcPr>
          <w:p>
            <w:pPr>
              <w:pStyle w:val="TableParagraph"/>
              <w:ind w:left="50" w:right="1551"/>
              <w:jc w:val="left"/>
              <w:rPr>
                <w:sz w:val="20"/>
              </w:rPr>
            </w:pPr>
            <w:r>
              <w:rPr>
                <w:sz w:val="20"/>
              </w:rPr>
              <w:t>Proceeds from aircraft sale and leaseback transactions</w:t>
            </w:r>
          </w:p>
        </w:tc>
        <w:tc>
          <w:tcPr>
            <w:tcW w:w="2486" w:type="dxa"/>
          </w:tcPr>
          <w:p>
            <w:pPr>
              <w:pStyle w:val="TableParagraph"/>
              <w:spacing w:before="9"/>
              <w:jc w:val="left"/>
              <w:rPr>
                <w:b/>
                <w:sz w:val="19"/>
              </w:rPr>
            </w:pPr>
          </w:p>
          <w:p>
            <w:pPr>
              <w:pStyle w:val="TableParagraph"/>
              <w:ind w:right="257"/>
              <w:rPr>
                <w:sz w:val="20"/>
              </w:rPr>
            </w:pPr>
            <w:r>
              <w:rPr>
                <w:w w:val="100"/>
                <w:sz w:val="20"/>
              </w:rPr>
              <w:t>–</w:t>
            </w:r>
          </w:p>
        </w:tc>
        <w:tc>
          <w:tcPr>
            <w:tcW w:w="1171" w:type="dxa"/>
          </w:tcPr>
          <w:p>
            <w:pPr>
              <w:pStyle w:val="TableParagraph"/>
              <w:spacing w:before="9"/>
              <w:jc w:val="left"/>
              <w:rPr>
                <w:b/>
                <w:sz w:val="19"/>
              </w:rPr>
            </w:pPr>
          </w:p>
          <w:p>
            <w:pPr>
              <w:pStyle w:val="TableParagraph"/>
              <w:ind w:right="167"/>
              <w:rPr>
                <w:sz w:val="20"/>
              </w:rPr>
            </w:pPr>
            <w:r>
              <w:rPr>
                <w:sz w:val="20"/>
              </w:rPr>
              <w:t>330,000</w:t>
            </w:r>
          </w:p>
        </w:tc>
        <w:tc>
          <w:tcPr>
            <w:tcW w:w="964" w:type="dxa"/>
          </w:tcPr>
          <w:p>
            <w:pPr>
              <w:pStyle w:val="TableParagraph"/>
              <w:spacing w:before="9"/>
              <w:jc w:val="left"/>
              <w:rPr>
                <w:b/>
                <w:sz w:val="19"/>
              </w:rPr>
            </w:pPr>
          </w:p>
          <w:p>
            <w:pPr>
              <w:pStyle w:val="TableParagraph"/>
              <w:ind w:right="51"/>
              <w:rPr>
                <w:sz w:val="20"/>
              </w:rPr>
            </w:pPr>
            <w:r>
              <w:rPr>
                <w:sz w:val="20"/>
              </w:rPr>
              <w:t>321,650</w:t>
            </w:r>
          </w:p>
        </w:tc>
      </w:tr>
      <w:tr>
        <w:trPr>
          <w:trHeight w:val="461" w:hRule="exact"/>
        </w:trPr>
        <w:tc>
          <w:tcPr>
            <w:tcW w:w="4305" w:type="dxa"/>
          </w:tcPr>
          <w:p>
            <w:pPr>
              <w:pStyle w:val="TableParagraph"/>
              <w:ind w:left="50" w:right="951"/>
              <w:jc w:val="left"/>
              <w:rPr>
                <w:sz w:val="20"/>
              </w:rPr>
            </w:pPr>
            <w:r>
              <w:rPr>
                <w:sz w:val="20"/>
              </w:rPr>
              <w:t>Payment of long-term debt and capital lease obligations</w:t>
            </w:r>
          </w:p>
        </w:tc>
        <w:tc>
          <w:tcPr>
            <w:tcW w:w="2486" w:type="dxa"/>
          </w:tcPr>
          <w:p>
            <w:pPr>
              <w:pStyle w:val="TableParagraph"/>
              <w:spacing w:before="9"/>
              <w:jc w:val="left"/>
              <w:rPr>
                <w:b/>
                <w:sz w:val="19"/>
              </w:rPr>
            </w:pPr>
          </w:p>
          <w:p>
            <w:pPr>
              <w:pStyle w:val="TableParagraph"/>
              <w:ind w:right="255"/>
              <w:rPr>
                <w:sz w:val="20"/>
              </w:rPr>
            </w:pPr>
            <w:r>
              <w:rPr>
                <w:sz w:val="20"/>
              </w:rPr>
              <w:t>(12,665)</w:t>
            </w:r>
          </w:p>
        </w:tc>
        <w:tc>
          <w:tcPr>
            <w:tcW w:w="1171" w:type="dxa"/>
          </w:tcPr>
          <w:p>
            <w:pPr>
              <w:pStyle w:val="TableParagraph"/>
              <w:spacing w:before="9"/>
              <w:jc w:val="left"/>
              <w:rPr>
                <w:b/>
                <w:sz w:val="19"/>
              </w:rPr>
            </w:pPr>
          </w:p>
          <w:p>
            <w:pPr>
              <w:pStyle w:val="TableParagraph"/>
              <w:ind w:right="165"/>
              <w:rPr>
                <w:sz w:val="20"/>
              </w:rPr>
            </w:pPr>
            <w:r>
              <w:rPr>
                <w:sz w:val="20"/>
              </w:rPr>
              <w:t>(12,695)</w:t>
            </w:r>
          </w:p>
        </w:tc>
        <w:tc>
          <w:tcPr>
            <w:tcW w:w="964" w:type="dxa"/>
          </w:tcPr>
          <w:p>
            <w:pPr>
              <w:pStyle w:val="TableParagraph"/>
              <w:spacing w:before="9"/>
              <w:jc w:val="left"/>
              <w:rPr>
                <w:b/>
                <w:sz w:val="19"/>
              </w:rPr>
            </w:pPr>
          </w:p>
          <w:p>
            <w:pPr>
              <w:pStyle w:val="TableParagraph"/>
              <w:ind w:right="48"/>
              <w:rPr>
                <w:sz w:val="20"/>
              </w:rPr>
            </w:pPr>
            <w:r>
              <w:rPr>
                <w:sz w:val="20"/>
              </w:rPr>
              <w:t>(10,379)</w:t>
            </w:r>
          </w:p>
        </w:tc>
      </w:tr>
      <w:tr>
        <w:trPr>
          <w:trHeight w:val="228" w:hRule="exact"/>
        </w:trPr>
        <w:tc>
          <w:tcPr>
            <w:tcW w:w="4305" w:type="dxa"/>
          </w:tcPr>
          <w:p>
            <w:pPr>
              <w:pStyle w:val="TableParagraph"/>
              <w:spacing w:line="227" w:lineRule="exact"/>
              <w:ind w:left="50"/>
              <w:jc w:val="left"/>
              <w:rPr>
                <w:sz w:val="20"/>
              </w:rPr>
            </w:pPr>
            <w:r>
              <w:rPr>
                <w:sz w:val="20"/>
              </w:rPr>
              <w:t>Payment of cash dividends</w:t>
            </w:r>
          </w:p>
        </w:tc>
        <w:tc>
          <w:tcPr>
            <w:tcW w:w="2486" w:type="dxa"/>
          </w:tcPr>
          <w:p>
            <w:pPr>
              <w:pStyle w:val="TableParagraph"/>
              <w:spacing w:line="227" w:lineRule="exact"/>
              <w:ind w:right="255"/>
              <w:rPr>
                <w:sz w:val="20"/>
              </w:rPr>
            </w:pPr>
            <w:r>
              <w:rPr>
                <w:sz w:val="20"/>
              </w:rPr>
              <w:t>(6,593)</w:t>
            </w:r>
          </w:p>
        </w:tc>
        <w:tc>
          <w:tcPr>
            <w:tcW w:w="1171" w:type="dxa"/>
          </w:tcPr>
          <w:p>
            <w:pPr>
              <w:pStyle w:val="TableParagraph"/>
              <w:spacing w:line="227" w:lineRule="exact"/>
              <w:ind w:right="164"/>
              <w:rPr>
                <w:sz w:val="20"/>
              </w:rPr>
            </w:pPr>
            <w:r>
              <w:rPr>
                <w:sz w:val="20"/>
              </w:rPr>
              <w:t>(6,216)</w:t>
            </w:r>
          </w:p>
        </w:tc>
        <w:tc>
          <w:tcPr>
            <w:tcW w:w="964" w:type="dxa"/>
          </w:tcPr>
          <w:p>
            <w:pPr>
              <w:pStyle w:val="TableParagraph"/>
              <w:spacing w:line="227" w:lineRule="exact"/>
              <w:ind w:right="48"/>
              <w:rPr>
                <w:sz w:val="20"/>
              </w:rPr>
            </w:pPr>
            <w:r>
              <w:rPr>
                <w:sz w:val="20"/>
              </w:rPr>
              <w:t>(5,749)</w:t>
            </w:r>
          </w:p>
        </w:tc>
      </w:tr>
    </w:tbl>
    <w:p>
      <w:pPr>
        <w:tabs>
          <w:tab w:pos="6093" w:val="left" w:leader="none"/>
          <w:tab w:pos="7355" w:val="left" w:leader="none"/>
          <w:tab w:pos="8435" w:val="left" w:leader="none"/>
        </w:tabs>
        <w:spacing w:before="0"/>
        <w:ind w:left="222" w:right="0" w:firstLine="0"/>
        <w:jc w:val="center"/>
        <w:rPr>
          <w:sz w:val="20"/>
        </w:rPr>
      </w:pPr>
      <w:r>
        <w:rPr>
          <w:spacing w:val="-4"/>
          <w:sz w:val="20"/>
        </w:rPr>
        <w:t>Proceeds  </w:t>
      </w:r>
      <w:r>
        <w:rPr>
          <w:sz w:val="20"/>
        </w:rPr>
        <w:t>from Employee</w:t>
      </w:r>
      <w:r>
        <w:rPr>
          <w:spacing w:val="-20"/>
          <w:sz w:val="20"/>
        </w:rPr>
        <w:t> </w:t>
      </w:r>
      <w:r>
        <w:rPr>
          <w:sz w:val="20"/>
        </w:rPr>
        <w:t>stock</w:t>
      </w:r>
      <w:r>
        <w:rPr>
          <w:spacing w:val="5"/>
          <w:sz w:val="20"/>
        </w:rPr>
        <w:t> </w:t>
      </w:r>
      <w:r>
        <w:rPr>
          <w:sz w:val="20"/>
        </w:rPr>
        <w:t>plans</w:t>
        <w:tab/>
      </w:r>
      <w:r>
        <w:rPr>
          <w:sz w:val="20"/>
          <w:u w:val="single"/>
        </w:rPr>
        <w:t>40,335</w:t>
        <w:tab/>
        <w:t>15,592</w:t>
        <w:tab/>
      </w:r>
      <w:r>
        <w:rPr>
          <w:spacing w:val="-2"/>
          <w:sz w:val="20"/>
          <w:u w:val="single"/>
        </w:rPr>
        <w:t>10,693</w:t>
      </w:r>
    </w:p>
    <w:p>
      <w:pPr>
        <w:tabs>
          <w:tab w:pos="5982" w:val="left" w:leader="none"/>
          <w:tab w:pos="7245" w:val="left" w:leader="none"/>
          <w:tab w:pos="8325" w:val="left" w:leader="none"/>
        </w:tabs>
        <w:spacing w:before="0"/>
        <w:ind w:left="405" w:right="0" w:firstLine="0"/>
        <w:jc w:val="center"/>
        <w:rPr>
          <w:sz w:val="20"/>
        </w:rPr>
      </w:pPr>
      <w:r>
        <w:rPr>
          <w:sz w:val="20"/>
        </w:rPr>
        <w:t>Net cash provided by</w:t>
      </w:r>
      <w:r>
        <w:rPr>
          <w:spacing w:val="18"/>
          <w:sz w:val="20"/>
        </w:rPr>
        <w:t> </w:t>
      </w:r>
      <w:r>
        <w:rPr>
          <w:sz w:val="20"/>
        </w:rPr>
        <w:t>financing</w:t>
      </w:r>
      <w:r>
        <w:rPr>
          <w:spacing w:val="4"/>
          <w:sz w:val="20"/>
        </w:rPr>
        <w:t> </w:t>
      </w:r>
      <w:r>
        <w:rPr>
          <w:sz w:val="20"/>
        </w:rPr>
        <w:t>activities</w:t>
        <w:tab/>
      </w:r>
      <w:r>
        <w:rPr>
          <w:sz w:val="20"/>
          <w:u w:val="single"/>
        </w:rPr>
        <w:t>119,841</w:t>
        <w:tab/>
        <w:t>326,681</w:t>
        <w:tab/>
        <w:t>415,026</w:t>
      </w:r>
    </w:p>
    <w:p>
      <w:pPr>
        <w:pStyle w:val="BodyText"/>
        <w:spacing w:before="2"/>
        <w:rPr>
          <w:sz w:val="12"/>
        </w:rPr>
      </w:pPr>
    </w:p>
    <w:p>
      <w:pPr>
        <w:tabs>
          <w:tab w:pos="6390" w:val="left" w:leader="none"/>
          <w:tab w:pos="7542" w:val="left" w:leader="none"/>
          <w:tab w:pos="8622" w:val="left" w:leader="none"/>
        </w:tabs>
        <w:spacing w:before="95"/>
        <w:ind w:left="342" w:right="0" w:firstLine="0"/>
        <w:jc w:val="left"/>
        <w:rPr>
          <w:sz w:val="20"/>
        </w:rPr>
      </w:pPr>
      <w:r>
        <w:rPr>
          <w:b/>
          <w:color w:val="008080"/>
          <w:sz w:val="20"/>
        </w:rPr>
        <w:t>NET INCREASE IN CASH AND</w:t>
      </w:r>
      <w:r>
        <w:rPr>
          <w:b/>
          <w:color w:val="008080"/>
          <w:spacing w:val="9"/>
          <w:sz w:val="20"/>
        </w:rPr>
        <w:t> </w:t>
      </w:r>
      <w:r>
        <w:rPr>
          <w:b/>
          <w:color w:val="008080"/>
          <w:sz w:val="20"/>
        </w:rPr>
        <w:t>CASH EQUIVALENTS</w:t>
        <w:tab/>
      </w:r>
      <w:r>
        <w:rPr>
          <w:sz w:val="20"/>
        </w:rPr>
        <w:t>41,502</w:t>
        <w:tab/>
        <w:t>264,478</w:t>
        <w:tab/>
        <w:t>142,825</w:t>
      </w:r>
    </w:p>
    <w:p>
      <w:pPr>
        <w:tabs>
          <w:tab w:pos="7542" w:val="left" w:leader="none"/>
          <w:tab w:pos="8622" w:val="left" w:leader="none"/>
        </w:tabs>
        <w:spacing w:before="9" w:after="14"/>
        <w:ind w:left="342" w:right="0" w:firstLine="0"/>
        <w:jc w:val="left"/>
        <w:rPr>
          <w:sz w:val="20"/>
        </w:rPr>
      </w:pPr>
      <w:r>
        <w:rPr>
          <w:b/>
          <w:color w:val="008080"/>
          <w:sz w:val="20"/>
        </w:rPr>
        <w:t>CASH AND CASH EQUIVALENTS AT BEGINNING OF</w:t>
      </w:r>
      <w:r>
        <w:rPr>
          <w:b/>
          <w:color w:val="008080"/>
          <w:spacing w:val="17"/>
          <w:sz w:val="20"/>
        </w:rPr>
        <w:t> </w:t>
      </w:r>
      <w:r>
        <w:rPr>
          <w:b/>
          <w:color w:val="008080"/>
          <w:sz w:val="20"/>
        </w:rPr>
        <w:t>PERIOD</w:t>
      </w:r>
      <w:r>
        <w:rPr>
          <w:b/>
          <w:color w:val="008080"/>
          <w:spacing w:val="25"/>
          <w:sz w:val="20"/>
        </w:rPr>
        <w:t> </w:t>
      </w:r>
      <w:r>
        <w:rPr>
          <w:sz w:val="20"/>
          <w:u w:val="single"/>
        </w:rPr>
        <w:t>581,841</w:t>
        <w:tab/>
        <w:t>317,363</w:t>
        <w:tab/>
        <w:t>174,538</w:t>
      </w:r>
    </w:p>
    <w:tbl>
      <w:tblPr>
        <w:tblW w:w="0" w:type="auto"/>
        <w:jc w:val="left"/>
        <w:tblInd w:w="29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1"/>
        <w:gridCol w:w="3569"/>
      </w:tblGrid>
      <w:tr>
        <w:trPr>
          <w:trHeight w:val="701" w:hRule="exact"/>
        </w:trPr>
        <w:tc>
          <w:tcPr>
            <w:tcW w:w="5531" w:type="dxa"/>
          </w:tcPr>
          <w:p>
            <w:pPr>
              <w:pStyle w:val="TableParagraph"/>
              <w:spacing w:line="225" w:lineRule="exact"/>
              <w:ind w:left="50"/>
              <w:jc w:val="left"/>
              <w:rPr>
                <w:b/>
                <w:sz w:val="20"/>
              </w:rPr>
            </w:pPr>
            <w:r>
              <w:rPr>
                <w:b/>
                <w:color w:val="008080"/>
                <w:sz w:val="20"/>
              </w:rPr>
              <w:t>CASH AND CASH EQUIVALENTS AT END OF PERIOD</w:t>
            </w:r>
          </w:p>
          <w:p>
            <w:pPr>
              <w:pStyle w:val="TableParagraph"/>
              <w:spacing w:before="10"/>
              <w:jc w:val="left"/>
              <w:rPr>
                <w:sz w:val="20"/>
              </w:rPr>
            </w:pPr>
          </w:p>
          <w:p>
            <w:pPr>
              <w:pStyle w:val="TableParagraph"/>
              <w:ind w:left="50"/>
              <w:jc w:val="left"/>
              <w:rPr>
                <w:b/>
                <w:sz w:val="20"/>
              </w:rPr>
            </w:pPr>
            <w:r>
              <w:rPr>
                <w:b/>
                <w:color w:val="008080"/>
                <w:sz w:val="20"/>
              </w:rPr>
              <w:t>CASH PAYMENTS FOR:</w:t>
            </w:r>
          </w:p>
        </w:tc>
        <w:tc>
          <w:tcPr>
            <w:tcW w:w="3569" w:type="dxa"/>
          </w:tcPr>
          <w:p>
            <w:pPr>
              <w:pStyle w:val="TableParagraph"/>
              <w:tabs>
                <w:tab w:pos="1262" w:val="left" w:leader="none"/>
                <w:tab w:pos="2342" w:val="left" w:leader="none"/>
              </w:tabs>
              <w:spacing w:line="225" w:lineRule="exact"/>
              <w:ind w:right="48"/>
              <w:rPr>
                <w:sz w:val="20"/>
              </w:rPr>
            </w:pPr>
            <w:r>
              <w:rPr>
                <w:sz w:val="20"/>
                <w:u w:val="thick"/>
              </w:rPr>
              <w:t>$623,343</w:t>
              <w:tab/>
              <w:t>$581,841</w:t>
              <w:tab/>
            </w:r>
            <w:r>
              <w:rPr>
                <w:spacing w:val="-2"/>
                <w:sz w:val="20"/>
                <w:u w:val="thick"/>
              </w:rPr>
              <w:t>$317,363</w:t>
            </w:r>
          </w:p>
        </w:tc>
      </w:tr>
      <w:tr>
        <w:trPr>
          <w:trHeight w:val="233" w:hRule="exact"/>
        </w:trPr>
        <w:tc>
          <w:tcPr>
            <w:tcW w:w="5531" w:type="dxa"/>
          </w:tcPr>
          <w:p>
            <w:pPr>
              <w:pStyle w:val="TableParagraph"/>
              <w:ind w:left="227"/>
              <w:jc w:val="left"/>
              <w:rPr>
                <w:sz w:val="20"/>
              </w:rPr>
            </w:pPr>
            <w:r>
              <w:rPr>
                <w:sz w:val="20"/>
              </w:rPr>
              <w:t>Interest, net of amount capitalized</w:t>
            </w:r>
          </w:p>
        </w:tc>
        <w:tc>
          <w:tcPr>
            <w:tcW w:w="3569" w:type="dxa"/>
          </w:tcPr>
          <w:p>
            <w:pPr>
              <w:pStyle w:val="TableParagraph"/>
              <w:tabs>
                <w:tab w:pos="1262" w:val="left" w:leader="none"/>
                <w:tab w:pos="2342" w:val="left" w:leader="none"/>
              </w:tabs>
              <w:ind w:right="48"/>
              <w:rPr>
                <w:sz w:val="20"/>
              </w:rPr>
            </w:pPr>
            <w:r>
              <w:rPr>
                <w:sz w:val="20"/>
              </w:rPr>
              <w:t>$42,372</w:t>
              <w:tab/>
              <w:t>$36,640</w:t>
              <w:tab/>
            </w:r>
            <w:r>
              <w:rPr>
                <w:spacing w:val="-2"/>
                <w:sz w:val="20"/>
              </w:rPr>
              <w:t>$25,277</w:t>
            </w:r>
          </w:p>
        </w:tc>
      </w:tr>
      <w:tr>
        <w:trPr>
          <w:trHeight w:val="228" w:hRule="exact"/>
        </w:trPr>
        <w:tc>
          <w:tcPr>
            <w:tcW w:w="5531" w:type="dxa"/>
          </w:tcPr>
          <w:p>
            <w:pPr>
              <w:pStyle w:val="TableParagraph"/>
              <w:spacing w:line="227" w:lineRule="exact"/>
              <w:ind w:left="227"/>
              <w:jc w:val="left"/>
              <w:rPr>
                <w:sz w:val="20"/>
              </w:rPr>
            </w:pPr>
            <w:r>
              <w:rPr>
                <w:sz w:val="20"/>
              </w:rPr>
              <w:t>Income taxes</w:t>
            </w:r>
          </w:p>
        </w:tc>
        <w:tc>
          <w:tcPr>
            <w:tcW w:w="3569" w:type="dxa"/>
          </w:tcPr>
          <w:p>
            <w:pPr>
              <w:pStyle w:val="TableParagraph"/>
              <w:tabs>
                <w:tab w:pos="1372" w:val="left" w:leader="none"/>
                <w:tab w:pos="2452" w:val="left" w:leader="none"/>
              </w:tabs>
              <w:spacing w:line="227" w:lineRule="exact"/>
              <w:ind w:right="48"/>
              <w:rPr>
                <w:sz w:val="20"/>
              </w:rPr>
            </w:pPr>
            <w:r>
              <w:rPr>
                <w:sz w:val="20"/>
              </w:rPr>
              <w:t>107,066</w:t>
              <w:tab/>
              <w:t>66,447</w:t>
              <w:tab/>
            </w:r>
            <w:r>
              <w:rPr>
                <w:spacing w:val="-2"/>
                <w:sz w:val="20"/>
              </w:rPr>
              <w:t>73,928</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spacing w:before="0"/>
        <w:ind w:left="160" w:right="0" w:firstLine="0"/>
        <w:jc w:val="left"/>
        <w:rPr>
          <w:i/>
          <w:sz w:val="18"/>
        </w:rPr>
      </w:pPr>
      <w:r>
        <w:rPr>
          <w:i/>
          <w:sz w:val="18"/>
        </w:rPr>
        <w:t>See accompanying notes.</w:t>
      </w:r>
    </w:p>
    <w:p>
      <w:pPr>
        <w:spacing w:after="0"/>
        <w:jc w:val="left"/>
        <w:rPr>
          <w:sz w:val="18"/>
        </w:rPr>
        <w:sectPr>
          <w:pgSz w:w="12240" w:h="15840"/>
          <w:pgMar w:header="1592" w:footer="790" w:top="2120" w:bottom="980" w:left="1280" w:right="1320"/>
        </w:sectPr>
      </w:pPr>
    </w:p>
    <w:p>
      <w:pPr>
        <w:pStyle w:val="BodyText"/>
        <w:spacing w:before="6"/>
        <w:rPr>
          <w:i/>
          <w:sz w:val="9"/>
        </w:rPr>
      </w:pPr>
    </w:p>
    <w:p>
      <w:pPr>
        <w:pStyle w:val="Heading3"/>
        <w:spacing w:line="240" w:lineRule="exact" w:before="125"/>
        <w:ind w:right="2566"/>
      </w:pPr>
      <w:r>
        <w:rPr/>
        <w:t>NOTES TO CONSOLIDATED FINANCIAL STATEMENTS DECEMBER 31, 1997</w:t>
      </w:r>
    </w:p>
    <w:p>
      <w:pPr>
        <w:pStyle w:val="ListParagraph"/>
        <w:numPr>
          <w:ilvl w:val="0"/>
          <w:numId w:val="1"/>
        </w:numPr>
        <w:tabs>
          <w:tab w:pos="389" w:val="left" w:leader="none"/>
        </w:tabs>
        <w:spacing w:line="240" w:lineRule="auto" w:before="206" w:after="0"/>
        <w:ind w:left="388" w:right="0" w:hanging="268"/>
        <w:jc w:val="left"/>
        <w:rPr>
          <w:b/>
          <w:sz w:val="24"/>
        </w:rPr>
      </w:pPr>
      <w:r>
        <w:rPr>
          <w:b/>
          <w:color w:val="008080"/>
          <w:sz w:val="24"/>
        </w:rPr>
        <w:t>SUMMARY OF SIGNIFICANT ACCOUNTING</w:t>
      </w:r>
      <w:r>
        <w:rPr>
          <w:b/>
          <w:color w:val="008080"/>
          <w:spacing w:val="-45"/>
          <w:sz w:val="24"/>
        </w:rPr>
        <w:t> </w:t>
      </w:r>
      <w:r>
        <w:rPr>
          <w:b/>
          <w:color w:val="008080"/>
          <w:sz w:val="24"/>
        </w:rPr>
        <w:t>POLICIES</w:t>
      </w:r>
    </w:p>
    <w:p>
      <w:pPr>
        <w:pStyle w:val="BodyText"/>
        <w:spacing w:before="7"/>
        <w:rPr>
          <w:b/>
          <w:sz w:val="20"/>
        </w:rPr>
      </w:pPr>
    </w:p>
    <w:p>
      <w:pPr>
        <w:pStyle w:val="BodyText"/>
        <w:spacing w:line="240" w:lineRule="exact"/>
        <w:ind w:left="119" w:right="276" w:firstLine="182"/>
      </w:pPr>
      <w:r>
        <w:rPr>
          <w:i/>
          <w:color w:val="008080"/>
        </w:rPr>
        <w:t>BASIS OF PRESENTATION </w:t>
      </w:r>
      <w:r>
        <w:rPr/>
        <w:t>Southwest Airlines Co. (Southwest) is a major domestic airline that provides shorthaul, high frequency, point-to-point, low fare service. The consolidated financial statements include the accounts of Southwest and its wholly owned subsidiaries (the Company). All significant intercompany balances and transactions have been eliminated. The preparation of financial statements in conformity with generally accepted accounting principles requires management to make estimates and assumptions that affect the amounts reported in the financial statements and accompanying notes. Actual results could differ from these estimates. Certain prior year amounts have been reclassified for comparison purposes.</w:t>
      </w:r>
    </w:p>
    <w:p>
      <w:pPr>
        <w:pStyle w:val="BodyText"/>
        <w:spacing w:before="9"/>
        <w:rPr>
          <w:sz w:val="20"/>
        </w:rPr>
      </w:pPr>
    </w:p>
    <w:p>
      <w:pPr>
        <w:pStyle w:val="BodyText"/>
        <w:spacing w:line="240" w:lineRule="exact" w:before="1"/>
        <w:ind w:left="119" w:right="203" w:firstLine="182"/>
      </w:pPr>
      <w:r>
        <w:rPr>
          <w:i/>
          <w:color w:val="008080"/>
        </w:rPr>
        <w:t>CASH AND CASH EQUIVALENTS </w:t>
      </w:r>
      <w:r>
        <w:rPr/>
        <w:t>Cash equivalents consist of certificates of deposit and investment grade commercial paper issued by major corporations and financial institutions that are highly liquid and have original maturities of three months or less.</w:t>
      </w:r>
    </w:p>
    <w:p>
      <w:pPr>
        <w:pStyle w:val="BodyText"/>
        <w:spacing w:line="243" w:lineRule="exact"/>
        <w:ind w:left="302" w:hanging="183"/>
      </w:pPr>
      <w:r>
        <w:rPr/>
        <w:t>Cash and cash equivalents are carried at cost, which approximates market value.</w:t>
      </w:r>
    </w:p>
    <w:p>
      <w:pPr>
        <w:pStyle w:val="BodyText"/>
        <w:spacing w:before="7"/>
        <w:rPr>
          <w:sz w:val="20"/>
        </w:rPr>
      </w:pPr>
    </w:p>
    <w:p>
      <w:pPr>
        <w:pStyle w:val="BodyText"/>
        <w:spacing w:line="240" w:lineRule="exact"/>
        <w:ind w:left="119" w:right="203" w:firstLine="182"/>
      </w:pPr>
      <w:r>
        <w:rPr>
          <w:i/>
          <w:color w:val="008080"/>
        </w:rPr>
        <w:t>INVENTORIES </w:t>
      </w:r>
      <w:r>
        <w:rPr/>
        <w:t>Inventories of flight equipment expendable parts, materials, and supplies are carried at average cost. These items are charged to expense when issued for use.</w:t>
      </w:r>
    </w:p>
    <w:p>
      <w:pPr>
        <w:pStyle w:val="BodyText"/>
        <w:spacing w:before="9"/>
        <w:rPr>
          <w:sz w:val="20"/>
        </w:rPr>
      </w:pPr>
    </w:p>
    <w:p>
      <w:pPr>
        <w:pStyle w:val="BodyText"/>
        <w:spacing w:line="240" w:lineRule="exact" w:before="1"/>
        <w:ind w:left="120" w:right="124" w:firstLine="182"/>
      </w:pPr>
      <w:r>
        <w:rPr>
          <w:i/>
          <w:color w:val="008080"/>
        </w:rPr>
        <w:t>PROPERTY AND EQUIPMENT </w:t>
      </w:r>
      <w:r>
        <w:rPr/>
        <w:t>Depreciation is provided by the straight-line method to residual values over periods ranging from 12 to 20 years for flight equipment and 3  to 30 years for ground property and equipment. </w:t>
      </w:r>
      <w:r>
        <w:rPr>
          <w:spacing w:val="-4"/>
        </w:rPr>
        <w:t>Property  </w:t>
      </w:r>
      <w:r>
        <w:rPr/>
        <w:t>under capital leases and related obligations are </w:t>
      </w:r>
      <w:r>
        <w:rPr>
          <w:spacing w:val="2"/>
        </w:rPr>
        <w:t>recorded </w:t>
      </w:r>
      <w:r>
        <w:rPr/>
        <w:t>at an amount equal to the present value of future minimum lease payments computed on the basis of the Company’s incremental borrowing </w:t>
      </w:r>
      <w:r>
        <w:rPr>
          <w:spacing w:val="2"/>
        </w:rPr>
        <w:t>rate </w:t>
      </w:r>
      <w:r>
        <w:rPr/>
        <w:t>or, when known, the interest </w:t>
      </w:r>
      <w:r>
        <w:rPr>
          <w:spacing w:val="2"/>
        </w:rPr>
        <w:t>rate </w:t>
      </w:r>
      <w:r>
        <w:rPr/>
        <w:t>implicit in the lease. Amortization of property under capital leases is on a straight-line basis over the lease term and is included in depreciation expense. </w:t>
      </w:r>
      <w:r>
        <w:rPr>
          <w:spacing w:val="2"/>
        </w:rPr>
        <w:t>The </w:t>
      </w:r>
      <w:r>
        <w:rPr/>
        <w:t>Company </w:t>
      </w:r>
      <w:r>
        <w:rPr>
          <w:spacing w:val="2"/>
        </w:rPr>
        <w:t>records </w:t>
      </w:r>
      <w:r>
        <w:rPr/>
        <w:t>impairment losses on long- lived assets used in operations when events and circumstances indicate that the assets might be impaired and the undiscounted cash flows to be generated by those assets  are less than the carrying amounts of those</w:t>
      </w:r>
      <w:r>
        <w:rPr>
          <w:spacing w:val="8"/>
        </w:rPr>
        <w:t> </w:t>
      </w:r>
      <w:r>
        <w:rPr/>
        <w:t>assets.</w:t>
      </w:r>
    </w:p>
    <w:p>
      <w:pPr>
        <w:pStyle w:val="BodyText"/>
        <w:spacing w:before="10"/>
        <w:rPr>
          <w:sz w:val="20"/>
        </w:rPr>
      </w:pPr>
    </w:p>
    <w:p>
      <w:pPr>
        <w:pStyle w:val="BodyText"/>
        <w:spacing w:line="240" w:lineRule="exact"/>
        <w:ind w:left="120" w:right="241" w:firstLine="182"/>
      </w:pPr>
      <w:r>
        <w:rPr>
          <w:i/>
          <w:color w:val="008080"/>
        </w:rPr>
        <w:t>AIRCRAFT AND ENGINE </w:t>
      </w:r>
      <w:r>
        <w:rPr>
          <w:i/>
          <w:color w:val="008080"/>
          <w:spacing w:val="2"/>
        </w:rPr>
        <w:t>MAINTENANCE </w:t>
      </w:r>
      <w:r>
        <w:rPr>
          <w:spacing w:val="2"/>
        </w:rPr>
        <w:t>The </w:t>
      </w:r>
      <w:r>
        <w:rPr/>
        <w:t>cost of engine overhauls and routine maintenance costs for </w:t>
      </w:r>
      <w:r>
        <w:rPr>
          <w:spacing w:val="2"/>
        </w:rPr>
        <w:t>aircraft </w:t>
      </w:r>
      <w:r>
        <w:rPr/>
        <w:t>and engines are charged to maintenance expense as incurred. Scheduled airframe overhaul costs are capitalized and amortized over the estimated period benefited, presently ten years. Modifications that significantly enhance the operating performance or extend the useful lives of </w:t>
      </w:r>
      <w:r>
        <w:rPr>
          <w:spacing w:val="2"/>
        </w:rPr>
        <w:t>aircraft </w:t>
      </w:r>
      <w:r>
        <w:rPr/>
        <w:t>or engines are capitalized and amortized over the remaining life of the</w:t>
      </w:r>
      <w:r>
        <w:rPr>
          <w:spacing w:val="28"/>
        </w:rPr>
        <w:t> </w:t>
      </w:r>
      <w:r>
        <w:rPr/>
        <w:t>asset.</w:t>
      </w:r>
    </w:p>
    <w:p>
      <w:pPr>
        <w:pStyle w:val="BodyText"/>
        <w:spacing w:before="9"/>
        <w:rPr>
          <w:sz w:val="20"/>
        </w:rPr>
      </w:pPr>
    </w:p>
    <w:p>
      <w:pPr>
        <w:pStyle w:val="BodyText"/>
        <w:spacing w:line="240" w:lineRule="exact" w:before="1"/>
        <w:ind w:left="120" w:right="203" w:firstLine="182"/>
      </w:pPr>
      <w:r>
        <w:rPr>
          <w:i/>
          <w:color w:val="008080"/>
        </w:rPr>
        <w:t>REVENUE RECOGNITION </w:t>
      </w:r>
      <w:r>
        <w:rPr/>
        <w:t>Passenger revenue is recognized when transportation is provided. Tickets sold but not yet used are included in “Air traffic liability,” which includes estimates that are evaluated and adjusted periodically. Any adjustments resulting therefrom are included in results of operations for the periods in which the evaluations are completed.</w:t>
      </w:r>
    </w:p>
    <w:p>
      <w:pPr>
        <w:spacing w:after="0" w:line="240" w:lineRule="exact"/>
        <w:sectPr>
          <w:footerReference w:type="default" r:id="rId12"/>
          <w:pgSz w:w="12240" w:h="15840"/>
          <w:pgMar w:footer="790" w:header="1592" w:top="2120" w:bottom="980" w:left="1320" w:right="1320"/>
        </w:sectPr>
      </w:pPr>
    </w:p>
    <w:p>
      <w:pPr>
        <w:pStyle w:val="BodyText"/>
        <w:rPr>
          <w:sz w:val="20"/>
        </w:rPr>
      </w:pPr>
    </w:p>
    <w:p>
      <w:pPr>
        <w:pStyle w:val="BodyText"/>
        <w:spacing w:before="3"/>
        <w:rPr>
          <w:sz w:val="21"/>
        </w:rPr>
      </w:pPr>
    </w:p>
    <w:p>
      <w:pPr>
        <w:pStyle w:val="BodyText"/>
        <w:spacing w:line="240" w:lineRule="exact" w:before="1"/>
        <w:ind w:left="119" w:right="300" w:firstLine="182"/>
      </w:pPr>
      <w:r>
        <w:rPr>
          <w:i/>
          <w:color w:val="008080"/>
        </w:rPr>
        <w:t>FREQUENT FLYER PROGRAM </w:t>
      </w:r>
      <w:r>
        <w:rPr/>
        <w:t>The Company accrues the estimated incremental cost of providing free travel awards earned under its Rapid Rewards frequent flyer program. The Company also sells flight segment credits to companies participating in its Rapid Rewards frequent flyer program. The revenue from the sale of flight segment credits is recognized when the credits are sold.</w:t>
      </w:r>
    </w:p>
    <w:p>
      <w:pPr>
        <w:pStyle w:val="BodyText"/>
        <w:spacing w:before="10"/>
        <w:rPr>
          <w:sz w:val="20"/>
        </w:rPr>
      </w:pPr>
    </w:p>
    <w:p>
      <w:pPr>
        <w:pStyle w:val="BodyText"/>
        <w:spacing w:line="240" w:lineRule="exact"/>
        <w:ind w:left="119" w:right="203" w:firstLine="182"/>
      </w:pPr>
      <w:r>
        <w:rPr>
          <w:i/>
          <w:color w:val="008080"/>
        </w:rPr>
        <w:t>ADVERTISING </w:t>
      </w:r>
      <w:r>
        <w:rPr/>
        <w:t>The Company expenses the costs of advertising as incurred. Advertising expense for the years ended December 31, 1997, 1996, and 1995 was</w:t>
      </w:r>
    </w:p>
    <w:p>
      <w:pPr>
        <w:pStyle w:val="BodyText"/>
        <w:spacing w:line="243" w:lineRule="exact"/>
        <w:ind w:left="119"/>
      </w:pPr>
      <w:r>
        <w:rPr/>
        <w:t>$112,961,000, $109,136,000, and $92,087,000, respectively.</w:t>
      </w:r>
    </w:p>
    <w:p>
      <w:pPr>
        <w:pStyle w:val="BodyText"/>
        <w:spacing w:before="7"/>
        <w:rPr>
          <w:sz w:val="20"/>
        </w:rPr>
      </w:pPr>
    </w:p>
    <w:p>
      <w:pPr>
        <w:spacing w:line="240" w:lineRule="exact" w:before="0"/>
        <w:ind w:left="119" w:right="235" w:firstLine="182"/>
        <w:jc w:val="left"/>
        <w:rPr>
          <w:sz w:val="24"/>
        </w:rPr>
      </w:pPr>
      <w:r>
        <w:rPr>
          <w:i/>
          <w:color w:val="008080"/>
          <w:sz w:val="24"/>
        </w:rPr>
        <w:t>STOCK-BASED EMPLOYEE COMPENSATION </w:t>
      </w:r>
      <w:r>
        <w:rPr>
          <w:spacing w:val="-4"/>
          <w:sz w:val="24"/>
        </w:rPr>
        <w:t>Pursuant </w:t>
      </w:r>
      <w:r>
        <w:rPr>
          <w:sz w:val="24"/>
        </w:rPr>
        <w:t>to Statement of </w:t>
      </w:r>
      <w:r>
        <w:rPr>
          <w:spacing w:val="4"/>
          <w:sz w:val="24"/>
        </w:rPr>
        <w:t>Financial </w:t>
      </w:r>
      <w:r>
        <w:rPr>
          <w:sz w:val="24"/>
        </w:rPr>
        <w:t>Accounting </w:t>
      </w:r>
      <w:r>
        <w:rPr>
          <w:spacing w:val="-4"/>
          <w:sz w:val="24"/>
        </w:rPr>
        <w:t>Standards  </w:t>
      </w:r>
      <w:r>
        <w:rPr>
          <w:sz w:val="24"/>
        </w:rPr>
        <w:t>No. 123 </w:t>
      </w:r>
      <w:r>
        <w:rPr>
          <w:spacing w:val="2"/>
          <w:sz w:val="24"/>
        </w:rPr>
        <w:t>(SFAS </w:t>
      </w:r>
      <w:r>
        <w:rPr>
          <w:sz w:val="24"/>
        </w:rPr>
        <w:t>123), </w:t>
      </w:r>
      <w:r>
        <w:rPr>
          <w:i/>
          <w:sz w:val="24"/>
        </w:rPr>
        <w:t>Accounting for Stock-Based </w:t>
      </w:r>
      <w:r>
        <w:rPr>
          <w:i/>
          <w:sz w:val="24"/>
        </w:rPr>
        <w:t>Compensation</w:t>
      </w:r>
      <w:r>
        <w:rPr>
          <w:sz w:val="24"/>
        </w:rPr>
        <w:t>, the Company accounts for stock-based compensation plans utilizing the provisions of Accounting Principles </w:t>
      </w:r>
      <w:r>
        <w:rPr>
          <w:spacing w:val="-4"/>
          <w:sz w:val="24"/>
        </w:rPr>
        <w:t>Board </w:t>
      </w:r>
      <w:r>
        <w:rPr>
          <w:sz w:val="24"/>
        </w:rPr>
        <w:t>Opinion No. 25 </w:t>
      </w:r>
      <w:r>
        <w:rPr>
          <w:spacing w:val="2"/>
          <w:sz w:val="24"/>
        </w:rPr>
        <w:t>(APB </w:t>
      </w:r>
      <w:r>
        <w:rPr>
          <w:sz w:val="24"/>
        </w:rPr>
        <w:t>25), </w:t>
      </w:r>
      <w:r>
        <w:rPr>
          <w:i/>
          <w:sz w:val="24"/>
        </w:rPr>
        <w:t>Accounting </w:t>
      </w:r>
      <w:r>
        <w:rPr>
          <w:i/>
          <w:spacing w:val="2"/>
          <w:sz w:val="24"/>
        </w:rPr>
        <w:t>for </w:t>
      </w:r>
      <w:r>
        <w:rPr>
          <w:i/>
          <w:sz w:val="24"/>
        </w:rPr>
        <w:t>Stock Issued to Employees </w:t>
      </w:r>
      <w:r>
        <w:rPr>
          <w:sz w:val="24"/>
        </w:rPr>
        <w:t>and related Interpretations because, as discussed in Note 7, the alternative fair value accounting provided for under </w:t>
      </w:r>
      <w:r>
        <w:rPr>
          <w:spacing w:val="-3"/>
          <w:sz w:val="24"/>
        </w:rPr>
        <w:t>SFAS </w:t>
      </w:r>
      <w:r>
        <w:rPr>
          <w:sz w:val="24"/>
        </w:rPr>
        <w:t>123 requires use of option valuation models that were not developed for use in valuing employee stock options.</w:t>
      </w:r>
    </w:p>
    <w:p>
      <w:pPr>
        <w:pStyle w:val="BodyText"/>
        <w:spacing w:before="9"/>
        <w:rPr>
          <w:sz w:val="20"/>
        </w:rPr>
      </w:pPr>
    </w:p>
    <w:p>
      <w:pPr>
        <w:pStyle w:val="BodyText"/>
        <w:spacing w:line="240" w:lineRule="exact"/>
        <w:ind w:left="119" w:right="160" w:firstLine="182"/>
      </w:pPr>
      <w:r>
        <w:rPr>
          <w:i/>
          <w:color w:val="008080"/>
        </w:rPr>
        <w:t>EARNINGS PER SHARE </w:t>
      </w:r>
      <w:r>
        <w:rPr/>
        <w:t>In 1997, the </w:t>
      </w:r>
      <w:r>
        <w:rPr>
          <w:spacing w:val="3"/>
        </w:rPr>
        <w:t>Financial </w:t>
      </w:r>
      <w:r>
        <w:rPr/>
        <w:t>Accounting </w:t>
      </w:r>
      <w:r>
        <w:rPr>
          <w:spacing w:val="-4"/>
        </w:rPr>
        <w:t>Standards Board </w:t>
      </w:r>
      <w:r>
        <w:rPr/>
        <w:t>issued Statement of </w:t>
      </w:r>
      <w:r>
        <w:rPr>
          <w:spacing w:val="3"/>
        </w:rPr>
        <w:t>Financial </w:t>
      </w:r>
      <w:r>
        <w:rPr/>
        <w:t>Accounting </w:t>
      </w:r>
      <w:r>
        <w:rPr>
          <w:spacing w:val="-4"/>
        </w:rPr>
        <w:t>Standards </w:t>
      </w:r>
      <w:r>
        <w:rPr/>
        <w:t>No. 128 </w:t>
      </w:r>
      <w:r>
        <w:rPr>
          <w:spacing w:val="2"/>
        </w:rPr>
        <w:t>(SFAS </w:t>
      </w:r>
      <w:r>
        <w:rPr/>
        <w:t>128), </w:t>
      </w:r>
      <w:r>
        <w:rPr>
          <w:i/>
        </w:rPr>
        <w:t>Earnings per Share</w:t>
      </w:r>
      <w:r>
        <w:rPr/>
        <w:t>. </w:t>
      </w:r>
      <w:r>
        <w:rPr>
          <w:spacing w:val="-3"/>
        </w:rPr>
        <w:t>SFAS </w:t>
      </w:r>
      <w:r>
        <w:rPr/>
        <w:t>128 replaced the calculation of primary and fully diluted earnings per share with basic and diluted earnings per share. Unlike primary earnings per share, basic  earnings per share excludes any dilutive effects of stock options. Diluted earnings per share is similar to the previously </w:t>
      </w:r>
      <w:r>
        <w:rPr>
          <w:spacing w:val="2"/>
        </w:rPr>
        <w:t>reported </w:t>
      </w:r>
      <w:r>
        <w:rPr/>
        <w:t>fully diluted earnings per share. Earnings per share amounts for all periods have been </w:t>
      </w:r>
      <w:r>
        <w:rPr>
          <w:spacing w:val="2"/>
        </w:rPr>
        <w:t>restated </w:t>
      </w:r>
      <w:r>
        <w:rPr/>
        <w:t>and presented to conform to the </w:t>
      </w:r>
      <w:r>
        <w:rPr>
          <w:spacing w:val="-3"/>
        </w:rPr>
        <w:t>SFAS </w:t>
      </w:r>
      <w:r>
        <w:rPr/>
        <w:t>128</w:t>
      </w:r>
      <w:r>
        <w:rPr>
          <w:spacing w:val="9"/>
        </w:rPr>
        <w:t> </w:t>
      </w:r>
      <w:r>
        <w:rPr/>
        <w:t>requirements.</w:t>
      </w:r>
    </w:p>
    <w:p>
      <w:pPr>
        <w:pStyle w:val="BodyText"/>
        <w:spacing w:before="9"/>
        <w:rPr>
          <w:sz w:val="20"/>
        </w:rPr>
      </w:pPr>
    </w:p>
    <w:p>
      <w:pPr>
        <w:pStyle w:val="BodyText"/>
        <w:spacing w:line="240" w:lineRule="exact"/>
        <w:ind w:left="119" w:firstLine="182"/>
      </w:pPr>
      <w:r>
        <w:rPr>
          <w:i/>
          <w:color w:val="008080"/>
        </w:rPr>
        <w:t>DERIVATIVE FINANCIAL INSTRUMENTS </w:t>
      </w:r>
      <w:r>
        <w:rPr/>
        <w:t>The Company utilizes purchased crude oil call options and fixed price swap agreements to hedge a portion of its exposure to fuel price fluctuations. At December 31, 1997, 1996, and 1995, and during the years then ended, outstanding call options and swap agreements were immaterial.</w:t>
      </w:r>
    </w:p>
    <w:p>
      <w:pPr>
        <w:pStyle w:val="BodyText"/>
        <w:spacing w:before="9"/>
        <w:rPr>
          <w:sz w:val="20"/>
        </w:rPr>
      </w:pPr>
    </w:p>
    <w:p>
      <w:pPr>
        <w:pStyle w:val="BodyText"/>
        <w:spacing w:line="240" w:lineRule="exact"/>
        <w:ind w:left="119" w:right="192" w:firstLine="182"/>
      </w:pPr>
      <w:r>
        <w:rPr>
          <w:spacing w:val="2"/>
        </w:rPr>
        <w:t>The </w:t>
      </w:r>
      <w:r>
        <w:rPr/>
        <w:t>cost of purchased crude oil call options and gains and losses on fixed price swap agreements are deferred and expensed to fuel expense in the same month that the underlying fuel being hedged is used. Gains and losses resulting from hedging positions terminated or settled early are </w:t>
      </w:r>
      <w:r>
        <w:rPr>
          <w:spacing w:val="2"/>
        </w:rPr>
        <w:t>recorded </w:t>
      </w:r>
      <w:r>
        <w:rPr/>
        <w:t>to fuel expense in the month of termination or settlement. Gains and losses on hedging transactions have not been material.</w:t>
      </w:r>
    </w:p>
    <w:p>
      <w:pPr>
        <w:pStyle w:val="BodyText"/>
        <w:spacing w:before="9"/>
        <w:rPr>
          <w:sz w:val="20"/>
        </w:rPr>
      </w:pPr>
    </w:p>
    <w:p>
      <w:pPr>
        <w:pStyle w:val="BodyText"/>
        <w:spacing w:line="240" w:lineRule="exact"/>
        <w:ind w:left="119" w:right="203" w:firstLine="182"/>
      </w:pPr>
      <w:r>
        <w:rPr/>
        <w:t>Any such agreements expose the Company to credit loss in the event of nonperformance by the other parties to the agreements. The Company does not anticipate such nonperformance.</w:t>
      </w:r>
    </w:p>
    <w:p>
      <w:pPr>
        <w:pStyle w:val="BodyText"/>
        <w:spacing w:before="206"/>
        <w:ind w:left="302"/>
      </w:pPr>
      <w:r>
        <w:rPr/>
        <w:t>The Company does not hold or issue any financial instruments for trading purposes.</w:t>
      </w:r>
    </w:p>
    <w:p>
      <w:pPr>
        <w:spacing w:after="0"/>
        <w:sectPr>
          <w:footerReference w:type="default" r:id="rId13"/>
          <w:pgSz w:w="12240" w:h="15840"/>
          <w:pgMar w:footer="790" w:header="1592" w:top="2120" w:bottom="980" w:left="1320" w:right="1320"/>
          <w:pgNumType w:start="41"/>
        </w:sectPr>
      </w:pPr>
    </w:p>
    <w:p>
      <w:pPr>
        <w:pStyle w:val="BodyText"/>
        <w:spacing w:before="6"/>
        <w:rPr>
          <w:sz w:val="29"/>
        </w:rPr>
      </w:pPr>
    </w:p>
    <w:p>
      <w:pPr>
        <w:pStyle w:val="Heading3"/>
        <w:numPr>
          <w:ilvl w:val="0"/>
          <w:numId w:val="1"/>
        </w:numPr>
        <w:tabs>
          <w:tab w:pos="429" w:val="left" w:leader="none"/>
        </w:tabs>
        <w:spacing w:line="240" w:lineRule="auto" w:before="93" w:after="0"/>
        <w:ind w:left="428" w:right="0" w:hanging="268"/>
        <w:jc w:val="left"/>
      </w:pPr>
      <w:r>
        <w:rPr>
          <w:color w:val="008080"/>
        </w:rPr>
        <w:t>COMMITMENTS</w:t>
      </w:r>
    </w:p>
    <w:p>
      <w:pPr>
        <w:pStyle w:val="BodyText"/>
        <w:spacing w:before="10"/>
        <w:rPr>
          <w:b/>
          <w:sz w:val="31"/>
        </w:rPr>
      </w:pPr>
    </w:p>
    <w:p>
      <w:pPr>
        <w:pStyle w:val="BodyText"/>
        <w:spacing w:line="240" w:lineRule="exact"/>
        <w:ind w:left="159" w:right="193" w:firstLine="182"/>
      </w:pPr>
      <w:r>
        <w:rPr>
          <w:spacing w:val="2"/>
        </w:rPr>
        <w:t>The </w:t>
      </w:r>
      <w:r>
        <w:rPr/>
        <w:t>Company’s contractual purchase commitments consist primarily of scheduled </w:t>
      </w:r>
      <w:r>
        <w:rPr>
          <w:spacing w:val="2"/>
        </w:rPr>
        <w:t>aircraft </w:t>
      </w:r>
      <w:r>
        <w:rPr/>
        <w:t>acquisitions. Twenty-two 737-700 </w:t>
      </w:r>
      <w:r>
        <w:rPr>
          <w:spacing w:val="2"/>
        </w:rPr>
        <w:t>aircraft </w:t>
      </w:r>
      <w:r>
        <w:rPr/>
        <w:t>are scheduled for delivery in 1998, 25 in 1999, 23 in 2000, 21 in 2001, 21 in 2002, eight in 2003, and six in 2004. In addition, the Company has options to purchase up to 62 </w:t>
      </w:r>
      <w:r>
        <w:rPr>
          <w:spacing w:val="2"/>
        </w:rPr>
        <w:t>-700s </w:t>
      </w:r>
      <w:r>
        <w:rPr/>
        <w:t>during 2003-2006. </w:t>
      </w:r>
      <w:r>
        <w:rPr>
          <w:spacing w:val="2"/>
        </w:rPr>
        <w:t>The </w:t>
      </w:r>
      <w:r>
        <w:rPr/>
        <w:t>Company has the option, which must be exercised two years prior to the contractual delivery  date, to substitute 737-600s or 737-800s for the </w:t>
      </w:r>
      <w:r>
        <w:rPr>
          <w:spacing w:val="2"/>
        </w:rPr>
        <w:t>-700s </w:t>
      </w:r>
      <w:r>
        <w:rPr/>
        <w:t>scheduled subsequent to</w:t>
      </w:r>
      <w:r>
        <w:rPr>
          <w:spacing w:val="18"/>
        </w:rPr>
        <w:t> </w:t>
      </w:r>
      <w:r>
        <w:rPr/>
        <w:t>1999.</w:t>
      </w:r>
    </w:p>
    <w:p>
      <w:pPr>
        <w:pStyle w:val="BodyText"/>
        <w:spacing w:before="9"/>
        <w:rPr>
          <w:sz w:val="20"/>
        </w:rPr>
      </w:pPr>
    </w:p>
    <w:p>
      <w:pPr>
        <w:pStyle w:val="BodyText"/>
        <w:spacing w:line="240" w:lineRule="exact" w:before="1"/>
        <w:ind w:left="159" w:right="233"/>
      </w:pPr>
      <w:r>
        <w:rPr>
          <w:spacing w:val="-4"/>
        </w:rPr>
        <w:t>Aggregate </w:t>
      </w:r>
      <w:r>
        <w:rPr/>
        <w:t>funding needed for these commitments is approximately $3,109.8 million, subject to adjustments for inflation, due as follows: $565.7 million in 1998, $747.1 million in 1999, $574.1 million in 2000, $510.1 million in 2001, $434.5 million in</w:t>
      </w:r>
      <w:r>
        <w:rPr>
          <w:spacing w:val="59"/>
        </w:rPr>
        <w:t> </w:t>
      </w:r>
      <w:r>
        <w:rPr/>
        <w:t>2002,</w:t>
      </w:r>
    </w:p>
    <w:p>
      <w:pPr>
        <w:pStyle w:val="BodyText"/>
        <w:spacing w:line="243" w:lineRule="exact"/>
        <w:ind w:left="159"/>
      </w:pPr>
      <w:r>
        <w:rPr/>
        <w:t>$172.8 million in 2003, and $105.5 million in 2004.</w:t>
      </w:r>
    </w:p>
    <w:p>
      <w:pPr>
        <w:pStyle w:val="BodyText"/>
        <w:rPr>
          <w:sz w:val="2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5"/>
        <w:gridCol w:w="1431"/>
        <w:gridCol w:w="1274"/>
      </w:tblGrid>
      <w:tr>
        <w:trPr>
          <w:trHeight w:val="556" w:hRule="exact"/>
        </w:trPr>
        <w:tc>
          <w:tcPr>
            <w:tcW w:w="5675" w:type="dxa"/>
            <w:tcBorders>
              <w:bottom w:val="single" w:sz="8" w:space="0" w:color="000000"/>
            </w:tcBorders>
          </w:tcPr>
          <w:p>
            <w:pPr>
              <w:pStyle w:val="TableParagraph"/>
              <w:spacing w:line="268" w:lineRule="exact"/>
              <w:ind w:left="50"/>
              <w:jc w:val="left"/>
              <w:rPr>
                <w:b/>
                <w:sz w:val="24"/>
              </w:rPr>
            </w:pPr>
            <w:r>
              <w:rPr>
                <w:b/>
                <w:color w:val="008080"/>
                <w:sz w:val="24"/>
              </w:rPr>
              <w:t>3. ACCRUED LIABILITIES</w:t>
            </w:r>
          </w:p>
          <w:p>
            <w:pPr>
              <w:pStyle w:val="TableParagraph"/>
              <w:spacing w:before="49"/>
              <w:ind w:left="50"/>
              <w:jc w:val="left"/>
              <w:rPr>
                <w:sz w:val="20"/>
              </w:rPr>
            </w:pPr>
            <w:r>
              <w:rPr>
                <w:sz w:val="20"/>
              </w:rPr>
              <w:t>(IN THOUSANDS)</w:t>
            </w:r>
          </w:p>
        </w:tc>
        <w:tc>
          <w:tcPr>
            <w:tcW w:w="1431" w:type="dxa"/>
            <w:tcBorders>
              <w:bottom w:val="single" w:sz="8" w:space="0" w:color="000000"/>
            </w:tcBorders>
          </w:tcPr>
          <w:p>
            <w:pPr>
              <w:pStyle w:val="TableParagraph"/>
              <w:spacing w:before="4"/>
              <w:jc w:val="left"/>
              <w:rPr>
                <w:sz w:val="24"/>
              </w:rPr>
            </w:pPr>
          </w:p>
          <w:p>
            <w:pPr>
              <w:pStyle w:val="TableParagraph"/>
              <w:ind w:right="214"/>
              <w:rPr>
                <w:sz w:val="24"/>
              </w:rPr>
            </w:pPr>
            <w:r>
              <w:rPr>
                <w:sz w:val="24"/>
              </w:rPr>
              <w:t>1997</w:t>
            </w:r>
          </w:p>
        </w:tc>
        <w:tc>
          <w:tcPr>
            <w:tcW w:w="1274" w:type="dxa"/>
            <w:tcBorders>
              <w:bottom w:val="single" w:sz="8" w:space="0" w:color="000000"/>
            </w:tcBorders>
          </w:tcPr>
          <w:p>
            <w:pPr>
              <w:pStyle w:val="TableParagraph"/>
              <w:spacing w:before="4"/>
              <w:jc w:val="left"/>
              <w:rPr>
                <w:sz w:val="24"/>
              </w:rPr>
            </w:pPr>
          </w:p>
          <w:p>
            <w:pPr>
              <w:pStyle w:val="TableParagraph"/>
              <w:ind w:right="48"/>
              <w:rPr>
                <w:sz w:val="24"/>
              </w:rPr>
            </w:pPr>
            <w:r>
              <w:rPr>
                <w:sz w:val="24"/>
              </w:rPr>
              <w:t>1996</w:t>
            </w:r>
          </w:p>
        </w:tc>
      </w:tr>
      <w:tr>
        <w:trPr>
          <w:trHeight w:val="291" w:hRule="exact"/>
        </w:trPr>
        <w:tc>
          <w:tcPr>
            <w:tcW w:w="5675" w:type="dxa"/>
            <w:tcBorders>
              <w:top w:val="single" w:sz="8" w:space="0" w:color="000000"/>
            </w:tcBorders>
          </w:tcPr>
          <w:p>
            <w:pPr>
              <w:pStyle w:val="TableParagraph"/>
              <w:spacing w:before="15"/>
              <w:ind w:left="50"/>
              <w:jc w:val="left"/>
              <w:rPr>
                <w:sz w:val="24"/>
              </w:rPr>
            </w:pPr>
            <w:r>
              <w:rPr>
                <w:sz w:val="24"/>
              </w:rPr>
              <w:t>Aircraft rentals</w:t>
            </w:r>
          </w:p>
        </w:tc>
        <w:tc>
          <w:tcPr>
            <w:tcW w:w="1431" w:type="dxa"/>
            <w:tcBorders>
              <w:top w:val="single" w:sz="8" w:space="0" w:color="000000"/>
            </w:tcBorders>
          </w:tcPr>
          <w:p>
            <w:pPr>
              <w:pStyle w:val="TableParagraph"/>
              <w:spacing w:before="15"/>
              <w:ind w:right="213"/>
              <w:rPr>
                <w:sz w:val="24"/>
              </w:rPr>
            </w:pPr>
            <w:r>
              <w:rPr>
                <w:w w:val="95"/>
                <w:sz w:val="24"/>
              </w:rPr>
              <w:t>$123,669</w:t>
            </w:r>
          </w:p>
        </w:tc>
        <w:tc>
          <w:tcPr>
            <w:tcW w:w="1274" w:type="dxa"/>
            <w:tcBorders>
              <w:top w:val="single" w:sz="8" w:space="0" w:color="000000"/>
            </w:tcBorders>
          </w:tcPr>
          <w:p>
            <w:pPr>
              <w:pStyle w:val="TableParagraph"/>
              <w:spacing w:before="15"/>
              <w:ind w:right="48"/>
              <w:rPr>
                <w:sz w:val="24"/>
              </w:rPr>
            </w:pPr>
            <w:r>
              <w:rPr>
                <w:w w:val="95"/>
                <w:sz w:val="24"/>
              </w:rPr>
              <w:t>$121,384</w:t>
            </w:r>
          </w:p>
        </w:tc>
      </w:tr>
      <w:tr>
        <w:trPr>
          <w:trHeight w:val="283" w:hRule="exact"/>
        </w:trPr>
        <w:tc>
          <w:tcPr>
            <w:tcW w:w="5675" w:type="dxa"/>
          </w:tcPr>
          <w:p>
            <w:pPr>
              <w:pStyle w:val="TableParagraph"/>
              <w:spacing w:line="276" w:lineRule="exact"/>
              <w:ind w:left="50"/>
              <w:jc w:val="left"/>
              <w:rPr>
                <w:sz w:val="24"/>
              </w:rPr>
            </w:pPr>
            <w:r>
              <w:rPr>
                <w:sz w:val="24"/>
              </w:rPr>
              <w:t>Employee profitsharing and savings plans (Note 8)</w:t>
            </w:r>
          </w:p>
        </w:tc>
        <w:tc>
          <w:tcPr>
            <w:tcW w:w="1431" w:type="dxa"/>
          </w:tcPr>
          <w:p>
            <w:pPr>
              <w:pStyle w:val="TableParagraph"/>
              <w:spacing w:line="276" w:lineRule="exact"/>
              <w:ind w:right="213"/>
              <w:rPr>
                <w:sz w:val="24"/>
              </w:rPr>
            </w:pPr>
            <w:r>
              <w:rPr>
                <w:w w:val="95"/>
                <w:sz w:val="24"/>
              </w:rPr>
              <w:t>92,857</w:t>
            </w:r>
          </w:p>
        </w:tc>
        <w:tc>
          <w:tcPr>
            <w:tcW w:w="1274" w:type="dxa"/>
          </w:tcPr>
          <w:p>
            <w:pPr>
              <w:pStyle w:val="TableParagraph"/>
              <w:spacing w:line="276" w:lineRule="exact"/>
              <w:ind w:right="48"/>
              <w:rPr>
                <w:sz w:val="24"/>
              </w:rPr>
            </w:pPr>
            <w:r>
              <w:rPr>
                <w:w w:val="95"/>
                <w:sz w:val="24"/>
              </w:rPr>
              <w:t>61,286</w:t>
            </w:r>
          </w:p>
        </w:tc>
      </w:tr>
      <w:tr>
        <w:trPr>
          <w:trHeight w:val="276" w:hRule="exact"/>
        </w:trPr>
        <w:tc>
          <w:tcPr>
            <w:tcW w:w="5675" w:type="dxa"/>
          </w:tcPr>
          <w:p>
            <w:pPr>
              <w:pStyle w:val="TableParagraph"/>
              <w:spacing w:line="276" w:lineRule="exact"/>
              <w:ind w:left="50"/>
              <w:jc w:val="left"/>
              <w:rPr>
                <w:sz w:val="24"/>
              </w:rPr>
            </w:pPr>
            <w:r>
              <w:rPr>
                <w:sz w:val="24"/>
              </w:rPr>
              <w:t>Vacation pay</w:t>
            </w:r>
          </w:p>
        </w:tc>
        <w:tc>
          <w:tcPr>
            <w:tcW w:w="1431" w:type="dxa"/>
          </w:tcPr>
          <w:p>
            <w:pPr>
              <w:pStyle w:val="TableParagraph"/>
              <w:spacing w:line="276" w:lineRule="exact"/>
              <w:ind w:right="213"/>
              <w:rPr>
                <w:sz w:val="24"/>
              </w:rPr>
            </w:pPr>
            <w:r>
              <w:rPr>
                <w:w w:val="95"/>
                <w:sz w:val="24"/>
              </w:rPr>
              <w:t>50,812</w:t>
            </w:r>
          </w:p>
        </w:tc>
        <w:tc>
          <w:tcPr>
            <w:tcW w:w="1274" w:type="dxa"/>
          </w:tcPr>
          <w:p>
            <w:pPr>
              <w:pStyle w:val="TableParagraph"/>
              <w:spacing w:line="276" w:lineRule="exact"/>
              <w:ind w:right="48"/>
              <w:rPr>
                <w:sz w:val="24"/>
              </w:rPr>
            </w:pPr>
            <w:r>
              <w:rPr>
                <w:w w:val="95"/>
                <w:sz w:val="24"/>
              </w:rPr>
              <w:t>44,763</w:t>
            </w:r>
          </w:p>
        </w:tc>
      </w:tr>
    </w:tbl>
    <w:p>
      <w:pPr>
        <w:pStyle w:val="BodyText"/>
        <w:tabs>
          <w:tab w:pos="6126" w:val="left" w:leader="none"/>
          <w:tab w:pos="7566" w:val="left" w:leader="none"/>
        </w:tabs>
        <w:spacing w:before="7"/>
        <w:ind w:left="160"/>
      </w:pPr>
      <w:r>
        <w:rPr/>
        <w:t>Other</w:t>
        <w:tab/>
      </w:r>
      <w:r>
        <w:rPr>
          <w:u w:val="single"/>
        </w:rPr>
        <w:t>159,612</w:t>
        <w:tab/>
        <w:t>141,192</w:t>
      </w:r>
    </w:p>
    <w:p>
      <w:pPr>
        <w:pStyle w:val="BodyText"/>
        <w:tabs>
          <w:tab w:pos="7431" w:val="left" w:leader="none"/>
        </w:tabs>
        <w:spacing w:before="7"/>
        <w:ind w:left="5992"/>
      </w:pPr>
      <w:r>
        <w:rPr>
          <w:u w:val="thick"/>
        </w:rPr>
        <w:t>$426,950</w:t>
        <w:tab/>
        <w:t>$368,625</w:t>
      </w:r>
    </w:p>
    <w:p>
      <w:pPr>
        <w:pStyle w:val="BodyText"/>
        <w:spacing w:before="6"/>
        <w:rPr>
          <w:sz w:val="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36"/>
        <w:gridCol w:w="2571"/>
        <w:gridCol w:w="1274"/>
      </w:tblGrid>
      <w:tr>
        <w:trPr>
          <w:trHeight w:val="556" w:hRule="exact"/>
        </w:trPr>
        <w:tc>
          <w:tcPr>
            <w:tcW w:w="4536" w:type="dxa"/>
            <w:tcBorders>
              <w:bottom w:val="single" w:sz="8" w:space="0" w:color="000000"/>
            </w:tcBorders>
          </w:tcPr>
          <w:p>
            <w:pPr>
              <w:pStyle w:val="TableParagraph"/>
              <w:spacing w:line="268" w:lineRule="exact"/>
              <w:ind w:left="50"/>
              <w:jc w:val="left"/>
              <w:rPr>
                <w:b/>
                <w:sz w:val="24"/>
              </w:rPr>
            </w:pPr>
            <w:r>
              <w:rPr>
                <w:b/>
                <w:color w:val="008080"/>
                <w:sz w:val="24"/>
              </w:rPr>
              <w:t>4. LONG-TERM DEBT</w:t>
            </w:r>
          </w:p>
          <w:p>
            <w:pPr>
              <w:pStyle w:val="TableParagraph"/>
              <w:spacing w:before="49"/>
              <w:ind w:left="50"/>
              <w:jc w:val="left"/>
              <w:rPr>
                <w:sz w:val="20"/>
              </w:rPr>
            </w:pPr>
            <w:r>
              <w:rPr>
                <w:sz w:val="20"/>
              </w:rPr>
              <w:t>(IN THOUSANDS)</w:t>
            </w:r>
          </w:p>
        </w:tc>
        <w:tc>
          <w:tcPr>
            <w:tcW w:w="2571" w:type="dxa"/>
            <w:tcBorders>
              <w:bottom w:val="single" w:sz="8" w:space="0" w:color="000000"/>
            </w:tcBorders>
          </w:tcPr>
          <w:p>
            <w:pPr>
              <w:pStyle w:val="TableParagraph"/>
              <w:spacing w:before="4"/>
              <w:jc w:val="left"/>
              <w:rPr>
                <w:sz w:val="24"/>
              </w:rPr>
            </w:pPr>
          </w:p>
          <w:p>
            <w:pPr>
              <w:pStyle w:val="TableParagraph"/>
              <w:ind w:right="214"/>
              <w:rPr>
                <w:sz w:val="24"/>
              </w:rPr>
            </w:pPr>
            <w:r>
              <w:rPr>
                <w:sz w:val="24"/>
              </w:rPr>
              <w:t>1997</w:t>
            </w:r>
          </w:p>
        </w:tc>
        <w:tc>
          <w:tcPr>
            <w:tcW w:w="1274" w:type="dxa"/>
            <w:tcBorders>
              <w:bottom w:val="single" w:sz="8" w:space="0" w:color="000000"/>
            </w:tcBorders>
          </w:tcPr>
          <w:p>
            <w:pPr>
              <w:pStyle w:val="TableParagraph"/>
              <w:spacing w:before="4"/>
              <w:jc w:val="left"/>
              <w:rPr>
                <w:sz w:val="24"/>
              </w:rPr>
            </w:pPr>
          </w:p>
          <w:p>
            <w:pPr>
              <w:pStyle w:val="TableParagraph"/>
              <w:ind w:right="48"/>
              <w:rPr>
                <w:sz w:val="24"/>
              </w:rPr>
            </w:pPr>
            <w:r>
              <w:rPr>
                <w:sz w:val="24"/>
              </w:rPr>
              <w:t>1996</w:t>
            </w:r>
          </w:p>
        </w:tc>
      </w:tr>
      <w:tr>
        <w:trPr>
          <w:trHeight w:val="291" w:hRule="exact"/>
        </w:trPr>
        <w:tc>
          <w:tcPr>
            <w:tcW w:w="4536" w:type="dxa"/>
            <w:tcBorders>
              <w:top w:val="single" w:sz="8" w:space="0" w:color="000000"/>
            </w:tcBorders>
          </w:tcPr>
          <w:p>
            <w:pPr>
              <w:pStyle w:val="TableParagraph"/>
              <w:spacing w:before="15"/>
              <w:ind w:left="50"/>
              <w:jc w:val="left"/>
              <w:rPr>
                <w:sz w:val="24"/>
              </w:rPr>
            </w:pPr>
            <w:r>
              <w:rPr>
                <w:sz w:val="24"/>
              </w:rPr>
              <w:t>9 1/4% Notes due 1998</w:t>
            </w:r>
          </w:p>
        </w:tc>
        <w:tc>
          <w:tcPr>
            <w:tcW w:w="2571" w:type="dxa"/>
            <w:tcBorders>
              <w:top w:val="single" w:sz="8" w:space="0" w:color="000000"/>
            </w:tcBorders>
          </w:tcPr>
          <w:p>
            <w:pPr>
              <w:pStyle w:val="TableParagraph"/>
              <w:spacing w:before="15"/>
              <w:ind w:right="213"/>
              <w:rPr>
                <w:sz w:val="24"/>
              </w:rPr>
            </w:pPr>
            <w:r>
              <w:rPr>
                <w:w w:val="95"/>
                <w:sz w:val="24"/>
              </w:rPr>
              <w:t>$100,000</w:t>
            </w:r>
          </w:p>
        </w:tc>
        <w:tc>
          <w:tcPr>
            <w:tcW w:w="1274" w:type="dxa"/>
            <w:tcBorders>
              <w:top w:val="single" w:sz="8" w:space="0" w:color="000000"/>
            </w:tcBorders>
          </w:tcPr>
          <w:p>
            <w:pPr>
              <w:pStyle w:val="TableParagraph"/>
              <w:spacing w:before="15"/>
              <w:ind w:right="48"/>
              <w:rPr>
                <w:sz w:val="24"/>
              </w:rPr>
            </w:pPr>
            <w:r>
              <w:rPr>
                <w:w w:val="95"/>
                <w:sz w:val="24"/>
              </w:rPr>
              <w:t>$100,000</w:t>
            </w:r>
          </w:p>
        </w:tc>
      </w:tr>
      <w:tr>
        <w:trPr>
          <w:trHeight w:val="283" w:hRule="exact"/>
        </w:trPr>
        <w:tc>
          <w:tcPr>
            <w:tcW w:w="4536" w:type="dxa"/>
          </w:tcPr>
          <w:p>
            <w:pPr>
              <w:pStyle w:val="TableParagraph"/>
              <w:spacing w:line="276" w:lineRule="exact"/>
              <w:ind w:left="50"/>
              <w:jc w:val="left"/>
              <w:rPr>
                <w:sz w:val="24"/>
              </w:rPr>
            </w:pPr>
            <w:r>
              <w:rPr>
                <w:sz w:val="24"/>
              </w:rPr>
              <w:t>9.4% Notes due 2001</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8 3/4% Notes due 2003</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8% Notes due 2005</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7 7/8% Notes due 2007</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8"/>
              <w:rPr>
                <w:sz w:val="24"/>
              </w:rPr>
            </w:pPr>
            <w:r>
              <w:rPr>
                <w:sz w:val="24"/>
              </w:rPr>
              <w:t>100,000</w:t>
            </w:r>
          </w:p>
        </w:tc>
      </w:tr>
      <w:tr>
        <w:trPr>
          <w:trHeight w:val="283" w:hRule="exact"/>
        </w:trPr>
        <w:tc>
          <w:tcPr>
            <w:tcW w:w="4536" w:type="dxa"/>
          </w:tcPr>
          <w:p>
            <w:pPr>
              <w:pStyle w:val="TableParagraph"/>
              <w:spacing w:line="276" w:lineRule="exact"/>
              <w:ind w:left="50"/>
              <w:jc w:val="left"/>
              <w:rPr>
                <w:sz w:val="24"/>
              </w:rPr>
            </w:pPr>
            <w:r>
              <w:rPr>
                <w:sz w:val="24"/>
              </w:rPr>
              <w:t>7 3/8% Debentures due 2027</w:t>
            </w:r>
          </w:p>
        </w:tc>
        <w:tc>
          <w:tcPr>
            <w:tcW w:w="2571" w:type="dxa"/>
          </w:tcPr>
          <w:p>
            <w:pPr>
              <w:pStyle w:val="TableParagraph"/>
              <w:spacing w:line="276" w:lineRule="exact"/>
              <w:ind w:right="213"/>
              <w:rPr>
                <w:sz w:val="24"/>
              </w:rPr>
            </w:pPr>
            <w:r>
              <w:rPr>
                <w:sz w:val="24"/>
              </w:rPr>
              <w:t>100,000</w:t>
            </w:r>
          </w:p>
        </w:tc>
        <w:tc>
          <w:tcPr>
            <w:tcW w:w="1274" w:type="dxa"/>
          </w:tcPr>
          <w:p>
            <w:pPr>
              <w:pStyle w:val="TableParagraph"/>
              <w:spacing w:line="276" w:lineRule="exact"/>
              <w:ind w:right="49"/>
              <w:rPr>
                <w:sz w:val="24"/>
              </w:rPr>
            </w:pPr>
            <w:r>
              <w:rPr>
                <w:w w:val="99"/>
                <w:sz w:val="24"/>
              </w:rPr>
              <w:t>–</w:t>
            </w:r>
          </w:p>
        </w:tc>
      </w:tr>
      <w:tr>
        <w:trPr>
          <w:trHeight w:val="276" w:hRule="exact"/>
        </w:trPr>
        <w:tc>
          <w:tcPr>
            <w:tcW w:w="4536" w:type="dxa"/>
          </w:tcPr>
          <w:p>
            <w:pPr>
              <w:pStyle w:val="TableParagraph"/>
              <w:spacing w:line="276" w:lineRule="exact"/>
              <w:ind w:left="50"/>
              <w:jc w:val="left"/>
              <w:rPr>
                <w:sz w:val="24"/>
              </w:rPr>
            </w:pPr>
            <w:r>
              <w:rPr>
                <w:sz w:val="24"/>
              </w:rPr>
              <w:t>Capital leases (Note 5)</w:t>
            </w:r>
          </w:p>
        </w:tc>
        <w:tc>
          <w:tcPr>
            <w:tcW w:w="2571" w:type="dxa"/>
          </w:tcPr>
          <w:p>
            <w:pPr>
              <w:pStyle w:val="TableParagraph"/>
              <w:spacing w:line="276" w:lineRule="exact"/>
              <w:ind w:right="213"/>
              <w:rPr>
                <w:sz w:val="24"/>
              </w:rPr>
            </w:pPr>
            <w:r>
              <w:rPr>
                <w:sz w:val="24"/>
              </w:rPr>
              <w:t>152,324</w:t>
            </w:r>
          </w:p>
        </w:tc>
        <w:tc>
          <w:tcPr>
            <w:tcW w:w="1274" w:type="dxa"/>
          </w:tcPr>
          <w:p>
            <w:pPr>
              <w:pStyle w:val="TableParagraph"/>
              <w:spacing w:line="276" w:lineRule="exact"/>
              <w:ind w:right="48"/>
              <w:rPr>
                <w:sz w:val="24"/>
              </w:rPr>
            </w:pPr>
            <w:r>
              <w:rPr>
                <w:sz w:val="24"/>
              </w:rPr>
              <w:t>165,610</w:t>
            </w:r>
          </w:p>
        </w:tc>
      </w:tr>
      <w:tr>
        <w:trPr>
          <w:trHeight w:val="574" w:hRule="exact"/>
        </w:trPr>
        <w:tc>
          <w:tcPr>
            <w:tcW w:w="4536" w:type="dxa"/>
          </w:tcPr>
          <w:p>
            <w:pPr>
              <w:pStyle w:val="TableParagraph"/>
              <w:spacing w:line="268" w:lineRule="exact"/>
              <w:ind w:left="50"/>
              <w:jc w:val="left"/>
              <w:rPr>
                <w:sz w:val="24"/>
              </w:rPr>
            </w:pPr>
            <w:r>
              <w:rPr>
                <w:sz w:val="24"/>
              </w:rPr>
              <w:t>Other</w:t>
            </w:r>
          </w:p>
        </w:tc>
        <w:tc>
          <w:tcPr>
            <w:tcW w:w="3845" w:type="dxa"/>
            <w:gridSpan w:val="2"/>
          </w:tcPr>
          <w:p>
            <w:pPr>
              <w:pStyle w:val="TableParagraph"/>
              <w:tabs>
                <w:tab w:pos="3525" w:val="left" w:leader="none"/>
              </w:tabs>
              <w:spacing w:line="268" w:lineRule="exact"/>
              <w:ind w:left="2219"/>
              <w:jc w:val="left"/>
              <w:rPr>
                <w:sz w:val="24"/>
              </w:rPr>
            </w:pPr>
            <w:r>
              <w:rPr>
                <w:sz w:val="24"/>
                <w:u w:val="single"/>
              </w:rPr>
              <w:t>–</w:t>
              <w:tab/>
              <w:t>10</w:t>
            </w:r>
          </w:p>
          <w:p>
            <w:pPr>
              <w:pStyle w:val="TableParagraph"/>
              <w:tabs>
                <w:tab w:pos="2920" w:val="left" w:leader="none"/>
              </w:tabs>
              <w:spacing w:before="7"/>
              <w:ind w:left="1480"/>
              <w:jc w:val="left"/>
              <w:rPr>
                <w:sz w:val="24"/>
              </w:rPr>
            </w:pPr>
            <w:r>
              <w:rPr>
                <w:sz w:val="24"/>
              </w:rPr>
              <w:t>752,324</w:t>
              <w:tab/>
              <w:t>665,620</w:t>
            </w:r>
          </w:p>
        </w:tc>
      </w:tr>
      <w:tr>
        <w:trPr>
          <w:trHeight w:val="283" w:hRule="exact"/>
        </w:trPr>
        <w:tc>
          <w:tcPr>
            <w:tcW w:w="4536" w:type="dxa"/>
          </w:tcPr>
          <w:p>
            <w:pPr>
              <w:pStyle w:val="TableParagraph"/>
              <w:spacing w:line="276" w:lineRule="exact"/>
              <w:ind w:left="50"/>
              <w:jc w:val="left"/>
              <w:rPr>
                <w:sz w:val="24"/>
              </w:rPr>
            </w:pPr>
            <w:r>
              <w:rPr>
                <w:sz w:val="24"/>
              </w:rPr>
              <w:t>Less current maturities</w:t>
            </w:r>
          </w:p>
        </w:tc>
        <w:tc>
          <w:tcPr>
            <w:tcW w:w="3845" w:type="dxa"/>
            <w:gridSpan w:val="2"/>
          </w:tcPr>
          <w:p>
            <w:pPr>
              <w:pStyle w:val="TableParagraph"/>
              <w:tabs>
                <w:tab w:pos="3055" w:val="left" w:leader="none"/>
              </w:tabs>
              <w:spacing w:line="276" w:lineRule="exact"/>
              <w:ind w:left="1480"/>
              <w:jc w:val="left"/>
              <w:rPr>
                <w:sz w:val="24"/>
              </w:rPr>
            </w:pPr>
            <w:r>
              <w:rPr>
                <w:sz w:val="24"/>
              </w:rPr>
              <w:t>121,324</w:t>
              <w:tab/>
              <w:t>12,327</w:t>
            </w:r>
          </w:p>
        </w:tc>
      </w:tr>
      <w:tr>
        <w:trPr>
          <w:trHeight w:val="283" w:hRule="exact"/>
        </w:trPr>
        <w:tc>
          <w:tcPr>
            <w:tcW w:w="4536" w:type="dxa"/>
          </w:tcPr>
          <w:p>
            <w:pPr>
              <w:pStyle w:val="TableParagraph"/>
              <w:spacing w:line="276" w:lineRule="exact"/>
              <w:ind w:left="50"/>
              <w:jc w:val="left"/>
              <w:rPr>
                <w:sz w:val="24"/>
              </w:rPr>
            </w:pPr>
            <w:r>
              <w:rPr>
                <w:sz w:val="24"/>
              </w:rPr>
              <w:t>Less debt discount</w:t>
            </w:r>
          </w:p>
        </w:tc>
        <w:tc>
          <w:tcPr>
            <w:tcW w:w="3845" w:type="dxa"/>
            <w:gridSpan w:val="2"/>
          </w:tcPr>
          <w:p>
            <w:pPr>
              <w:pStyle w:val="TableParagraph"/>
              <w:tabs>
                <w:tab w:pos="3189" w:val="left" w:leader="none"/>
              </w:tabs>
              <w:spacing w:line="276" w:lineRule="exact"/>
              <w:ind w:left="1749"/>
              <w:jc w:val="left"/>
              <w:rPr>
                <w:sz w:val="24"/>
              </w:rPr>
            </w:pPr>
            <w:r>
              <w:rPr>
                <w:sz w:val="24"/>
                <w:u w:val="single"/>
              </w:rPr>
              <w:t>2,894</w:t>
              <w:tab/>
              <w:t>3,067</w:t>
            </w:r>
          </w:p>
        </w:tc>
      </w:tr>
      <w:tr>
        <w:trPr>
          <w:trHeight w:val="276" w:hRule="exact"/>
        </w:trPr>
        <w:tc>
          <w:tcPr>
            <w:tcW w:w="4536" w:type="dxa"/>
          </w:tcPr>
          <w:p>
            <w:pPr/>
          </w:p>
        </w:tc>
        <w:tc>
          <w:tcPr>
            <w:tcW w:w="3845" w:type="dxa"/>
            <w:gridSpan w:val="2"/>
          </w:tcPr>
          <w:p>
            <w:pPr>
              <w:pStyle w:val="TableParagraph"/>
              <w:tabs>
                <w:tab w:pos="2786" w:val="left" w:leader="none"/>
              </w:tabs>
              <w:spacing w:line="276" w:lineRule="exact"/>
              <w:ind w:left="1346"/>
              <w:jc w:val="left"/>
              <w:rPr>
                <w:sz w:val="24"/>
              </w:rPr>
            </w:pPr>
            <w:r>
              <w:rPr>
                <w:sz w:val="24"/>
                <w:u w:val="thick"/>
              </w:rPr>
              <w:t>$628,106</w:t>
              <w:tab/>
              <w:t>$650,226</w:t>
            </w:r>
          </w:p>
        </w:tc>
      </w:tr>
    </w:tbl>
    <w:p>
      <w:pPr>
        <w:pStyle w:val="BodyText"/>
        <w:spacing w:before="6"/>
        <w:rPr>
          <w:sz w:val="31"/>
        </w:rPr>
      </w:pPr>
    </w:p>
    <w:p>
      <w:pPr>
        <w:pStyle w:val="BodyText"/>
        <w:spacing w:line="240" w:lineRule="exact"/>
        <w:ind w:left="160" w:right="167" w:firstLine="187"/>
      </w:pPr>
      <w:r>
        <w:rPr/>
        <w:t>On February 28, 1997, the Company issued $100 million of senior unsecured 7 3/8%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59" w:right="233" w:firstLine="187"/>
      </w:pPr>
      <w:r>
        <w:rPr/>
        <w:t>On March 7, 1995, the Company issued $100 million of senior unsecured 8% Notes due March 1, 2005. Interest is payable semi-annually on March 1 and September 1. The Notes are not redeemable prior to maturity.</w:t>
      </w:r>
    </w:p>
    <w:p>
      <w:pPr>
        <w:pStyle w:val="BodyText"/>
        <w:spacing w:before="9"/>
        <w:rPr>
          <w:sz w:val="20"/>
        </w:rPr>
      </w:pPr>
    </w:p>
    <w:p>
      <w:pPr>
        <w:pStyle w:val="BodyText"/>
        <w:spacing w:line="240" w:lineRule="exact"/>
        <w:ind w:left="159" w:firstLine="187"/>
      </w:pPr>
      <w:r>
        <w:rPr/>
        <w:t>On September 9, 1992, the Company issued $100 million of senior unsecured 7 7/8% Notes due September 1, 2007. Interest is payable semi-annually on March 1 and September 1. The Notes are not redeemable prior to maturity.</w:t>
      </w:r>
    </w:p>
    <w:p>
      <w:pPr>
        <w:pStyle w:val="BodyText"/>
        <w:spacing w:line="258" w:lineRule="exact" w:before="206"/>
        <w:ind w:left="347"/>
      </w:pPr>
      <w:r>
        <w:rPr/>
        <w:t>During 1991, the Company issued $100 million of senior unsecured 9 1/4% Notes,</w:t>
      </w:r>
    </w:p>
    <w:p>
      <w:pPr>
        <w:pStyle w:val="BodyText"/>
        <w:spacing w:line="240" w:lineRule="exact" w:before="14"/>
        <w:ind w:left="159"/>
      </w:pPr>
      <w:r>
        <w:rPr/>
        <w:t>$100 million of senior unsecured 9.4% Notes, and $100 million of senior unsecured 8 3/4% Notes due February 15, 1998, July 1, 2001, and October 15, 2003, respectively.</w:t>
      </w:r>
    </w:p>
    <w:p>
      <w:pPr>
        <w:pStyle w:val="BodyText"/>
        <w:spacing w:before="9"/>
        <w:rPr>
          <w:sz w:val="20"/>
        </w:rPr>
      </w:pPr>
    </w:p>
    <w:p>
      <w:pPr>
        <w:pStyle w:val="BodyText"/>
        <w:spacing w:line="240" w:lineRule="exact"/>
        <w:ind w:left="159"/>
      </w:pPr>
      <w:r>
        <w:rPr/>
        <w:t>Interest on the Notes is payable semi-annually. The Notes are not redeemable prior to maturity.</w:t>
      </w:r>
    </w:p>
    <w:p>
      <w:pPr>
        <w:pStyle w:val="BodyText"/>
        <w:spacing w:before="9"/>
        <w:rPr>
          <w:sz w:val="20"/>
        </w:rPr>
      </w:pPr>
    </w:p>
    <w:p>
      <w:pPr>
        <w:pStyle w:val="BodyText"/>
        <w:spacing w:line="240" w:lineRule="exact"/>
        <w:ind w:left="159" w:firstLine="187"/>
      </w:pPr>
      <w:r>
        <w:rPr/>
        <w:t>The fair values, based on quoted market prices, of these securities at December 31, 1997, were as follows:</w:t>
      </w:r>
    </w:p>
    <w:p>
      <w:pPr>
        <w:pStyle w:val="BodyText"/>
        <w:spacing w:before="8"/>
        <w:rPr>
          <w:sz w:val="31"/>
        </w:rPr>
      </w:pPr>
    </w:p>
    <w:p>
      <w:pPr>
        <w:pStyle w:val="BodyText"/>
        <w:tabs>
          <w:tab w:pos="8790" w:val="left" w:leader="none"/>
        </w:tabs>
        <w:spacing w:after="15"/>
        <w:ind w:left="159"/>
      </w:pPr>
      <w:r>
        <w:rPr>
          <w:spacing w:val="2"/>
          <w:u w:val="single"/>
        </w:rPr>
        <w:t>(IN</w:t>
      </w:r>
      <w:r>
        <w:rPr>
          <w:spacing w:val="9"/>
          <w:u w:val="single"/>
        </w:rPr>
        <w:t> </w:t>
      </w:r>
      <w:r>
        <w:rPr>
          <w:u w:val="single"/>
        </w:rPr>
        <w:t>THOUSANDS)</w:t>
        <w:tab/>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96"/>
        <w:gridCol w:w="2765"/>
      </w:tblGrid>
      <w:tr>
        <w:trPr>
          <w:trHeight w:val="276" w:hRule="exact"/>
        </w:trPr>
        <w:tc>
          <w:tcPr>
            <w:tcW w:w="4896" w:type="dxa"/>
          </w:tcPr>
          <w:p>
            <w:pPr>
              <w:pStyle w:val="TableParagraph"/>
              <w:spacing w:line="268" w:lineRule="exact"/>
              <w:ind w:left="50"/>
              <w:jc w:val="left"/>
              <w:rPr>
                <w:sz w:val="24"/>
              </w:rPr>
            </w:pPr>
            <w:r>
              <w:rPr>
                <w:sz w:val="24"/>
              </w:rPr>
              <w:t>9 1/4% Notes due 1998</w:t>
            </w:r>
          </w:p>
        </w:tc>
        <w:tc>
          <w:tcPr>
            <w:tcW w:w="2765" w:type="dxa"/>
          </w:tcPr>
          <w:p>
            <w:pPr>
              <w:pStyle w:val="TableParagraph"/>
              <w:spacing w:line="268" w:lineRule="exact"/>
              <w:ind w:right="48"/>
              <w:rPr>
                <w:sz w:val="24"/>
              </w:rPr>
            </w:pPr>
            <w:r>
              <w:rPr>
                <w:w w:val="95"/>
                <w:sz w:val="24"/>
              </w:rPr>
              <w:t>$100,350</w:t>
            </w:r>
          </w:p>
        </w:tc>
      </w:tr>
      <w:tr>
        <w:trPr>
          <w:trHeight w:val="283" w:hRule="exact"/>
        </w:trPr>
        <w:tc>
          <w:tcPr>
            <w:tcW w:w="4896" w:type="dxa"/>
          </w:tcPr>
          <w:p>
            <w:pPr>
              <w:pStyle w:val="TableParagraph"/>
              <w:spacing w:line="276" w:lineRule="exact"/>
              <w:ind w:left="50"/>
              <w:jc w:val="left"/>
              <w:rPr>
                <w:sz w:val="24"/>
              </w:rPr>
            </w:pPr>
            <w:r>
              <w:rPr>
                <w:sz w:val="24"/>
              </w:rPr>
              <w:t>9.4% Notes due 2001</w:t>
            </w:r>
          </w:p>
        </w:tc>
        <w:tc>
          <w:tcPr>
            <w:tcW w:w="2765" w:type="dxa"/>
          </w:tcPr>
          <w:p>
            <w:pPr>
              <w:pStyle w:val="TableParagraph"/>
              <w:spacing w:line="276" w:lineRule="exact"/>
              <w:ind w:right="48"/>
              <w:rPr>
                <w:sz w:val="24"/>
              </w:rPr>
            </w:pPr>
            <w:r>
              <w:rPr>
                <w:sz w:val="24"/>
              </w:rPr>
              <w:t>110,150</w:t>
            </w:r>
          </w:p>
        </w:tc>
      </w:tr>
      <w:tr>
        <w:trPr>
          <w:trHeight w:val="283" w:hRule="exact"/>
        </w:trPr>
        <w:tc>
          <w:tcPr>
            <w:tcW w:w="4896" w:type="dxa"/>
          </w:tcPr>
          <w:p>
            <w:pPr>
              <w:pStyle w:val="TableParagraph"/>
              <w:spacing w:line="276" w:lineRule="exact"/>
              <w:ind w:left="50"/>
              <w:jc w:val="left"/>
              <w:rPr>
                <w:sz w:val="24"/>
              </w:rPr>
            </w:pPr>
            <w:r>
              <w:rPr>
                <w:sz w:val="24"/>
              </w:rPr>
              <w:t>8 3/4% Notes due 2003</w:t>
            </w:r>
          </w:p>
        </w:tc>
        <w:tc>
          <w:tcPr>
            <w:tcW w:w="2765" w:type="dxa"/>
          </w:tcPr>
          <w:p>
            <w:pPr>
              <w:pStyle w:val="TableParagraph"/>
              <w:spacing w:line="276" w:lineRule="exact"/>
              <w:ind w:right="48"/>
              <w:rPr>
                <w:sz w:val="24"/>
              </w:rPr>
            </w:pPr>
            <w:r>
              <w:rPr>
                <w:sz w:val="24"/>
              </w:rPr>
              <w:t>111,630</w:t>
            </w:r>
          </w:p>
        </w:tc>
      </w:tr>
      <w:tr>
        <w:trPr>
          <w:trHeight w:val="283" w:hRule="exact"/>
        </w:trPr>
        <w:tc>
          <w:tcPr>
            <w:tcW w:w="4896" w:type="dxa"/>
          </w:tcPr>
          <w:p>
            <w:pPr>
              <w:pStyle w:val="TableParagraph"/>
              <w:spacing w:line="276" w:lineRule="exact"/>
              <w:ind w:left="50"/>
              <w:jc w:val="left"/>
              <w:rPr>
                <w:sz w:val="24"/>
              </w:rPr>
            </w:pPr>
            <w:r>
              <w:rPr>
                <w:sz w:val="24"/>
              </w:rPr>
              <w:t>8% Notes due 2005</w:t>
            </w:r>
          </w:p>
        </w:tc>
        <w:tc>
          <w:tcPr>
            <w:tcW w:w="2765" w:type="dxa"/>
          </w:tcPr>
          <w:p>
            <w:pPr>
              <w:pStyle w:val="TableParagraph"/>
              <w:spacing w:line="276" w:lineRule="exact"/>
              <w:ind w:right="48"/>
              <w:rPr>
                <w:sz w:val="24"/>
              </w:rPr>
            </w:pPr>
            <w:r>
              <w:rPr>
                <w:sz w:val="24"/>
              </w:rPr>
              <w:t>108,920</w:t>
            </w:r>
          </w:p>
        </w:tc>
      </w:tr>
      <w:tr>
        <w:trPr>
          <w:trHeight w:val="283" w:hRule="exact"/>
        </w:trPr>
        <w:tc>
          <w:tcPr>
            <w:tcW w:w="4896" w:type="dxa"/>
          </w:tcPr>
          <w:p>
            <w:pPr>
              <w:pStyle w:val="TableParagraph"/>
              <w:spacing w:line="276" w:lineRule="exact"/>
              <w:ind w:left="50"/>
              <w:jc w:val="left"/>
              <w:rPr>
                <w:sz w:val="24"/>
              </w:rPr>
            </w:pPr>
            <w:r>
              <w:rPr>
                <w:sz w:val="24"/>
              </w:rPr>
              <w:t>7 7/8% Notes due 2007</w:t>
            </w:r>
          </w:p>
        </w:tc>
        <w:tc>
          <w:tcPr>
            <w:tcW w:w="2765" w:type="dxa"/>
          </w:tcPr>
          <w:p>
            <w:pPr>
              <w:pStyle w:val="TableParagraph"/>
              <w:spacing w:line="276" w:lineRule="exact"/>
              <w:ind w:right="48"/>
              <w:rPr>
                <w:sz w:val="24"/>
              </w:rPr>
            </w:pPr>
            <w:r>
              <w:rPr>
                <w:sz w:val="24"/>
              </w:rPr>
              <w:t>109,410</w:t>
            </w:r>
          </w:p>
        </w:tc>
      </w:tr>
      <w:tr>
        <w:trPr>
          <w:trHeight w:val="276" w:hRule="exact"/>
        </w:trPr>
        <w:tc>
          <w:tcPr>
            <w:tcW w:w="4896" w:type="dxa"/>
          </w:tcPr>
          <w:p>
            <w:pPr>
              <w:pStyle w:val="TableParagraph"/>
              <w:spacing w:line="276" w:lineRule="exact"/>
              <w:ind w:left="50"/>
              <w:jc w:val="left"/>
              <w:rPr>
                <w:sz w:val="24"/>
              </w:rPr>
            </w:pPr>
            <w:r>
              <w:rPr>
                <w:sz w:val="24"/>
              </w:rPr>
              <w:t>7 3/8% Debentures due 2027</w:t>
            </w:r>
          </w:p>
        </w:tc>
        <w:tc>
          <w:tcPr>
            <w:tcW w:w="2765" w:type="dxa"/>
          </w:tcPr>
          <w:p>
            <w:pPr>
              <w:pStyle w:val="TableParagraph"/>
              <w:spacing w:line="276" w:lineRule="exact"/>
              <w:ind w:right="48"/>
              <w:rPr>
                <w:sz w:val="24"/>
              </w:rPr>
            </w:pPr>
            <w:r>
              <w:rPr>
                <w:sz w:val="24"/>
              </w:rPr>
              <w:t>105,660</w:t>
            </w:r>
          </w:p>
        </w:tc>
      </w:tr>
    </w:tbl>
    <w:p>
      <w:pPr>
        <w:pStyle w:val="BodyText"/>
        <w:spacing w:before="5"/>
        <w:rPr>
          <w:sz w:val="31"/>
        </w:rPr>
      </w:pPr>
    </w:p>
    <w:p>
      <w:pPr>
        <w:pStyle w:val="BodyText"/>
        <w:spacing w:line="240" w:lineRule="exact"/>
        <w:ind w:left="160" w:right="173" w:firstLine="182"/>
      </w:pPr>
      <w:r>
        <w:rPr/>
        <w:t>In addition to the credit facilities described above, Southwest has an unsecured Bank Credit Agreement with a group of banks that permits Southwest to borrow through May 6, 2002, on a revolving credit basis, up to $475 million. Interest </w:t>
      </w:r>
      <w:r>
        <w:rPr>
          <w:spacing w:val="2"/>
        </w:rPr>
        <w:t>rates </w:t>
      </w:r>
      <w:r>
        <w:rPr/>
        <w:t>on borrowings under the Credit Agreement can be, at the option of Southwest, the greater of the agent bank’s prime </w:t>
      </w:r>
      <w:r>
        <w:rPr>
          <w:spacing w:val="2"/>
        </w:rPr>
        <w:t>rate </w:t>
      </w:r>
      <w:r>
        <w:rPr/>
        <w:t>or the federal funds </w:t>
      </w:r>
      <w:r>
        <w:rPr>
          <w:spacing w:val="2"/>
        </w:rPr>
        <w:t>rate </w:t>
      </w:r>
      <w:r>
        <w:rPr/>
        <w:t>plus .5 percent, .17 percent over LIBOR, or  a fixed </w:t>
      </w:r>
      <w:r>
        <w:rPr>
          <w:spacing w:val="2"/>
        </w:rPr>
        <w:t>rate </w:t>
      </w:r>
      <w:r>
        <w:rPr/>
        <w:t>offered by the banks at the time of borrowing. </w:t>
      </w:r>
      <w:r>
        <w:rPr>
          <w:spacing w:val="2"/>
        </w:rPr>
        <w:t>The </w:t>
      </w:r>
      <w:r>
        <w:rPr/>
        <w:t>commitment fee is .08 percent per annum. </w:t>
      </w:r>
      <w:r>
        <w:rPr>
          <w:spacing w:val="3"/>
        </w:rPr>
        <w:t>There </w:t>
      </w:r>
      <w:r>
        <w:rPr/>
        <w:t>were no outstanding borrowings under this agreement, or prior similar agreements, at December 31, 1997 or</w:t>
      </w:r>
      <w:r>
        <w:rPr>
          <w:spacing w:val="1"/>
        </w:rPr>
        <w:t> </w:t>
      </w:r>
      <w:r>
        <w:rPr/>
        <w:t>1996.</w:t>
      </w:r>
    </w:p>
    <w:p>
      <w:pPr>
        <w:pStyle w:val="BodyText"/>
        <w:spacing w:before="4"/>
        <w:rPr>
          <w:sz w:val="28"/>
        </w:rPr>
      </w:pPr>
    </w:p>
    <w:p>
      <w:pPr>
        <w:pStyle w:val="Heading3"/>
        <w:numPr>
          <w:ilvl w:val="0"/>
          <w:numId w:val="2"/>
        </w:numPr>
        <w:tabs>
          <w:tab w:pos="429" w:val="left" w:leader="none"/>
        </w:tabs>
        <w:spacing w:line="240" w:lineRule="auto" w:before="0" w:after="0"/>
        <w:ind w:left="428" w:right="0" w:hanging="268"/>
        <w:jc w:val="left"/>
      </w:pPr>
      <w:r>
        <w:rPr>
          <w:color w:val="008080"/>
        </w:rPr>
        <w:t>LEASES</w:t>
      </w:r>
    </w:p>
    <w:p>
      <w:pPr>
        <w:pStyle w:val="BodyText"/>
        <w:spacing w:before="6"/>
        <w:rPr>
          <w:b/>
          <w:sz w:val="20"/>
        </w:rPr>
      </w:pPr>
    </w:p>
    <w:p>
      <w:pPr>
        <w:pStyle w:val="BodyText"/>
        <w:spacing w:line="240" w:lineRule="exact"/>
        <w:ind w:left="160" w:right="233" w:firstLine="182"/>
      </w:pPr>
      <w:r>
        <w:rPr/>
        <w:t>Total rental expense for operating leases charged to operations in 1997, 1996, and 1995 was $297,158,000, $280,389,000, and $247,033,000, respectively. The majority of the Company’s terminal operations space, as well as 106 aircraft, were under operating leases at December 31, 1997. The amounts applicable to capital leases included in property and equipment were:</w:t>
      </w:r>
    </w:p>
    <w:p>
      <w:pPr>
        <w:pStyle w:val="BodyText"/>
        <w:rPr>
          <w:sz w:val="20"/>
        </w:rPr>
      </w:pPr>
    </w:p>
    <w:p>
      <w:pPr>
        <w:pStyle w:val="BodyText"/>
        <w:spacing w:before="4"/>
        <w:rPr>
          <w:sz w:val="1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51"/>
        <w:gridCol w:w="4078"/>
      </w:tblGrid>
      <w:tr>
        <w:trPr>
          <w:trHeight w:val="268" w:hRule="exact"/>
        </w:trPr>
        <w:tc>
          <w:tcPr>
            <w:tcW w:w="4951" w:type="dxa"/>
            <w:tcBorders>
              <w:bottom w:val="single" w:sz="8" w:space="0" w:color="000000"/>
            </w:tcBorders>
          </w:tcPr>
          <w:p>
            <w:pPr>
              <w:pStyle w:val="TableParagraph"/>
              <w:spacing w:line="268" w:lineRule="exact"/>
              <w:ind w:left="50"/>
              <w:jc w:val="left"/>
              <w:rPr>
                <w:sz w:val="24"/>
              </w:rPr>
            </w:pPr>
            <w:r>
              <w:rPr>
                <w:sz w:val="24"/>
              </w:rPr>
              <w:t>(IN THOUSANDS)</w:t>
            </w:r>
          </w:p>
        </w:tc>
        <w:tc>
          <w:tcPr>
            <w:tcW w:w="4078" w:type="dxa"/>
            <w:tcBorders>
              <w:bottom w:val="single" w:sz="8" w:space="0" w:color="000000"/>
            </w:tcBorders>
          </w:tcPr>
          <w:p>
            <w:pPr>
              <w:pStyle w:val="TableParagraph"/>
              <w:tabs>
                <w:tab w:pos="3019" w:val="left" w:leader="none"/>
              </w:tabs>
              <w:spacing w:line="268" w:lineRule="exact"/>
              <w:ind w:left="1579"/>
              <w:jc w:val="left"/>
              <w:rPr>
                <w:sz w:val="24"/>
              </w:rPr>
            </w:pPr>
            <w:r>
              <w:rPr>
                <w:sz w:val="24"/>
              </w:rPr>
              <w:t>1997</w:t>
              <w:tab/>
              <w:t>1996</w:t>
            </w:r>
          </w:p>
        </w:tc>
      </w:tr>
      <w:tr>
        <w:trPr>
          <w:trHeight w:val="291" w:hRule="exact"/>
        </w:trPr>
        <w:tc>
          <w:tcPr>
            <w:tcW w:w="4951" w:type="dxa"/>
            <w:tcBorders>
              <w:top w:val="single" w:sz="8" w:space="0" w:color="000000"/>
            </w:tcBorders>
          </w:tcPr>
          <w:p>
            <w:pPr>
              <w:pStyle w:val="TableParagraph"/>
              <w:spacing w:before="15"/>
              <w:ind w:left="50"/>
              <w:jc w:val="left"/>
              <w:rPr>
                <w:sz w:val="24"/>
              </w:rPr>
            </w:pPr>
            <w:r>
              <w:rPr>
                <w:sz w:val="24"/>
              </w:rPr>
              <w:t>Flight equipment</w:t>
            </w:r>
          </w:p>
        </w:tc>
        <w:tc>
          <w:tcPr>
            <w:tcW w:w="4078" w:type="dxa"/>
            <w:tcBorders>
              <w:top w:val="single" w:sz="8" w:space="0" w:color="000000"/>
            </w:tcBorders>
          </w:tcPr>
          <w:p>
            <w:pPr>
              <w:pStyle w:val="TableParagraph"/>
              <w:tabs>
                <w:tab w:pos="3019" w:val="left" w:leader="none"/>
              </w:tabs>
              <w:spacing w:before="15"/>
              <w:ind w:left="1579"/>
              <w:jc w:val="left"/>
              <w:rPr>
                <w:sz w:val="24"/>
              </w:rPr>
            </w:pPr>
            <w:r>
              <w:rPr>
                <w:sz w:val="24"/>
              </w:rPr>
              <w:t>$227,803</w:t>
              <w:tab/>
              <w:t>$226,677</w:t>
            </w:r>
          </w:p>
        </w:tc>
      </w:tr>
      <w:tr>
        <w:trPr>
          <w:trHeight w:val="283" w:hRule="exact"/>
        </w:trPr>
        <w:tc>
          <w:tcPr>
            <w:tcW w:w="4951" w:type="dxa"/>
          </w:tcPr>
          <w:p>
            <w:pPr>
              <w:pStyle w:val="TableParagraph"/>
              <w:spacing w:line="276" w:lineRule="exact"/>
              <w:ind w:left="50"/>
              <w:jc w:val="left"/>
              <w:rPr>
                <w:sz w:val="24"/>
              </w:rPr>
            </w:pPr>
            <w:r>
              <w:rPr>
                <w:sz w:val="24"/>
              </w:rPr>
              <w:t>Less accumulated amortization</w:t>
            </w:r>
          </w:p>
        </w:tc>
        <w:tc>
          <w:tcPr>
            <w:tcW w:w="4078" w:type="dxa"/>
          </w:tcPr>
          <w:p>
            <w:pPr>
              <w:pStyle w:val="TableParagraph"/>
              <w:tabs>
                <w:tab w:pos="3019" w:val="left" w:leader="none"/>
              </w:tabs>
              <w:spacing w:line="276" w:lineRule="exact"/>
              <w:ind w:left="1579"/>
              <w:jc w:val="left"/>
              <w:rPr>
                <w:sz w:val="24"/>
              </w:rPr>
            </w:pPr>
            <w:r>
              <w:rPr>
                <w:sz w:val="24"/>
                <w:u w:val="single"/>
              </w:rPr>
              <w:t>122,346</w:t>
              <w:tab/>
              <w:t>111,815</w:t>
            </w:r>
          </w:p>
        </w:tc>
      </w:tr>
      <w:tr>
        <w:trPr>
          <w:trHeight w:val="276" w:hRule="exact"/>
        </w:trPr>
        <w:tc>
          <w:tcPr>
            <w:tcW w:w="4951" w:type="dxa"/>
          </w:tcPr>
          <w:p>
            <w:pPr/>
          </w:p>
        </w:tc>
        <w:tc>
          <w:tcPr>
            <w:tcW w:w="4078" w:type="dxa"/>
          </w:tcPr>
          <w:p>
            <w:pPr>
              <w:pStyle w:val="TableParagraph"/>
              <w:tabs>
                <w:tab w:pos="3019" w:val="left" w:leader="none"/>
              </w:tabs>
              <w:spacing w:line="276" w:lineRule="exact"/>
              <w:ind w:left="1579"/>
              <w:jc w:val="left"/>
              <w:rPr>
                <w:sz w:val="24"/>
              </w:rPr>
            </w:pPr>
            <w:r>
              <w:rPr>
                <w:sz w:val="24"/>
                <w:u w:val="thick"/>
              </w:rPr>
              <w:t>$105,457</w:t>
              <w:tab/>
              <w:t>$114,862</w:t>
            </w:r>
          </w:p>
        </w:tc>
      </w:tr>
    </w:tbl>
    <w:p>
      <w:pPr>
        <w:spacing w:after="0" w:line="276" w:lineRule="exact"/>
        <w:jc w:val="left"/>
        <w:rPr>
          <w:sz w:val="24"/>
        </w:rPr>
        <w:sectPr>
          <w:footerReference w:type="default" r:id="rId14"/>
          <w:pgSz w:w="12240" w:h="15840"/>
          <w:pgMar w:footer="790" w:header="1592" w:top="2120" w:bottom="980" w:left="1280" w:right="1320"/>
          <w:pgNumType w:start="43"/>
        </w:sectPr>
      </w:pPr>
    </w:p>
    <w:p>
      <w:pPr>
        <w:pStyle w:val="BodyText"/>
        <w:rPr>
          <w:sz w:val="20"/>
        </w:rPr>
      </w:pPr>
    </w:p>
    <w:p>
      <w:pPr>
        <w:pStyle w:val="BodyText"/>
        <w:spacing w:before="3"/>
        <w:rPr>
          <w:sz w:val="21"/>
        </w:rPr>
      </w:pPr>
    </w:p>
    <w:p>
      <w:pPr>
        <w:pStyle w:val="BodyText"/>
        <w:spacing w:line="240" w:lineRule="exact" w:before="1"/>
        <w:ind w:left="159" w:right="233" w:firstLine="182"/>
      </w:pPr>
      <w:r>
        <w:rPr/>
        <w:t>Future minimum lease payments under capital leases and noncancelable operating leases with initial or remaining terms in excess of one year at December 31, 1997, were:</w:t>
      </w:r>
    </w:p>
    <w:p>
      <w:pPr>
        <w:pStyle w:val="BodyText"/>
        <w:spacing w:before="9"/>
        <w:rPr>
          <w:sz w:val="31"/>
        </w:rPr>
      </w:pPr>
    </w:p>
    <w:p>
      <w:pPr>
        <w:pStyle w:val="BodyText"/>
        <w:tabs>
          <w:tab w:pos="7719" w:val="left" w:leader="none"/>
        </w:tabs>
        <w:spacing w:after="15"/>
        <w:ind w:left="6279"/>
      </w:pPr>
      <w:r>
        <w:rPr/>
        <w:t>CAPITAL</w:t>
        <w:tab/>
        <w:t>OPERATING</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1"/>
        <w:gridCol w:w="1956"/>
        <w:gridCol w:w="1464"/>
      </w:tblGrid>
      <w:tr>
        <w:trPr>
          <w:trHeight w:val="251" w:hRule="exact"/>
        </w:trPr>
        <w:tc>
          <w:tcPr>
            <w:tcW w:w="5321" w:type="dxa"/>
          </w:tcPr>
          <w:p>
            <w:pPr>
              <w:pStyle w:val="TableParagraph"/>
              <w:spacing w:line="268" w:lineRule="exact"/>
              <w:ind w:left="49"/>
              <w:jc w:val="left"/>
              <w:rPr>
                <w:sz w:val="24"/>
              </w:rPr>
            </w:pPr>
            <w:r>
              <w:rPr>
                <w:sz w:val="24"/>
              </w:rPr>
              <w:t>(IN THOUSANDS)</w:t>
            </w:r>
          </w:p>
        </w:tc>
        <w:tc>
          <w:tcPr>
            <w:tcW w:w="1956" w:type="dxa"/>
          </w:tcPr>
          <w:p>
            <w:pPr>
              <w:pStyle w:val="TableParagraph"/>
              <w:spacing w:line="268" w:lineRule="exact"/>
              <w:ind w:right="165"/>
              <w:rPr>
                <w:sz w:val="24"/>
              </w:rPr>
            </w:pPr>
            <w:r>
              <w:rPr>
                <w:w w:val="95"/>
                <w:sz w:val="24"/>
              </w:rPr>
              <w:t>LEASES</w:t>
            </w:r>
          </w:p>
        </w:tc>
        <w:tc>
          <w:tcPr>
            <w:tcW w:w="1464" w:type="dxa"/>
          </w:tcPr>
          <w:p>
            <w:pPr>
              <w:pStyle w:val="TableParagraph"/>
              <w:spacing w:line="268" w:lineRule="exact"/>
              <w:ind w:right="6"/>
              <w:rPr>
                <w:sz w:val="24"/>
              </w:rPr>
            </w:pPr>
            <w:r>
              <w:rPr>
                <w:w w:val="95"/>
                <w:sz w:val="24"/>
              </w:rPr>
              <w:t>LEASES</w:t>
            </w:r>
          </w:p>
        </w:tc>
      </w:tr>
      <w:tr>
        <w:trPr>
          <w:trHeight w:val="308" w:hRule="exact"/>
        </w:trPr>
        <w:tc>
          <w:tcPr>
            <w:tcW w:w="5321" w:type="dxa"/>
            <w:tcBorders>
              <w:top w:val="single" w:sz="8" w:space="0" w:color="000000"/>
            </w:tcBorders>
          </w:tcPr>
          <w:p>
            <w:pPr>
              <w:pStyle w:val="TableParagraph"/>
              <w:spacing w:before="15"/>
              <w:ind w:left="592"/>
              <w:jc w:val="left"/>
              <w:rPr>
                <w:sz w:val="24"/>
              </w:rPr>
            </w:pPr>
            <w:r>
              <w:rPr>
                <w:sz w:val="24"/>
              </w:rPr>
              <w:t>1998</w:t>
            </w:r>
          </w:p>
        </w:tc>
        <w:tc>
          <w:tcPr>
            <w:tcW w:w="1956" w:type="dxa"/>
            <w:tcBorders>
              <w:top w:val="single" w:sz="8" w:space="0" w:color="000000"/>
            </w:tcBorders>
          </w:tcPr>
          <w:p>
            <w:pPr>
              <w:pStyle w:val="TableParagraph"/>
              <w:spacing w:before="15"/>
              <w:ind w:right="201"/>
              <w:rPr>
                <w:sz w:val="24"/>
              </w:rPr>
            </w:pPr>
            <w:r>
              <w:rPr>
                <w:sz w:val="24"/>
              </w:rPr>
              <w:t>$32,026</w:t>
            </w:r>
          </w:p>
        </w:tc>
        <w:tc>
          <w:tcPr>
            <w:tcW w:w="1464" w:type="dxa"/>
            <w:tcBorders>
              <w:top w:val="single" w:sz="8" w:space="0" w:color="000000"/>
            </w:tcBorders>
          </w:tcPr>
          <w:p>
            <w:pPr>
              <w:pStyle w:val="TableParagraph"/>
              <w:spacing w:before="15"/>
              <w:ind w:right="48"/>
              <w:rPr>
                <w:sz w:val="24"/>
              </w:rPr>
            </w:pPr>
            <w:r>
              <w:rPr>
                <w:w w:val="95"/>
                <w:sz w:val="24"/>
              </w:rPr>
              <w:t>$234,828</w:t>
            </w:r>
          </w:p>
        </w:tc>
      </w:tr>
      <w:tr>
        <w:trPr>
          <w:trHeight w:val="283" w:hRule="exact"/>
        </w:trPr>
        <w:tc>
          <w:tcPr>
            <w:tcW w:w="5321" w:type="dxa"/>
          </w:tcPr>
          <w:p>
            <w:pPr>
              <w:pStyle w:val="TableParagraph"/>
              <w:spacing w:line="276" w:lineRule="exact"/>
              <w:ind w:left="592"/>
              <w:jc w:val="left"/>
              <w:rPr>
                <w:sz w:val="24"/>
              </w:rPr>
            </w:pPr>
            <w:r>
              <w:rPr>
                <w:sz w:val="24"/>
              </w:rPr>
              <w:t>1999</w:t>
            </w:r>
          </w:p>
        </w:tc>
        <w:tc>
          <w:tcPr>
            <w:tcW w:w="1956" w:type="dxa"/>
          </w:tcPr>
          <w:p>
            <w:pPr>
              <w:pStyle w:val="TableParagraph"/>
              <w:spacing w:line="276" w:lineRule="exact"/>
              <w:ind w:right="201"/>
              <w:rPr>
                <w:sz w:val="24"/>
              </w:rPr>
            </w:pPr>
            <w:r>
              <w:rPr>
                <w:w w:val="95"/>
                <w:sz w:val="24"/>
              </w:rPr>
              <w:t>20,245</w:t>
            </w:r>
          </w:p>
        </w:tc>
        <w:tc>
          <w:tcPr>
            <w:tcW w:w="1464" w:type="dxa"/>
          </w:tcPr>
          <w:p>
            <w:pPr>
              <w:pStyle w:val="TableParagraph"/>
              <w:spacing w:line="276" w:lineRule="exact"/>
              <w:ind w:right="48"/>
              <w:rPr>
                <w:sz w:val="24"/>
              </w:rPr>
            </w:pPr>
            <w:r>
              <w:rPr>
                <w:sz w:val="24"/>
              </w:rPr>
              <w:t>227,679</w:t>
            </w:r>
          </w:p>
        </w:tc>
      </w:tr>
      <w:tr>
        <w:trPr>
          <w:trHeight w:val="283" w:hRule="exact"/>
        </w:trPr>
        <w:tc>
          <w:tcPr>
            <w:tcW w:w="5321" w:type="dxa"/>
          </w:tcPr>
          <w:p>
            <w:pPr>
              <w:pStyle w:val="TableParagraph"/>
              <w:spacing w:line="276" w:lineRule="exact"/>
              <w:ind w:left="592"/>
              <w:jc w:val="left"/>
              <w:rPr>
                <w:sz w:val="24"/>
              </w:rPr>
            </w:pPr>
            <w:r>
              <w:rPr>
                <w:sz w:val="24"/>
              </w:rPr>
              <w:t>2000</w:t>
            </w:r>
          </w:p>
        </w:tc>
        <w:tc>
          <w:tcPr>
            <w:tcW w:w="1956" w:type="dxa"/>
          </w:tcPr>
          <w:p>
            <w:pPr>
              <w:pStyle w:val="TableParagraph"/>
              <w:spacing w:line="276" w:lineRule="exact"/>
              <w:ind w:right="201"/>
              <w:rPr>
                <w:sz w:val="24"/>
              </w:rPr>
            </w:pPr>
            <w:r>
              <w:rPr>
                <w:w w:val="95"/>
                <w:sz w:val="24"/>
              </w:rPr>
              <w:t>16,871</w:t>
            </w:r>
          </w:p>
        </w:tc>
        <w:tc>
          <w:tcPr>
            <w:tcW w:w="1464" w:type="dxa"/>
          </w:tcPr>
          <w:p>
            <w:pPr>
              <w:pStyle w:val="TableParagraph"/>
              <w:spacing w:line="276" w:lineRule="exact"/>
              <w:ind w:right="48"/>
              <w:rPr>
                <w:sz w:val="24"/>
              </w:rPr>
            </w:pPr>
            <w:r>
              <w:rPr>
                <w:sz w:val="24"/>
              </w:rPr>
              <w:t>224,302</w:t>
            </w:r>
          </w:p>
        </w:tc>
      </w:tr>
      <w:tr>
        <w:trPr>
          <w:trHeight w:val="283" w:hRule="exact"/>
        </w:trPr>
        <w:tc>
          <w:tcPr>
            <w:tcW w:w="5321" w:type="dxa"/>
          </w:tcPr>
          <w:p>
            <w:pPr>
              <w:pStyle w:val="TableParagraph"/>
              <w:spacing w:line="276" w:lineRule="exact"/>
              <w:ind w:left="592"/>
              <w:jc w:val="left"/>
              <w:rPr>
                <w:sz w:val="24"/>
              </w:rPr>
            </w:pPr>
            <w:r>
              <w:rPr>
                <w:sz w:val="24"/>
              </w:rPr>
              <w:t>2001</w:t>
            </w:r>
          </w:p>
        </w:tc>
        <w:tc>
          <w:tcPr>
            <w:tcW w:w="1956" w:type="dxa"/>
          </w:tcPr>
          <w:p>
            <w:pPr>
              <w:pStyle w:val="TableParagraph"/>
              <w:spacing w:line="276" w:lineRule="exact"/>
              <w:ind w:right="201"/>
              <w:rPr>
                <w:sz w:val="24"/>
              </w:rPr>
            </w:pPr>
            <w:r>
              <w:rPr>
                <w:w w:val="95"/>
                <w:sz w:val="24"/>
              </w:rPr>
              <w:t>17,391</w:t>
            </w:r>
          </w:p>
        </w:tc>
        <w:tc>
          <w:tcPr>
            <w:tcW w:w="1464" w:type="dxa"/>
          </w:tcPr>
          <w:p>
            <w:pPr>
              <w:pStyle w:val="TableParagraph"/>
              <w:spacing w:line="276" w:lineRule="exact"/>
              <w:ind w:right="48"/>
              <w:rPr>
                <w:sz w:val="24"/>
              </w:rPr>
            </w:pPr>
            <w:r>
              <w:rPr>
                <w:sz w:val="24"/>
              </w:rPr>
              <w:t>209,862</w:t>
            </w:r>
          </w:p>
        </w:tc>
      </w:tr>
      <w:tr>
        <w:trPr>
          <w:trHeight w:val="276" w:hRule="exact"/>
        </w:trPr>
        <w:tc>
          <w:tcPr>
            <w:tcW w:w="5321" w:type="dxa"/>
          </w:tcPr>
          <w:p>
            <w:pPr>
              <w:pStyle w:val="TableParagraph"/>
              <w:spacing w:line="276" w:lineRule="exact"/>
              <w:ind w:left="592"/>
              <w:jc w:val="left"/>
              <w:rPr>
                <w:sz w:val="24"/>
              </w:rPr>
            </w:pPr>
            <w:r>
              <w:rPr>
                <w:sz w:val="24"/>
              </w:rPr>
              <w:t>2002</w:t>
            </w:r>
          </w:p>
        </w:tc>
        <w:tc>
          <w:tcPr>
            <w:tcW w:w="1956" w:type="dxa"/>
          </w:tcPr>
          <w:p>
            <w:pPr>
              <w:pStyle w:val="TableParagraph"/>
              <w:spacing w:line="276" w:lineRule="exact"/>
              <w:ind w:right="201"/>
              <w:rPr>
                <w:sz w:val="24"/>
              </w:rPr>
            </w:pPr>
            <w:r>
              <w:rPr>
                <w:w w:val="95"/>
                <w:sz w:val="24"/>
              </w:rPr>
              <w:t>17,561</w:t>
            </w:r>
          </w:p>
        </w:tc>
        <w:tc>
          <w:tcPr>
            <w:tcW w:w="1464" w:type="dxa"/>
          </w:tcPr>
          <w:p>
            <w:pPr>
              <w:pStyle w:val="TableParagraph"/>
              <w:spacing w:line="276" w:lineRule="exact"/>
              <w:ind w:right="48"/>
              <w:rPr>
                <w:sz w:val="24"/>
              </w:rPr>
            </w:pPr>
            <w:r>
              <w:rPr>
                <w:sz w:val="24"/>
              </w:rPr>
              <w:t>196,410</w:t>
            </w:r>
          </w:p>
        </w:tc>
      </w:tr>
      <w:tr>
        <w:trPr>
          <w:trHeight w:val="283" w:hRule="exact"/>
        </w:trPr>
        <w:tc>
          <w:tcPr>
            <w:tcW w:w="8741" w:type="dxa"/>
            <w:gridSpan w:val="3"/>
          </w:tcPr>
          <w:p>
            <w:pPr>
              <w:pStyle w:val="TableParagraph"/>
              <w:tabs>
                <w:tab w:pos="6198" w:val="left" w:leader="none"/>
                <w:tab w:pos="7614" w:val="left" w:leader="none"/>
              </w:tabs>
              <w:spacing w:before="7"/>
              <w:ind w:left="50"/>
              <w:jc w:val="left"/>
              <w:rPr>
                <w:sz w:val="24"/>
              </w:rPr>
            </w:pPr>
            <w:r>
              <w:rPr>
                <w:spacing w:val="-4"/>
                <w:sz w:val="24"/>
              </w:rPr>
              <w:t>After</w:t>
            </w:r>
            <w:r>
              <w:rPr>
                <w:spacing w:val="17"/>
                <w:sz w:val="24"/>
              </w:rPr>
              <w:t> </w:t>
            </w:r>
            <w:r>
              <w:rPr>
                <w:sz w:val="24"/>
              </w:rPr>
              <w:t>2002</w:t>
              <w:tab/>
            </w:r>
            <w:r>
              <w:rPr>
                <w:sz w:val="24"/>
                <w:u w:val="single"/>
              </w:rPr>
              <w:t>137,799</w:t>
              <w:tab/>
              <w:t>2,147,915</w:t>
            </w:r>
          </w:p>
        </w:tc>
      </w:tr>
      <w:tr>
        <w:trPr>
          <w:trHeight w:val="291" w:hRule="exact"/>
        </w:trPr>
        <w:tc>
          <w:tcPr>
            <w:tcW w:w="5321" w:type="dxa"/>
          </w:tcPr>
          <w:p>
            <w:pPr>
              <w:pStyle w:val="TableParagraph"/>
              <w:spacing w:line="268" w:lineRule="exact"/>
              <w:ind w:left="50"/>
              <w:jc w:val="left"/>
              <w:rPr>
                <w:sz w:val="24"/>
              </w:rPr>
            </w:pPr>
            <w:r>
              <w:rPr>
                <w:sz w:val="24"/>
              </w:rPr>
              <w:t>Total minimum lease payments</w:t>
            </w:r>
          </w:p>
        </w:tc>
        <w:tc>
          <w:tcPr>
            <w:tcW w:w="1956" w:type="dxa"/>
          </w:tcPr>
          <w:p>
            <w:pPr>
              <w:pStyle w:val="TableParagraph"/>
              <w:spacing w:line="268" w:lineRule="exact"/>
              <w:ind w:right="201"/>
              <w:rPr>
                <w:sz w:val="24"/>
              </w:rPr>
            </w:pPr>
            <w:r>
              <w:rPr>
                <w:sz w:val="24"/>
              </w:rPr>
              <w:t>241,893</w:t>
            </w:r>
          </w:p>
        </w:tc>
        <w:tc>
          <w:tcPr>
            <w:tcW w:w="1464" w:type="dxa"/>
          </w:tcPr>
          <w:p>
            <w:pPr>
              <w:pStyle w:val="TableParagraph"/>
              <w:spacing w:line="268" w:lineRule="exact"/>
              <w:ind w:right="48"/>
              <w:rPr>
                <w:sz w:val="24"/>
              </w:rPr>
            </w:pPr>
            <w:r>
              <w:rPr>
                <w:w w:val="95"/>
                <w:sz w:val="24"/>
                <w:u w:val="thick"/>
              </w:rPr>
              <w:t>$3,240,996</w:t>
            </w:r>
          </w:p>
        </w:tc>
      </w:tr>
      <w:tr>
        <w:trPr>
          <w:trHeight w:val="283" w:hRule="exact"/>
        </w:trPr>
        <w:tc>
          <w:tcPr>
            <w:tcW w:w="5321" w:type="dxa"/>
          </w:tcPr>
          <w:p>
            <w:pPr>
              <w:pStyle w:val="TableParagraph"/>
              <w:spacing w:line="276" w:lineRule="exact"/>
              <w:ind w:left="50"/>
              <w:jc w:val="left"/>
              <w:rPr>
                <w:sz w:val="24"/>
              </w:rPr>
            </w:pPr>
            <w:r>
              <w:rPr>
                <w:sz w:val="24"/>
              </w:rPr>
              <w:t>Less amount representing interest</w:t>
            </w:r>
          </w:p>
        </w:tc>
        <w:tc>
          <w:tcPr>
            <w:tcW w:w="1956" w:type="dxa"/>
          </w:tcPr>
          <w:p>
            <w:pPr>
              <w:pStyle w:val="TableParagraph"/>
              <w:spacing w:line="276" w:lineRule="exact"/>
              <w:ind w:right="201"/>
              <w:rPr>
                <w:sz w:val="24"/>
              </w:rPr>
            </w:pPr>
            <w:r>
              <w:rPr>
                <w:w w:val="95"/>
                <w:sz w:val="24"/>
                <w:u w:val="single"/>
              </w:rPr>
              <w:t>89,569</w:t>
            </w:r>
          </w:p>
        </w:tc>
        <w:tc>
          <w:tcPr>
            <w:tcW w:w="1464" w:type="dxa"/>
          </w:tcPr>
          <w:p>
            <w:pPr/>
          </w:p>
        </w:tc>
      </w:tr>
      <w:tr>
        <w:trPr>
          <w:trHeight w:val="283" w:hRule="exact"/>
        </w:trPr>
        <w:tc>
          <w:tcPr>
            <w:tcW w:w="5321" w:type="dxa"/>
          </w:tcPr>
          <w:p>
            <w:pPr>
              <w:pStyle w:val="TableParagraph"/>
              <w:spacing w:line="276" w:lineRule="exact"/>
              <w:ind w:left="50"/>
              <w:jc w:val="left"/>
              <w:rPr>
                <w:sz w:val="24"/>
              </w:rPr>
            </w:pPr>
            <w:r>
              <w:rPr>
                <w:sz w:val="24"/>
              </w:rPr>
              <w:t>Present value of minimum lease payments</w:t>
            </w:r>
          </w:p>
        </w:tc>
        <w:tc>
          <w:tcPr>
            <w:tcW w:w="1956" w:type="dxa"/>
          </w:tcPr>
          <w:p>
            <w:pPr>
              <w:pStyle w:val="TableParagraph"/>
              <w:spacing w:line="276" w:lineRule="exact"/>
              <w:ind w:right="201"/>
              <w:rPr>
                <w:sz w:val="24"/>
              </w:rPr>
            </w:pPr>
            <w:r>
              <w:rPr>
                <w:sz w:val="24"/>
              </w:rPr>
              <w:t>152,324</w:t>
            </w:r>
          </w:p>
        </w:tc>
        <w:tc>
          <w:tcPr>
            <w:tcW w:w="1464" w:type="dxa"/>
          </w:tcPr>
          <w:p>
            <w:pPr/>
          </w:p>
        </w:tc>
      </w:tr>
      <w:tr>
        <w:trPr>
          <w:trHeight w:val="283" w:hRule="exact"/>
        </w:trPr>
        <w:tc>
          <w:tcPr>
            <w:tcW w:w="5321" w:type="dxa"/>
          </w:tcPr>
          <w:p>
            <w:pPr>
              <w:pStyle w:val="TableParagraph"/>
              <w:spacing w:line="276" w:lineRule="exact"/>
              <w:ind w:left="50"/>
              <w:jc w:val="left"/>
              <w:rPr>
                <w:sz w:val="24"/>
              </w:rPr>
            </w:pPr>
            <w:r>
              <w:rPr>
                <w:sz w:val="24"/>
              </w:rPr>
              <w:t>Less current portion</w:t>
            </w:r>
          </w:p>
        </w:tc>
        <w:tc>
          <w:tcPr>
            <w:tcW w:w="1956" w:type="dxa"/>
          </w:tcPr>
          <w:p>
            <w:pPr>
              <w:pStyle w:val="TableParagraph"/>
              <w:spacing w:line="276" w:lineRule="exact"/>
              <w:ind w:right="201"/>
              <w:rPr>
                <w:sz w:val="24"/>
              </w:rPr>
            </w:pPr>
            <w:r>
              <w:rPr>
                <w:w w:val="95"/>
                <w:sz w:val="24"/>
                <w:u w:val="single"/>
              </w:rPr>
              <w:t>21,324</w:t>
            </w:r>
          </w:p>
        </w:tc>
        <w:tc>
          <w:tcPr>
            <w:tcW w:w="1464" w:type="dxa"/>
          </w:tcPr>
          <w:p>
            <w:pPr/>
          </w:p>
        </w:tc>
      </w:tr>
      <w:tr>
        <w:trPr>
          <w:trHeight w:val="276" w:hRule="exact"/>
        </w:trPr>
        <w:tc>
          <w:tcPr>
            <w:tcW w:w="5321" w:type="dxa"/>
          </w:tcPr>
          <w:p>
            <w:pPr>
              <w:pStyle w:val="TableParagraph"/>
              <w:spacing w:line="276" w:lineRule="exact"/>
              <w:ind w:left="50"/>
              <w:jc w:val="left"/>
              <w:rPr>
                <w:sz w:val="24"/>
              </w:rPr>
            </w:pPr>
            <w:r>
              <w:rPr>
                <w:sz w:val="24"/>
              </w:rPr>
              <w:t>Long-term portion</w:t>
            </w:r>
          </w:p>
        </w:tc>
        <w:tc>
          <w:tcPr>
            <w:tcW w:w="1956" w:type="dxa"/>
          </w:tcPr>
          <w:p>
            <w:pPr>
              <w:pStyle w:val="TableParagraph"/>
              <w:spacing w:line="276" w:lineRule="exact"/>
              <w:ind w:right="201"/>
              <w:rPr>
                <w:sz w:val="24"/>
              </w:rPr>
            </w:pPr>
            <w:r>
              <w:rPr>
                <w:w w:val="95"/>
                <w:sz w:val="24"/>
                <w:u w:val="thick"/>
              </w:rPr>
              <w:t>$131,000</w:t>
            </w:r>
          </w:p>
        </w:tc>
        <w:tc>
          <w:tcPr>
            <w:tcW w:w="1464" w:type="dxa"/>
          </w:tcPr>
          <w:p>
            <w:pPr/>
          </w:p>
        </w:tc>
      </w:tr>
    </w:tbl>
    <w:p>
      <w:pPr>
        <w:pStyle w:val="BodyText"/>
        <w:spacing w:before="5"/>
        <w:rPr>
          <w:sz w:val="31"/>
        </w:rPr>
      </w:pPr>
    </w:p>
    <w:p>
      <w:pPr>
        <w:pStyle w:val="BodyText"/>
        <w:spacing w:line="240" w:lineRule="exact"/>
        <w:ind w:left="160" w:right="233" w:firstLine="182"/>
      </w:pPr>
      <w:r>
        <w:rPr/>
        <w:t>The aircraft leases generally can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11"/>
        <w:rPr>
          <w:sz w:val="37"/>
        </w:rPr>
      </w:pPr>
    </w:p>
    <w:p>
      <w:pPr>
        <w:pStyle w:val="Heading3"/>
        <w:numPr>
          <w:ilvl w:val="0"/>
          <w:numId w:val="2"/>
        </w:numPr>
        <w:tabs>
          <w:tab w:pos="429" w:val="left" w:leader="none"/>
        </w:tabs>
        <w:spacing w:line="240" w:lineRule="auto" w:before="0" w:after="0"/>
        <w:ind w:left="428" w:right="0" w:hanging="268"/>
        <w:jc w:val="left"/>
      </w:pPr>
      <w:r>
        <w:rPr>
          <w:color w:val="008080"/>
        </w:rPr>
        <w:t>COMMON</w:t>
      </w:r>
      <w:r>
        <w:rPr>
          <w:color w:val="008080"/>
          <w:spacing w:val="-4"/>
        </w:rPr>
        <w:t> </w:t>
      </w:r>
      <w:r>
        <w:rPr>
          <w:color w:val="008080"/>
        </w:rPr>
        <w:t>STOCK</w:t>
      </w:r>
    </w:p>
    <w:p>
      <w:pPr>
        <w:pStyle w:val="BodyText"/>
        <w:spacing w:before="4"/>
        <w:rPr>
          <w:b/>
          <w:sz w:val="21"/>
        </w:rPr>
      </w:pPr>
    </w:p>
    <w:p>
      <w:pPr>
        <w:pStyle w:val="BodyText"/>
        <w:spacing w:line="240" w:lineRule="exact" w:before="1"/>
        <w:ind w:left="160" w:right="167" w:firstLine="182"/>
      </w:pPr>
      <w:r>
        <w:rPr>
          <w:spacing w:val="2"/>
        </w:rPr>
        <w:t>The </w:t>
      </w:r>
      <w:r>
        <w:rPr/>
        <w:t>Company has one class of </w:t>
      </w:r>
      <w:r>
        <w:rPr>
          <w:spacing w:val="-3"/>
        </w:rPr>
        <w:t>common </w:t>
      </w:r>
      <w:r>
        <w:rPr/>
        <w:t>stock. Holders of shares of </w:t>
      </w:r>
      <w:r>
        <w:rPr>
          <w:spacing w:val="-3"/>
        </w:rPr>
        <w:t>common </w:t>
      </w:r>
      <w:r>
        <w:rPr/>
        <w:t>stock are entitled to receive dividends when and if declared by the </w:t>
      </w:r>
      <w:r>
        <w:rPr>
          <w:spacing w:val="-4"/>
        </w:rPr>
        <w:t>Board </w:t>
      </w:r>
      <w:r>
        <w:rPr/>
        <w:t>of </w:t>
      </w:r>
      <w:r>
        <w:rPr>
          <w:spacing w:val="2"/>
        </w:rPr>
        <w:t>Directors </w:t>
      </w:r>
      <w:r>
        <w:rPr/>
        <w:t>and are entitled to one vote per share on all matters submitted to a vote of the</w:t>
      </w:r>
      <w:r>
        <w:rPr>
          <w:spacing w:val="32"/>
        </w:rPr>
        <w:t> </w:t>
      </w:r>
      <w:r>
        <w:rPr/>
        <w:t>shareholders.</w:t>
      </w:r>
    </w:p>
    <w:p>
      <w:pPr>
        <w:pStyle w:val="BodyText"/>
        <w:spacing w:before="10"/>
        <w:rPr>
          <w:sz w:val="20"/>
        </w:rPr>
      </w:pPr>
    </w:p>
    <w:p>
      <w:pPr>
        <w:pStyle w:val="BodyText"/>
        <w:spacing w:line="240" w:lineRule="exact"/>
        <w:ind w:left="160" w:right="233" w:firstLine="182"/>
      </w:pPr>
      <w:r>
        <w:rPr/>
        <w:t>At December 31, 1997, the Company had common stock reserved for issuance pursuant to Employee stock benefit plans (49,254,768 shares) and upon exercise of rights (270,461,851 shares) pursuant to the Common Stock Rights Agreement, as amended (Agreement).</w:t>
      </w:r>
    </w:p>
    <w:p>
      <w:pPr>
        <w:pStyle w:val="BodyText"/>
        <w:spacing w:before="9"/>
        <w:rPr>
          <w:sz w:val="20"/>
        </w:rPr>
      </w:pPr>
    </w:p>
    <w:p>
      <w:pPr>
        <w:pStyle w:val="BodyText"/>
        <w:spacing w:line="240" w:lineRule="exact" w:before="1"/>
        <w:ind w:left="160" w:right="233" w:firstLine="182"/>
      </w:pPr>
      <w:r>
        <w:rPr/>
        <w:t>Pursuant to the Agreement, each outstanding share of the Company’s common stock is accompanied by one common share purchase right (Right). Each Right entitles its holder to purchase one share of common stock at an exercise price of $11.11 and is exercisable only in the event of a proposed takeover, as defined by the Agreement.</w:t>
      </w:r>
    </w:p>
    <w:p>
      <w:pPr>
        <w:pStyle w:val="BodyText"/>
        <w:spacing w:line="240" w:lineRule="exact"/>
        <w:ind w:left="160" w:right="233"/>
      </w:pPr>
      <w:r>
        <w:rPr/>
        <w:t>The Company may redeem the Rights at $.0074 per Right prior to the time that 15 percent of the common stock has been acquired by a person or group. If the Company is acquired, as defined in the Agreement, each Right will entitle its holder to purchase for $11.11 that number of the acquiring company’s or the Company’s common shares, as provided in the Agreement, having a market value of two times the exercise price of the Right. The Rights will expire no later than July 30, 2006.</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19" w:right="203" w:firstLine="182"/>
      </w:pPr>
      <w:r>
        <w:rPr/>
        <w:t>On September 25, 1997, the Company’s Board of Directors declared a three-for-two stock split, distributing 73,577,983 shares on November 26, 1997. Unless otherwise stated, all per share data presented in the accompanying consolidated financial statements and notes thereto have been restated to give effect to the stock split.</w:t>
      </w:r>
    </w:p>
    <w:p>
      <w:pPr>
        <w:pStyle w:val="Heading3"/>
        <w:numPr>
          <w:ilvl w:val="0"/>
          <w:numId w:val="2"/>
        </w:numPr>
        <w:tabs>
          <w:tab w:pos="389" w:val="left" w:leader="none"/>
        </w:tabs>
        <w:spacing w:line="240" w:lineRule="auto" w:before="206" w:after="0"/>
        <w:ind w:left="388" w:right="0" w:hanging="268"/>
        <w:jc w:val="left"/>
      </w:pPr>
      <w:r>
        <w:rPr>
          <w:color w:val="008080"/>
        </w:rPr>
        <w:t>STOCK</w:t>
      </w:r>
      <w:r>
        <w:rPr>
          <w:color w:val="008080"/>
          <w:spacing w:val="-6"/>
        </w:rPr>
        <w:t> </w:t>
      </w:r>
      <w:r>
        <w:rPr>
          <w:color w:val="008080"/>
        </w:rPr>
        <w:t>PLANS</w:t>
      </w:r>
    </w:p>
    <w:p>
      <w:pPr>
        <w:pStyle w:val="BodyText"/>
        <w:spacing w:before="7"/>
        <w:rPr>
          <w:b/>
          <w:sz w:val="20"/>
        </w:rPr>
      </w:pPr>
    </w:p>
    <w:p>
      <w:pPr>
        <w:pStyle w:val="BodyText"/>
        <w:spacing w:line="240" w:lineRule="exact"/>
        <w:ind w:left="119" w:firstLine="182"/>
      </w:pPr>
      <w:r>
        <w:rPr/>
        <w:t>At December 31, 1997, the Company had six stock-based compensation plans and other stock options outstanding, which are described below. The Company applies APB 25 and related Interpretations in accounting for its stock-based compensation.</w:t>
      </w:r>
    </w:p>
    <w:p>
      <w:pPr>
        <w:pStyle w:val="BodyText"/>
        <w:spacing w:line="240" w:lineRule="exact"/>
        <w:ind w:left="119" w:right="203"/>
      </w:pPr>
      <w:r>
        <w:rPr/>
        <w:t>Accordingly, no compensation expense is recognized for its fixed option plans because the exercise prices of the Company’s Employee stock options equal or exceed the market prices of the underlying stock on the dates of the grants. Compensation expense for other stock options is not</w:t>
      </w:r>
      <w:r>
        <w:rPr>
          <w:spacing w:val="7"/>
        </w:rPr>
        <w:t> </w:t>
      </w:r>
      <w:r>
        <w:rPr/>
        <w:t>material.</w:t>
      </w:r>
    </w:p>
    <w:p>
      <w:pPr>
        <w:pStyle w:val="BodyText"/>
        <w:spacing w:before="10"/>
        <w:rPr>
          <w:sz w:val="20"/>
        </w:rPr>
      </w:pPr>
    </w:p>
    <w:p>
      <w:pPr>
        <w:pStyle w:val="BodyText"/>
        <w:spacing w:line="240" w:lineRule="exact"/>
        <w:ind w:left="119" w:right="165" w:firstLine="182"/>
      </w:pPr>
      <w:r>
        <w:rPr>
          <w:spacing w:val="2"/>
        </w:rPr>
        <w:t>The </w:t>
      </w:r>
      <w:r>
        <w:rPr/>
        <w:t>Company has five fixed option plans. Under the 1991 Incentive </w:t>
      </w:r>
      <w:r>
        <w:rPr>
          <w:spacing w:val="-4"/>
        </w:rPr>
        <w:t>Stock </w:t>
      </w:r>
      <w:r>
        <w:rPr/>
        <w:t>Option Plan, the Company </w:t>
      </w:r>
      <w:r>
        <w:rPr>
          <w:spacing w:val="-3"/>
        </w:rPr>
        <w:t>may </w:t>
      </w:r>
      <w:r>
        <w:rPr/>
        <w:t>grant options to key Employees for up to 13,500,000 shares of </w:t>
      </w:r>
      <w:r>
        <w:rPr>
          <w:spacing w:val="-3"/>
        </w:rPr>
        <w:t>common </w:t>
      </w:r>
      <w:r>
        <w:rPr/>
        <w:t>stock. Under the 1991 Non-Qualified </w:t>
      </w:r>
      <w:r>
        <w:rPr>
          <w:spacing w:val="-4"/>
        </w:rPr>
        <w:t>Stock </w:t>
      </w:r>
      <w:r>
        <w:rPr/>
        <w:t>Option Plan, the Company </w:t>
      </w:r>
      <w:r>
        <w:rPr>
          <w:spacing w:val="-3"/>
        </w:rPr>
        <w:t>may </w:t>
      </w:r>
      <w:r>
        <w:rPr/>
        <w:t>grant options to key Employees and non-employee </w:t>
      </w:r>
      <w:r>
        <w:rPr>
          <w:spacing w:val="2"/>
        </w:rPr>
        <w:t>directors </w:t>
      </w:r>
      <w:r>
        <w:rPr/>
        <w:t>for up to 1,125,000 shares of </w:t>
      </w:r>
      <w:r>
        <w:rPr>
          <w:spacing w:val="-3"/>
        </w:rPr>
        <w:t>common </w:t>
      </w:r>
      <w:r>
        <w:rPr/>
        <w:t>stock. All options granted under these plans have ten-year terms and vest and become fully exercisable at the end of three, five, or ten years of continued employment, depending upon the grant</w:t>
      </w:r>
      <w:r>
        <w:rPr>
          <w:spacing w:val="-5"/>
        </w:rPr>
        <w:t> </w:t>
      </w:r>
      <w:r>
        <w:rPr/>
        <w:t>type.</w:t>
      </w:r>
    </w:p>
    <w:p>
      <w:pPr>
        <w:pStyle w:val="BodyText"/>
        <w:spacing w:before="9"/>
        <w:rPr>
          <w:sz w:val="20"/>
        </w:rPr>
      </w:pPr>
    </w:p>
    <w:p>
      <w:pPr>
        <w:pStyle w:val="BodyText"/>
        <w:spacing w:line="240" w:lineRule="exact" w:before="1"/>
        <w:ind w:left="119" w:right="163" w:firstLine="182"/>
      </w:pPr>
      <w:r>
        <w:rPr/>
        <w:t>Under the 1995 Southwest Airlines Pilots’ Association Non-Qualified </w:t>
      </w:r>
      <w:r>
        <w:rPr>
          <w:spacing w:val="-4"/>
        </w:rPr>
        <w:t>Stock </w:t>
      </w:r>
      <w:r>
        <w:rPr/>
        <w:t>Option Plan (SWAPA Plan), the Company </w:t>
      </w:r>
      <w:r>
        <w:rPr>
          <w:spacing w:val="-3"/>
        </w:rPr>
        <w:t>may </w:t>
      </w:r>
      <w:r>
        <w:rPr/>
        <w:t>grant options to Pilots for up to 27,000,000 shares of </w:t>
      </w:r>
      <w:r>
        <w:rPr>
          <w:spacing w:val="-3"/>
        </w:rPr>
        <w:t>common </w:t>
      </w:r>
      <w:r>
        <w:rPr/>
        <w:t>stock. An initial grant of approximately 21,750,000 shares was made on January 12, 1995, at an option price of $13.33 per share, which exceeded the market price of the Company’s stock on that date. Options granted under the initial grant vest in ten annual increments of ten percent. On September 1 of each year of the agreement beginning in 1996, additional options will be granted to Pilots that become eligible during that year. Additional options granted on September 1, 1997 and 1996, vest in seven annual increments of 14.3 percent and eight annual increments of 12.5 percent, respectively. Options under all grants must be exercised prior to January 31, 2007, or within a specified time upon retirement or termination. In the event that the Southwest Airlines Pilots’ Association exercises its option to make the collective bargaining agreement amendable on September 1, 1999, any unexercised options will be canceled on December 1,</w:t>
      </w:r>
      <w:r>
        <w:rPr>
          <w:spacing w:val="2"/>
        </w:rPr>
        <w:t> </w:t>
      </w:r>
      <w:r>
        <w:rPr/>
        <w:t>1999.</w:t>
      </w:r>
    </w:p>
    <w:p>
      <w:pPr>
        <w:pStyle w:val="BodyText"/>
        <w:spacing w:before="10"/>
        <w:rPr>
          <w:sz w:val="20"/>
        </w:rPr>
      </w:pPr>
    </w:p>
    <w:p>
      <w:pPr>
        <w:pStyle w:val="BodyText"/>
        <w:spacing w:line="240" w:lineRule="exact"/>
        <w:ind w:left="119" w:right="175" w:firstLine="182"/>
      </w:pPr>
      <w:r>
        <w:rPr/>
        <w:t>Under the 1996 Incentive Stock Option Plan, the Company may grant options to key Employees for up to 9,000,000 shares of common stock. Under the 1996 Non-Qualified Stock Option Plan, the Company may grant options to key Employees and non- employee directors for up to 862,500 shares of common stock. All options granted under these plans have ten-year terms and vest and become fully exercisable at the end of three, five, or ten years of continued employment, depending upon the grant type.</w:t>
      </w:r>
    </w:p>
    <w:p>
      <w:pPr>
        <w:pStyle w:val="BodyText"/>
        <w:spacing w:before="9"/>
        <w:rPr>
          <w:sz w:val="20"/>
        </w:rPr>
      </w:pPr>
    </w:p>
    <w:p>
      <w:pPr>
        <w:pStyle w:val="BodyText"/>
        <w:spacing w:line="240" w:lineRule="exact" w:before="1"/>
        <w:ind w:left="119" w:right="203" w:firstLine="182"/>
      </w:pPr>
      <w:r>
        <w:rPr/>
        <w:t>Under all fixed option plans, except the SWAPA Plan, the exercise price of each option equals the market price of the Company’s stock on the date of grant. Under the SWAPA Plan, for additional options granted each September 1, the exercise price will be equal to 105 percent of the fair value of such stock on the date of the grant.</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59" w:right="186" w:firstLine="182"/>
      </w:pPr>
      <w:r>
        <w:rPr/>
        <w:pict>
          <v:shape style="position:absolute;margin-left:69.5pt;margin-top:37.833912pt;width:466.25pt;height:295.350pt;mso-position-horizontal-relative:page;mso-position-vertical-relative:paragraph;z-index:48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40"/>
                    <w:gridCol w:w="3225"/>
                    <w:gridCol w:w="1145"/>
                    <w:gridCol w:w="815"/>
                  </w:tblGrid>
                  <w:tr>
                    <w:trPr>
                      <w:trHeight w:val="837" w:hRule="exact"/>
                    </w:trPr>
                    <w:tc>
                      <w:tcPr>
                        <w:tcW w:w="4140" w:type="dxa"/>
                        <w:tcBorders>
                          <w:bottom w:val="single" w:sz="6" w:space="0" w:color="000000"/>
                        </w:tcBorders>
                      </w:tcPr>
                      <w:p>
                        <w:pPr/>
                      </w:p>
                    </w:tc>
                    <w:tc>
                      <w:tcPr>
                        <w:tcW w:w="3225" w:type="dxa"/>
                        <w:tcBorders>
                          <w:bottom w:val="single" w:sz="6" w:space="0" w:color="000000"/>
                        </w:tcBorders>
                      </w:tcPr>
                      <w:p>
                        <w:pPr>
                          <w:pStyle w:val="TableParagraph"/>
                          <w:spacing w:line="203" w:lineRule="exact"/>
                          <w:ind w:left="1593"/>
                          <w:jc w:val="left"/>
                          <w:rPr>
                            <w:sz w:val="18"/>
                          </w:rPr>
                        </w:pPr>
                        <w:r>
                          <w:rPr>
                            <w:sz w:val="18"/>
                            <w:u w:val="single"/>
                          </w:rPr>
                          <w:t>Incentive Plans</w:t>
                        </w:r>
                      </w:p>
                      <w:p>
                        <w:pPr>
                          <w:pStyle w:val="TableParagraph"/>
                          <w:spacing w:line="244" w:lineRule="auto" w:before="4"/>
                          <w:ind w:left="1737" w:right="147"/>
                          <w:rPr>
                            <w:sz w:val="18"/>
                          </w:rPr>
                        </w:pPr>
                        <w:r>
                          <w:rPr>
                            <w:sz w:val="18"/>
                          </w:rPr>
                          <w:t>Average Exercise</w:t>
                        </w:r>
                      </w:p>
                      <w:p>
                        <w:pPr>
                          <w:pStyle w:val="TableParagraph"/>
                          <w:tabs>
                            <w:tab w:pos="2548" w:val="left" w:leader="none"/>
                          </w:tabs>
                          <w:ind w:left="1209"/>
                          <w:jc w:val="left"/>
                          <w:rPr>
                            <w:sz w:val="18"/>
                          </w:rPr>
                        </w:pPr>
                        <w:r>
                          <w:rPr>
                            <w:sz w:val="18"/>
                          </w:rPr>
                          <w:t>Options</w:t>
                          <w:tab/>
                          <w:t>Price</w:t>
                        </w:r>
                      </w:p>
                    </w:tc>
                    <w:tc>
                      <w:tcPr>
                        <w:tcW w:w="1960" w:type="dxa"/>
                        <w:gridSpan w:val="2"/>
                      </w:tcPr>
                      <w:p>
                        <w:pPr>
                          <w:pStyle w:val="TableParagraph"/>
                          <w:spacing w:line="203" w:lineRule="exact"/>
                          <w:ind w:left="149"/>
                          <w:jc w:val="left"/>
                          <w:rPr>
                            <w:sz w:val="18"/>
                          </w:rPr>
                        </w:pPr>
                        <w:r>
                          <w:rPr>
                            <w:sz w:val="18"/>
                            <w:u w:val="single"/>
                          </w:rPr>
                          <w:t>Non-Qualified Plans</w:t>
                        </w:r>
                      </w:p>
                      <w:p>
                        <w:pPr>
                          <w:pStyle w:val="TableParagraph"/>
                          <w:spacing w:line="244" w:lineRule="auto" w:before="4"/>
                          <w:ind w:left="1224"/>
                          <w:jc w:val="left"/>
                          <w:rPr>
                            <w:sz w:val="18"/>
                          </w:rPr>
                        </w:pPr>
                        <w:r>
                          <w:rPr>
                            <w:sz w:val="18"/>
                          </w:rPr>
                          <w:t>Average Exercise</w:t>
                        </w:r>
                      </w:p>
                      <w:p>
                        <w:pPr>
                          <w:pStyle w:val="TableParagraph"/>
                          <w:tabs>
                            <w:tab w:pos="1382" w:val="left" w:leader="none"/>
                          </w:tabs>
                          <w:ind w:left="225"/>
                          <w:jc w:val="left"/>
                          <w:rPr>
                            <w:sz w:val="18"/>
                          </w:rPr>
                        </w:pPr>
                        <w:r>
                          <w:rPr>
                            <w:sz w:val="18"/>
                          </w:rPr>
                          <w:t>Options</w:t>
                          <w:tab/>
                          <w:t>Price</w:t>
                        </w:r>
                      </w:p>
                    </w:tc>
                  </w:tr>
                  <w:tr>
                    <w:trPr>
                      <w:trHeight w:val="215" w:hRule="exact"/>
                    </w:trPr>
                    <w:tc>
                      <w:tcPr>
                        <w:tcW w:w="4140" w:type="dxa"/>
                        <w:tcBorders>
                          <w:top w:val="single" w:sz="6" w:space="0" w:color="000000"/>
                        </w:tcBorders>
                      </w:tcPr>
                      <w:p>
                        <w:pPr>
                          <w:pStyle w:val="TableParagraph"/>
                          <w:spacing w:before="8"/>
                          <w:ind w:left="50"/>
                          <w:jc w:val="left"/>
                          <w:rPr>
                            <w:sz w:val="18"/>
                          </w:rPr>
                        </w:pPr>
                        <w:r>
                          <w:rPr>
                            <w:sz w:val="18"/>
                          </w:rPr>
                          <w:t>Outstanding December 31, 1994</w:t>
                        </w:r>
                      </w:p>
                    </w:tc>
                    <w:tc>
                      <w:tcPr>
                        <w:tcW w:w="3225" w:type="dxa"/>
                        <w:tcBorders>
                          <w:top w:val="single" w:sz="6" w:space="0" w:color="000000"/>
                        </w:tcBorders>
                      </w:tcPr>
                      <w:p>
                        <w:pPr>
                          <w:pStyle w:val="TableParagraph"/>
                          <w:tabs>
                            <w:tab w:pos="1348" w:val="left" w:leader="none"/>
                          </w:tabs>
                          <w:spacing w:before="8"/>
                          <w:ind w:right="290"/>
                          <w:rPr>
                            <w:sz w:val="18"/>
                          </w:rPr>
                        </w:pPr>
                        <w:r>
                          <w:rPr>
                            <w:sz w:val="18"/>
                          </w:rPr>
                          <w:t>7,217,943</w:t>
                          <w:tab/>
                        </w:r>
                        <w:r>
                          <w:rPr>
                            <w:spacing w:val="-1"/>
                            <w:sz w:val="18"/>
                          </w:rPr>
                          <w:t>$8.05</w:t>
                        </w:r>
                      </w:p>
                    </w:tc>
                    <w:tc>
                      <w:tcPr>
                        <w:tcW w:w="1960" w:type="dxa"/>
                        <w:gridSpan w:val="2"/>
                      </w:tcPr>
                      <w:p>
                        <w:pPr>
                          <w:pStyle w:val="TableParagraph"/>
                          <w:tabs>
                            <w:tab w:pos="1320" w:val="left" w:leader="none"/>
                          </w:tabs>
                          <w:spacing w:before="16"/>
                          <w:ind w:left="307"/>
                          <w:jc w:val="left"/>
                          <w:rPr>
                            <w:sz w:val="18"/>
                          </w:rPr>
                        </w:pPr>
                        <w:r>
                          <w:rPr>
                            <w:sz w:val="18"/>
                          </w:rPr>
                          <w:t>532,883</w:t>
                          <w:tab/>
                          <w:t>$9.07</w:t>
                        </w:r>
                      </w:p>
                    </w:tc>
                  </w:tr>
                  <w:tr>
                    <w:trPr>
                      <w:trHeight w:val="207" w:hRule="exact"/>
                    </w:trPr>
                    <w:tc>
                      <w:tcPr>
                        <w:tcW w:w="4140" w:type="dxa"/>
                      </w:tcPr>
                      <w:p>
                        <w:pPr>
                          <w:pStyle w:val="TableParagraph"/>
                          <w:ind w:left="232"/>
                          <w:jc w:val="left"/>
                          <w:rPr>
                            <w:sz w:val="18"/>
                          </w:rPr>
                        </w:pPr>
                        <w:r>
                          <w:rPr>
                            <w:sz w:val="18"/>
                          </w:rPr>
                          <w:t>Granted — Incentive Plans</w:t>
                        </w:r>
                      </w:p>
                    </w:tc>
                    <w:tc>
                      <w:tcPr>
                        <w:tcW w:w="3225" w:type="dxa"/>
                      </w:tcPr>
                      <w:p>
                        <w:pPr>
                          <w:pStyle w:val="TableParagraph"/>
                          <w:tabs>
                            <w:tab w:pos="1348" w:val="left" w:leader="none"/>
                          </w:tabs>
                          <w:ind w:right="290"/>
                          <w:rPr>
                            <w:sz w:val="18"/>
                          </w:rPr>
                        </w:pPr>
                        <w:r>
                          <w:rPr>
                            <w:sz w:val="18"/>
                          </w:rPr>
                          <w:t>1,474,821</w:t>
                          <w:tab/>
                        </w:r>
                        <w:r>
                          <w:rPr>
                            <w:spacing w:val="-1"/>
                            <w:sz w:val="18"/>
                          </w:rPr>
                          <w:t>12.53</w:t>
                        </w:r>
                      </w:p>
                    </w:tc>
                    <w:tc>
                      <w:tcPr>
                        <w:tcW w:w="1960" w:type="dxa"/>
                        <w:gridSpan w:val="2"/>
                      </w:tcPr>
                      <w:p>
                        <w:pPr>
                          <w:pStyle w:val="TableParagraph"/>
                          <w:tabs>
                            <w:tab w:pos="1713" w:val="left" w:leader="none"/>
                          </w:tabs>
                          <w:ind w:left="902"/>
                          <w:jc w:val="left"/>
                          <w:rPr>
                            <w:sz w:val="18"/>
                          </w:rPr>
                        </w:pPr>
                        <w:r>
                          <w:rPr>
                            <w:sz w:val="18"/>
                          </w:rPr>
                          <w:t>-</w:t>
                          <w:tab/>
                          <w:t>-</w:t>
                        </w:r>
                      </w:p>
                    </w:tc>
                  </w:tr>
                  <w:tr>
                    <w:trPr>
                      <w:trHeight w:val="211" w:hRule="exact"/>
                    </w:trPr>
                    <w:tc>
                      <w:tcPr>
                        <w:tcW w:w="4140" w:type="dxa"/>
                      </w:tcPr>
                      <w:p>
                        <w:pPr>
                          <w:pStyle w:val="TableParagraph"/>
                          <w:spacing w:before="3"/>
                          <w:ind w:left="232"/>
                          <w:jc w:val="left"/>
                          <w:rPr>
                            <w:sz w:val="18"/>
                          </w:rPr>
                        </w:pPr>
                        <w:r>
                          <w:rPr>
                            <w:sz w:val="18"/>
                          </w:rPr>
                          <w:t>Granted — SWAPA Plan</w:t>
                        </w:r>
                      </w:p>
                    </w:tc>
                    <w:tc>
                      <w:tcPr>
                        <w:tcW w:w="3225" w:type="dxa"/>
                      </w:tcPr>
                      <w:p>
                        <w:pPr>
                          <w:pStyle w:val="TableParagraph"/>
                          <w:tabs>
                            <w:tab w:pos="993" w:val="left" w:leader="none"/>
                          </w:tabs>
                          <w:spacing w:before="3"/>
                          <w:ind w:right="292"/>
                          <w:rPr>
                            <w:sz w:val="18"/>
                          </w:rPr>
                        </w:pPr>
                        <w:r>
                          <w:rPr>
                            <w:sz w:val="18"/>
                          </w:rPr>
                          <w:t>-</w:t>
                          <w:tab/>
                          <w:t>-</w:t>
                        </w:r>
                      </w:p>
                    </w:tc>
                    <w:tc>
                      <w:tcPr>
                        <w:tcW w:w="1960" w:type="dxa"/>
                        <w:gridSpan w:val="2"/>
                      </w:tcPr>
                      <w:p>
                        <w:pPr>
                          <w:pStyle w:val="TableParagraph"/>
                          <w:tabs>
                            <w:tab w:pos="1320" w:val="left" w:leader="none"/>
                          </w:tabs>
                          <w:spacing w:before="3"/>
                          <w:ind w:left="53"/>
                          <w:jc w:val="left"/>
                          <w:rPr>
                            <w:sz w:val="18"/>
                          </w:rPr>
                        </w:pPr>
                        <w:r>
                          <w:rPr>
                            <w:sz w:val="18"/>
                          </w:rPr>
                          <w:t>21,790,575</w:t>
                          <w:tab/>
                          <w:t>13.33</w:t>
                        </w:r>
                      </w:p>
                    </w:tc>
                  </w:tr>
                  <w:tr>
                    <w:trPr>
                      <w:trHeight w:val="215" w:hRule="exact"/>
                    </w:trPr>
                    <w:tc>
                      <w:tcPr>
                        <w:tcW w:w="4140" w:type="dxa"/>
                      </w:tcPr>
                      <w:p>
                        <w:pPr>
                          <w:pStyle w:val="TableParagraph"/>
                          <w:spacing w:line="203" w:lineRule="exact"/>
                          <w:ind w:left="232"/>
                          <w:jc w:val="left"/>
                          <w:rPr>
                            <w:sz w:val="18"/>
                          </w:rPr>
                        </w:pPr>
                        <w:r>
                          <w:rPr>
                            <w:sz w:val="18"/>
                          </w:rPr>
                          <w:t>Granted — Other Non-Qualified</w:t>
                        </w:r>
                      </w:p>
                    </w:tc>
                    <w:tc>
                      <w:tcPr>
                        <w:tcW w:w="4370" w:type="dxa"/>
                        <w:gridSpan w:val="2"/>
                      </w:tcPr>
                      <w:p>
                        <w:pPr/>
                      </w:p>
                    </w:tc>
                    <w:tc>
                      <w:tcPr>
                        <w:tcW w:w="815" w:type="dxa"/>
                      </w:tcPr>
                      <w:p>
                        <w:pPr/>
                      </w:p>
                    </w:tc>
                  </w:tr>
                  <w:tr>
                    <w:trPr>
                      <w:trHeight w:val="211" w:hRule="exact"/>
                    </w:trPr>
                    <w:tc>
                      <w:tcPr>
                        <w:tcW w:w="4140" w:type="dxa"/>
                      </w:tcPr>
                      <w:p>
                        <w:pPr>
                          <w:pStyle w:val="TableParagraph"/>
                          <w:ind w:left="2192" w:right="1454"/>
                          <w:jc w:val="center"/>
                          <w:rPr>
                            <w:sz w:val="18"/>
                          </w:rPr>
                        </w:pPr>
                        <w:r>
                          <w:rPr>
                            <w:sz w:val="18"/>
                          </w:rPr>
                          <w:t>Plans</w:t>
                        </w:r>
                      </w:p>
                    </w:tc>
                    <w:tc>
                      <w:tcPr>
                        <w:tcW w:w="4370" w:type="dxa"/>
                        <w:gridSpan w:val="2"/>
                      </w:tcPr>
                      <w:p>
                        <w:pPr>
                          <w:pStyle w:val="TableParagraph"/>
                          <w:tabs>
                            <w:tab w:pos="2869" w:val="left" w:leader="none"/>
                            <w:tab w:pos="3532" w:val="left" w:leader="none"/>
                          </w:tabs>
                          <w:ind w:left="1876"/>
                          <w:jc w:val="left"/>
                          <w:rPr>
                            <w:sz w:val="18"/>
                          </w:rPr>
                        </w:pPr>
                        <w:r>
                          <w:rPr>
                            <w:sz w:val="18"/>
                          </w:rPr>
                          <w:t>-</w:t>
                          <w:tab/>
                          <w:t>-</w:t>
                          <w:tab/>
                          <w:t>139,973</w:t>
                        </w:r>
                      </w:p>
                    </w:tc>
                    <w:tc>
                      <w:tcPr>
                        <w:tcW w:w="815" w:type="dxa"/>
                      </w:tcPr>
                      <w:p>
                        <w:pPr>
                          <w:pStyle w:val="TableParagraph"/>
                          <w:ind w:right="181"/>
                          <w:rPr>
                            <w:sz w:val="18"/>
                          </w:rPr>
                        </w:pPr>
                        <w:r>
                          <w:rPr>
                            <w:sz w:val="18"/>
                          </w:rPr>
                          <w:t>12.51</w:t>
                        </w:r>
                      </w:p>
                    </w:tc>
                  </w:tr>
                  <w:tr>
                    <w:trPr>
                      <w:trHeight w:val="211" w:hRule="exact"/>
                    </w:trPr>
                    <w:tc>
                      <w:tcPr>
                        <w:tcW w:w="4140" w:type="dxa"/>
                      </w:tcPr>
                      <w:p>
                        <w:pPr>
                          <w:pStyle w:val="TableParagraph"/>
                          <w:ind w:left="232"/>
                          <w:jc w:val="left"/>
                          <w:rPr>
                            <w:sz w:val="18"/>
                          </w:rPr>
                        </w:pPr>
                        <w:r>
                          <w:rPr>
                            <w:sz w:val="18"/>
                          </w:rPr>
                          <w:t>Exercised</w:t>
                        </w:r>
                      </w:p>
                    </w:tc>
                    <w:tc>
                      <w:tcPr>
                        <w:tcW w:w="4370" w:type="dxa"/>
                        <w:gridSpan w:val="2"/>
                      </w:tcPr>
                      <w:p>
                        <w:pPr>
                          <w:pStyle w:val="TableParagraph"/>
                          <w:tabs>
                            <w:tab w:pos="2577" w:val="left" w:leader="none"/>
                            <w:tab w:pos="3508" w:val="left" w:leader="none"/>
                          </w:tabs>
                          <w:ind w:left="1156"/>
                          <w:jc w:val="left"/>
                          <w:rPr>
                            <w:sz w:val="18"/>
                          </w:rPr>
                        </w:pPr>
                        <w:r>
                          <w:rPr>
                            <w:sz w:val="18"/>
                          </w:rPr>
                          <w:t>(412,587)</w:t>
                          <w:tab/>
                          <w:t>5.67</w:t>
                          <w:tab/>
                          <w:t>(90,765)</w:t>
                        </w:r>
                      </w:p>
                    </w:tc>
                    <w:tc>
                      <w:tcPr>
                        <w:tcW w:w="815" w:type="dxa"/>
                      </w:tcPr>
                      <w:p>
                        <w:pPr>
                          <w:pStyle w:val="TableParagraph"/>
                          <w:ind w:right="181"/>
                          <w:rPr>
                            <w:sz w:val="18"/>
                          </w:rPr>
                        </w:pPr>
                        <w:r>
                          <w:rPr>
                            <w:sz w:val="18"/>
                          </w:rPr>
                          <w:t>10.08</w:t>
                        </w:r>
                      </w:p>
                    </w:tc>
                  </w:tr>
                  <w:tr>
                    <w:trPr>
                      <w:trHeight w:val="211" w:hRule="exact"/>
                    </w:trPr>
                    <w:tc>
                      <w:tcPr>
                        <w:tcW w:w="4140" w:type="dxa"/>
                      </w:tcPr>
                      <w:p>
                        <w:pPr>
                          <w:pStyle w:val="TableParagraph"/>
                          <w:ind w:left="232"/>
                          <w:jc w:val="left"/>
                          <w:rPr>
                            <w:sz w:val="18"/>
                          </w:rPr>
                        </w:pPr>
                        <w:r>
                          <w:rPr>
                            <w:sz w:val="18"/>
                          </w:rPr>
                          <w:t>Surrendered</w:t>
                        </w:r>
                      </w:p>
                    </w:tc>
                    <w:tc>
                      <w:tcPr>
                        <w:tcW w:w="4370" w:type="dxa"/>
                        <w:gridSpan w:val="2"/>
                      </w:tcPr>
                      <w:p>
                        <w:pPr>
                          <w:pStyle w:val="TableParagraph"/>
                          <w:tabs>
                            <w:tab w:pos="2577" w:val="left" w:leader="none"/>
                            <w:tab w:pos="3508" w:val="left" w:leader="none"/>
                          </w:tabs>
                          <w:ind w:left="1156"/>
                          <w:jc w:val="left"/>
                          <w:rPr>
                            <w:sz w:val="18"/>
                          </w:rPr>
                        </w:pPr>
                        <w:r>
                          <w:rPr>
                            <w:sz w:val="18"/>
                          </w:rPr>
                          <w:t>(462,358)</w:t>
                          <w:tab/>
                          <w:t>8.47</w:t>
                          <w:tab/>
                          <w:t>(91,562)</w:t>
                        </w:r>
                      </w:p>
                    </w:tc>
                    <w:tc>
                      <w:tcPr>
                        <w:tcW w:w="815" w:type="dxa"/>
                      </w:tcPr>
                      <w:p>
                        <w:pPr>
                          <w:pStyle w:val="TableParagraph"/>
                          <w:ind w:right="181"/>
                          <w:rPr>
                            <w:sz w:val="18"/>
                          </w:rPr>
                        </w:pPr>
                        <w:r>
                          <w:rPr>
                            <w:sz w:val="18"/>
                          </w:rPr>
                          <w:t>13.07</w:t>
                        </w:r>
                      </w:p>
                    </w:tc>
                  </w:tr>
                  <w:tr>
                    <w:trPr>
                      <w:trHeight w:val="211" w:hRule="exact"/>
                    </w:trPr>
                    <w:tc>
                      <w:tcPr>
                        <w:tcW w:w="4140" w:type="dxa"/>
                      </w:tcPr>
                      <w:p>
                        <w:pPr>
                          <w:pStyle w:val="TableParagraph"/>
                          <w:ind w:left="50"/>
                          <w:jc w:val="left"/>
                          <w:rPr>
                            <w:sz w:val="18"/>
                          </w:rPr>
                        </w:pPr>
                        <w:r>
                          <w:rPr>
                            <w:sz w:val="18"/>
                          </w:rPr>
                          <w:t>Outstanding December 31, 1995</w:t>
                        </w:r>
                      </w:p>
                    </w:tc>
                    <w:tc>
                      <w:tcPr>
                        <w:tcW w:w="4370" w:type="dxa"/>
                        <w:gridSpan w:val="2"/>
                      </w:tcPr>
                      <w:p>
                        <w:pPr>
                          <w:pStyle w:val="TableParagraph"/>
                          <w:tabs>
                            <w:tab w:pos="2577" w:val="left" w:leader="none"/>
                            <w:tab w:pos="3277" w:val="left" w:leader="none"/>
                          </w:tabs>
                          <w:ind w:left="1127"/>
                          <w:jc w:val="left"/>
                          <w:rPr>
                            <w:sz w:val="18"/>
                          </w:rPr>
                        </w:pPr>
                        <w:r>
                          <w:rPr>
                            <w:sz w:val="18"/>
                          </w:rPr>
                          <w:t>7,817,819</w:t>
                          <w:tab/>
                          <w:t>8.98</w:t>
                          <w:tab/>
                          <w:t>22,281,104</w:t>
                        </w:r>
                      </w:p>
                    </w:tc>
                    <w:tc>
                      <w:tcPr>
                        <w:tcW w:w="815" w:type="dxa"/>
                      </w:tcPr>
                      <w:p>
                        <w:pPr>
                          <w:pStyle w:val="TableParagraph"/>
                          <w:ind w:right="181"/>
                          <w:rPr>
                            <w:sz w:val="18"/>
                          </w:rPr>
                        </w:pPr>
                        <w:r>
                          <w:rPr>
                            <w:sz w:val="18"/>
                          </w:rPr>
                          <w:t>13.24</w:t>
                        </w:r>
                      </w:p>
                    </w:tc>
                  </w:tr>
                  <w:tr>
                    <w:trPr>
                      <w:trHeight w:val="207" w:hRule="exact"/>
                    </w:trPr>
                    <w:tc>
                      <w:tcPr>
                        <w:tcW w:w="4140" w:type="dxa"/>
                      </w:tcPr>
                      <w:p>
                        <w:pPr>
                          <w:pStyle w:val="TableParagraph"/>
                          <w:ind w:left="232"/>
                          <w:jc w:val="left"/>
                          <w:rPr>
                            <w:sz w:val="18"/>
                          </w:rPr>
                        </w:pPr>
                        <w:r>
                          <w:rPr>
                            <w:sz w:val="18"/>
                          </w:rPr>
                          <w:t>Granted — Incentive Plans</w:t>
                        </w:r>
                      </w:p>
                    </w:tc>
                    <w:tc>
                      <w:tcPr>
                        <w:tcW w:w="4370" w:type="dxa"/>
                        <w:gridSpan w:val="2"/>
                      </w:tcPr>
                      <w:p>
                        <w:pPr>
                          <w:pStyle w:val="TableParagraph"/>
                          <w:tabs>
                            <w:tab w:pos="2476" w:val="left" w:leader="none"/>
                            <w:tab w:pos="4127" w:val="left" w:leader="none"/>
                          </w:tabs>
                          <w:ind w:left="1127"/>
                          <w:jc w:val="left"/>
                          <w:rPr>
                            <w:sz w:val="18"/>
                          </w:rPr>
                        </w:pPr>
                        <w:r>
                          <w:rPr>
                            <w:sz w:val="18"/>
                          </w:rPr>
                          <w:t>2,505,516</w:t>
                          <w:tab/>
                          <w:t>16.79</w:t>
                          <w:tab/>
                          <w:t>-</w:t>
                        </w:r>
                      </w:p>
                    </w:tc>
                    <w:tc>
                      <w:tcPr>
                        <w:tcW w:w="815" w:type="dxa"/>
                      </w:tcPr>
                      <w:p>
                        <w:pPr>
                          <w:pStyle w:val="TableParagraph"/>
                          <w:ind w:right="183"/>
                          <w:rPr>
                            <w:sz w:val="18"/>
                          </w:rPr>
                        </w:pPr>
                        <w:r>
                          <w:rPr>
                            <w:w w:val="101"/>
                            <w:sz w:val="18"/>
                          </w:rPr>
                          <w:t>-</w:t>
                        </w:r>
                      </w:p>
                    </w:tc>
                  </w:tr>
                  <w:tr>
                    <w:trPr>
                      <w:trHeight w:val="211" w:hRule="exact"/>
                    </w:trPr>
                    <w:tc>
                      <w:tcPr>
                        <w:tcW w:w="4140" w:type="dxa"/>
                      </w:tcPr>
                      <w:p>
                        <w:pPr>
                          <w:pStyle w:val="TableParagraph"/>
                          <w:spacing w:before="3"/>
                          <w:ind w:left="232"/>
                          <w:jc w:val="left"/>
                          <w:rPr>
                            <w:sz w:val="18"/>
                          </w:rPr>
                        </w:pPr>
                        <w:r>
                          <w:rPr>
                            <w:sz w:val="18"/>
                          </w:rPr>
                          <w:t>Granted — SWAPA Plan</w:t>
                        </w:r>
                      </w:p>
                    </w:tc>
                    <w:tc>
                      <w:tcPr>
                        <w:tcW w:w="3225" w:type="dxa"/>
                      </w:tcPr>
                      <w:p>
                        <w:pPr>
                          <w:pStyle w:val="TableParagraph"/>
                          <w:tabs>
                            <w:tab w:pos="993" w:val="left" w:leader="none"/>
                          </w:tabs>
                          <w:spacing w:before="3"/>
                          <w:ind w:right="292"/>
                          <w:rPr>
                            <w:sz w:val="18"/>
                          </w:rPr>
                        </w:pPr>
                        <w:r>
                          <w:rPr>
                            <w:sz w:val="18"/>
                          </w:rPr>
                          <w:t>-</w:t>
                          <w:tab/>
                          <w:t>-</w:t>
                        </w:r>
                      </w:p>
                    </w:tc>
                    <w:tc>
                      <w:tcPr>
                        <w:tcW w:w="1145" w:type="dxa"/>
                      </w:tcPr>
                      <w:p>
                        <w:pPr>
                          <w:pStyle w:val="TableParagraph"/>
                          <w:spacing w:before="3"/>
                          <w:ind w:left="307"/>
                          <w:jc w:val="left"/>
                          <w:rPr>
                            <w:sz w:val="18"/>
                          </w:rPr>
                        </w:pPr>
                        <w:r>
                          <w:rPr>
                            <w:sz w:val="18"/>
                          </w:rPr>
                          <w:t>699,300</w:t>
                        </w:r>
                      </w:p>
                    </w:tc>
                    <w:tc>
                      <w:tcPr>
                        <w:tcW w:w="815" w:type="dxa"/>
                      </w:tcPr>
                      <w:p>
                        <w:pPr>
                          <w:pStyle w:val="TableParagraph"/>
                          <w:spacing w:before="3"/>
                          <w:ind w:right="181"/>
                          <w:rPr>
                            <w:sz w:val="18"/>
                          </w:rPr>
                        </w:pPr>
                        <w:r>
                          <w:rPr>
                            <w:sz w:val="18"/>
                          </w:rPr>
                          <w:t>15.88</w:t>
                        </w:r>
                      </w:p>
                    </w:tc>
                  </w:tr>
                  <w:tr>
                    <w:trPr>
                      <w:trHeight w:val="215" w:hRule="exact"/>
                    </w:trPr>
                    <w:tc>
                      <w:tcPr>
                        <w:tcW w:w="4140" w:type="dxa"/>
                      </w:tcPr>
                      <w:p>
                        <w:pPr>
                          <w:pStyle w:val="TableParagraph"/>
                          <w:spacing w:line="203" w:lineRule="exact"/>
                          <w:ind w:left="232"/>
                          <w:jc w:val="left"/>
                          <w:rPr>
                            <w:sz w:val="18"/>
                          </w:rPr>
                        </w:pPr>
                        <w:r>
                          <w:rPr>
                            <w:sz w:val="18"/>
                          </w:rPr>
                          <w:t>Granted — Other Non-Qualified</w:t>
                        </w:r>
                      </w:p>
                    </w:tc>
                    <w:tc>
                      <w:tcPr>
                        <w:tcW w:w="4370" w:type="dxa"/>
                        <w:gridSpan w:val="2"/>
                      </w:tcPr>
                      <w:p>
                        <w:pPr/>
                      </w:p>
                    </w:tc>
                    <w:tc>
                      <w:tcPr>
                        <w:tcW w:w="815" w:type="dxa"/>
                      </w:tcPr>
                      <w:p>
                        <w:pPr/>
                      </w:p>
                    </w:tc>
                  </w:tr>
                  <w:tr>
                    <w:trPr>
                      <w:trHeight w:val="211" w:hRule="exact"/>
                    </w:trPr>
                    <w:tc>
                      <w:tcPr>
                        <w:tcW w:w="4140" w:type="dxa"/>
                      </w:tcPr>
                      <w:p>
                        <w:pPr>
                          <w:pStyle w:val="TableParagraph"/>
                          <w:ind w:left="2192" w:right="1454"/>
                          <w:jc w:val="center"/>
                          <w:rPr>
                            <w:sz w:val="18"/>
                          </w:rPr>
                        </w:pPr>
                        <w:r>
                          <w:rPr>
                            <w:sz w:val="18"/>
                          </w:rPr>
                          <w:t>Plans</w:t>
                        </w:r>
                      </w:p>
                    </w:tc>
                    <w:tc>
                      <w:tcPr>
                        <w:tcW w:w="4370" w:type="dxa"/>
                        <w:gridSpan w:val="2"/>
                      </w:tcPr>
                      <w:p>
                        <w:pPr>
                          <w:pStyle w:val="TableParagraph"/>
                          <w:tabs>
                            <w:tab w:pos="2869" w:val="left" w:leader="none"/>
                            <w:tab w:pos="3532" w:val="left" w:leader="none"/>
                          </w:tabs>
                          <w:ind w:left="1876"/>
                          <w:jc w:val="left"/>
                          <w:rPr>
                            <w:sz w:val="18"/>
                          </w:rPr>
                        </w:pPr>
                        <w:r>
                          <w:rPr>
                            <w:sz w:val="18"/>
                          </w:rPr>
                          <w:t>-</w:t>
                          <w:tab/>
                          <w:t>-</w:t>
                          <w:tab/>
                          <w:t>103,683</w:t>
                        </w:r>
                      </w:p>
                    </w:tc>
                    <w:tc>
                      <w:tcPr>
                        <w:tcW w:w="815" w:type="dxa"/>
                      </w:tcPr>
                      <w:p>
                        <w:pPr>
                          <w:pStyle w:val="TableParagraph"/>
                          <w:ind w:right="181"/>
                          <w:rPr>
                            <w:sz w:val="18"/>
                          </w:rPr>
                        </w:pPr>
                        <w:r>
                          <w:rPr>
                            <w:sz w:val="18"/>
                          </w:rPr>
                          <w:t>16.78</w:t>
                        </w:r>
                      </w:p>
                    </w:tc>
                  </w:tr>
                  <w:tr>
                    <w:trPr>
                      <w:trHeight w:val="211" w:hRule="exact"/>
                    </w:trPr>
                    <w:tc>
                      <w:tcPr>
                        <w:tcW w:w="4140" w:type="dxa"/>
                      </w:tcPr>
                      <w:p>
                        <w:pPr>
                          <w:pStyle w:val="TableParagraph"/>
                          <w:ind w:left="232"/>
                          <w:jc w:val="left"/>
                          <w:rPr>
                            <w:sz w:val="18"/>
                          </w:rPr>
                        </w:pPr>
                        <w:r>
                          <w:rPr>
                            <w:sz w:val="18"/>
                          </w:rPr>
                          <w:t>Exercised</w:t>
                        </w:r>
                      </w:p>
                    </w:tc>
                    <w:tc>
                      <w:tcPr>
                        <w:tcW w:w="4370" w:type="dxa"/>
                        <w:gridSpan w:val="2"/>
                      </w:tcPr>
                      <w:p>
                        <w:pPr>
                          <w:pStyle w:val="TableParagraph"/>
                          <w:tabs>
                            <w:tab w:pos="2577" w:val="left" w:leader="none"/>
                            <w:tab w:pos="3407" w:val="left" w:leader="none"/>
                          </w:tabs>
                          <w:ind w:left="1156"/>
                          <w:jc w:val="left"/>
                          <w:rPr>
                            <w:sz w:val="18"/>
                          </w:rPr>
                        </w:pPr>
                        <w:r>
                          <w:rPr>
                            <w:sz w:val="18"/>
                          </w:rPr>
                          <w:t>(593,772)</w:t>
                          <w:tab/>
                          <w:t>6.85</w:t>
                          <w:tab/>
                          <w:t>(435,578)</w:t>
                        </w:r>
                      </w:p>
                    </w:tc>
                    <w:tc>
                      <w:tcPr>
                        <w:tcW w:w="815" w:type="dxa"/>
                      </w:tcPr>
                      <w:p>
                        <w:pPr>
                          <w:pStyle w:val="TableParagraph"/>
                          <w:ind w:right="181"/>
                          <w:rPr>
                            <w:sz w:val="18"/>
                          </w:rPr>
                        </w:pPr>
                        <w:r>
                          <w:rPr>
                            <w:sz w:val="18"/>
                          </w:rPr>
                          <w:t>11.93</w:t>
                        </w:r>
                      </w:p>
                    </w:tc>
                  </w:tr>
                  <w:tr>
                    <w:trPr>
                      <w:trHeight w:val="211" w:hRule="exact"/>
                    </w:trPr>
                    <w:tc>
                      <w:tcPr>
                        <w:tcW w:w="4140" w:type="dxa"/>
                      </w:tcPr>
                      <w:p>
                        <w:pPr>
                          <w:pStyle w:val="TableParagraph"/>
                          <w:ind w:left="232"/>
                          <w:jc w:val="left"/>
                          <w:rPr>
                            <w:sz w:val="18"/>
                          </w:rPr>
                        </w:pPr>
                        <w:r>
                          <w:rPr>
                            <w:sz w:val="18"/>
                          </w:rPr>
                          <w:t>Surrendered</w:t>
                        </w:r>
                      </w:p>
                    </w:tc>
                    <w:tc>
                      <w:tcPr>
                        <w:tcW w:w="4370" w:type="dxa"/>
                        <w:gridSpan w:val="2"/>
                      </w:tcPr>
                      <w:p>
                        <w:pPr>
                          <w:pStyle w:val="TableParagraph"/>
                          <w:tabs>
                            <w:tab w:pos="2476" w:val="left" w:leader="none"/>
                            <w:tab w:pos="3407" w:val="left" w:leader="none"/>
                          </w:tabs>
                          <w:ind w:left="1156"/>
                          <w:jc w:val="left"/>
                          <w:rPr>
                            <w:sz w:val="18"/>
                          </w:rPr>
                        </w:pPr>
                        <w:r>
                          <w:rPr>
                            <w:sz w:val="18"/>
                          </w:rPr>
                          <w:t>(375,669)</w:t>
                          <w:tab/>
                          <w:t>13.44</w:t>
                          <w:tab/>
                          <w:t>(142,477)</w:t>
                        </w:r>
                      </w:p>
                    </w:tc>
                    <w:tc>
                      <w:tcPr>
                        <w:tcW w:w="815" w:type="dxa"/>
                      </w:tcPr>
                      <w:p>
                        <w:pPr>
                          <w:pStyle w:val="TableParagraph"/>
                          <w:ind w:right="181"/>
                          <w:rPr>
                            <w:sz w:val="18"/>
                          </w:rPr>
                        </w:pPr>
                        <w:r>
                          <w:rPr>
                            <w:sz w:val="18"/>
                          </w:rPr>
                          <w:t>13.33</w:t>
                        </w:r>
                      </w:p>
                    </w:tc>
                  </w:tr>
                  <w:tr>
                    <w:trPr>
                      <w:trHeight w:val="211" w:hRule="exact"/>
                    </w:trPr>
                    <w:tc>
                      <w:tcPr>
                        <w:tcW w:w="4140" w:type="dxa"/>
                      </w:tcPr>
                      <w:p>
                        <w:pPr>
                          <w:pStyle w:val="TableParagraph"/>
                          <w:ind w:left="50"/>
                          <w:jc w:val="left"/>
                          <w:rPr>
                            <w:sz w:val="18"/>
                          </w:rPr>
                        </w:pPr>
                        <w:r>
                          <w:rPr>
                            <w:sz w:val="18"/>
                          </w:rPr>
                          <w:t>Outstanding December 31, 1996</w:t>
                        </w:r>
                      </w:p>
                    </w:tc>
                    <w:tc>
                      <w:tcPr>
                        <w:tcW w:w="4370" w:type="dxa"/>
                        <w:gridSpan w:val="2"/>
                      </w:tcPr>
                      <w:p>
                        <w:pPr>
                          <w:pStyle w:val="TableParagraph"/>
                          <w:tabs>
                            <w:tab w:pos="2476" w:val="left" w:leader="none"/>
                            <w:tab w:pos="3277" w:val="left" w:leader="none"/>
                          </w:tabs>
                          <w:ind w:left="1127"/>
                          <w:jc w:val="left"/>
                          <w:rPr>
                            <w:sz w:val="18"/>
                          </w:rPr>
                        </w:pPr>
                        <w:r>
                          <w:rPr>
                            <w:sz w:val="18"/>
                          </w:rPr>
                          <w:t>9,353,894</w:t>
                          <w:tab/>
                          <w:t>11.03</w:t>
                          <w:tab/>
                          <w:t>22,506,032</w:t>
                        </w:r>
                      </w:p>
                    </w:tc>
                    <w:tc>
                      <w:tcPr>
                        <w:tcW w:w="815" w:type="dxa"/>
                      </w:tcPr>
                      <w:p>
                        <w:pPr>
                          <w:pStyle w:val="TableParagraph"/>
                          <w:ind w:right="181"/>
                          <w:rPr>
                            <w:sz w:val="18"/>
                          </w:rPr>
                        </w:pPr>
                        <w:r>
                          <w:rPr>
                            <w:sz w:val="18"/>
                          </w:rPr>
                          <w:t>13.36</w:t>
                        </w:r>
                      </w:p>
                    </w:tc>
                  </w:tr>
                  <w:tr>
                    <w:trPr>
                      <w:trHeight w:val="317" w:hRule="exact"/>
                    </w:trPr>
                    <w:tc>
                      <w:tcPr>
                        <w:tcW w:w="4140" w:type="dxa"/>
                      </w:tcPr>
                      <w:p>
                        <w:pPr>
                          <w:pStyle w:val="TableParagraph"/>
                          <w:ind w:left="232"/>
                          <w:jc w:val="left"/>
                          <w:rPr>
                            <w:sz w:val="18"/>
                          </w:rPr>
                        </w:pPr>
                        <w:r>
                          <w:rPr>
                            <w:sz w:val="18"/>
                          </w:rPr>
                          <w:t>Granted — Incentive Plans</w:t>
                        </w:r>
                      </w:p>
                    </w:tc>
                    <w:tc>
                      <w:tcPr>
                        <w:tcW w:w="4370" w:type="dxa"/>
                        <w:gridSpan w:val="2"/>
                      </w:tcPr>
                      <w:p>
                        <w:pPr>
                          <w:pStyle w:val="TableParagraph"/>
                          <w:tabs>
                            <w:tab w:pos="2476" w:val="left" w:leader="none"/>
                            <w:tab w:pos="4127" w:val="left" w:leader="none"/>
                          </w:tabs>
                          <w:ind w:left="1127"/>
                          <w:jc w:val="left"/>
                          <w:rPr>
                            <w:sz w:val="18"/>
                          </w:rPr>
                        </w:pPr>
                        <w:r>
                          <w:rPr>
                            <w:sz w:val="18"/>
                          </w:rPr>
                          <w:t>2,455,158</w:t>
                          <w:tab/>
                          <w:t>14.51</w:t>
                          <w:tab/>
                          <w:t>-</w:t>
                        </w:r>
                      </w:p>
                    </w:tc>
                    <w:tc>
                      <w:tcPr>
                        <w:tcW w:w="815" w:type="dxa"/>
                      </w:tcPr>
                      <w:p>
                        <w:pPr>
                          <w:pStyle w:val="TableParagraph"/>
                          <w:ind w:right="183"/>
                          <w:rPr>
                            <w:sz w:val="18"/>
                          </w:rPr>
                        </w:pPr>
                        <w:r>
                          <w:rPr>
                            <w:w w:val="101"/>
                            <w:sz w:val="18"/>
                          </w:rPr>
                          <w:t>-</w:t>
                        </w:r>
                      </w:p>
                    </w:tc>
                  </w:tr>
                  <w:tr>
                    <w:trPr>
                      <w:trHeight w:val="317" w:hRule="exact"/>
                    </w:trPr>
                    <w:tc>
                      <w:tcPr>
                        <w:tcW w:w="4140" w:type="dxa"/>
                      </w:tcPr>
                      <w:p>
                        <w:pPr>
                          <w:pStyle w:val="TableParagraph"/>
                          <w:spacing w:before="105"/>
                          <w:ind w:left="232"/>
                          <w:jc w:val="left"/>
                          <w:rPr>
                            <w:sz w:val="18"/>
                          </w:rPr>
                        </w:pPr>
                        <w:r>
                          <w:rPr>
                            <w:sz w:val="18"/>
                          </w:rPr>
                          <w:t>Granted — Other Non-Qualified</w:t>
                        </w:r>
                      </w:p>
                    </w:tc>
                    <w:tc>
                      <w:tcPr>
                        <w:tcW w:w="5185" w:type="dxa"/>
                        <w:gridSpan w:val="3"/>
                      </w:tcPr>
                      <w:p>
                        <w:pPr/>
                      </w:p>
                    </w:tc>
                  </w:tr>
                  <w:tr>
                    <w:trPr>
                      <w:trHeight w:val="211" w:hRule="exact"/>
                    </w:trPr>
                    <w:tc>
                      <w:tcPr>
                        <w:tcW w:w="4140" w:type="dxa"/>
                      </w:tcPr>
                      <w:p>
                        <w:pPr>
                          <w:pStyle w:val="TableParagraph"/>
                          <w:ind w:left="2191" w:right="1455"/>
                          <w:jc w:val="center"/>
                          <w:rPr>
                            <w:sz w:val="18"/>
                          </w:rPr>
                        </w:pPr>
                        <w:r>
                          <w:rPr>
                            <w:sz w:val="18"/>
                          </w:rPr>
                          <w:t>Plans</w:t>
                        </w:r>
                      </w:p>
                    </w:tc>
                    <w:tc>
                      <w:tcPr>
                        <w:tcW w:w="5185" w:type="dxa"/>
                        <w:gridSpan w:val="3"/>
                      </w:tcPr>
                      <w:p>
                        <w:pPr>
                          <w:pStyle w:val="TableParagraph"/>
                          <w:tabs>
                            <w:tab w:pos="2869" w:val="left" w:leader="none"/>
                            <w:tab w:pos="3532" w:val="left" w:leader="none"/>
                            <w:tab w:pos="4545" w:val="left" w:leader="none"/>
                          </w:tabs>
                          <w:ind w:left="1876"/>
                          <w:jc w:val="left"/>
                          <w:rPr>
                            <w:sz w:val="18"/>
                          </w:rPr>
                        </w:pPr>
                        <w:r>
                          <w:rPr>
                            <w:sz w:val="18"/>
                          </w:rPr>
                          <w:t>-</w:t>
                          <w:tab/>
                          <w:t>-</w:t>
                          <w:tab/>
                          <w:t>145,406</w:t>
                          <w:tab/>
                          <w:t>14.51</w:t>
                        </w:r>
                      </w:p>
                    </w:tc>
                  </w:tr>
                  <w:tr>
                    <w:trPr>
                      <w:trHeight w:val="211" w:hRule="exact"/>
                    </w:trPr>
                    <w:tc>
                      <w:tcPr>
                        <w:tcW w:w="4140" w:type="dxa"/>
                      </w:tcPr>
                      <w:p>
                        <w:pPr>
                          <w:pStyle w:val="TableParagraph"/>
                          <w:ind w:left="232"/>
                          <w:jc w:val="left"/>
                          <w:rPr>
                            <w:sz w:val="18"/>
                          </w:rPr>
                        </w:pPr>
                        <w:r>
                          <w:rPr>
                            <w:sz w:val="18"/>
                          </w:rPr>
                          <w:t>Exercised</w:t>
                        </w:r>
                      </w:p>
                    </w:tc>
                    <w:tc>
                      <w:tcPr>
                        <w:tcW w:w="5185" w:type="dxa"/>
                        <w:gridSpan w:val="3"/>
                      </w:tcPr>
                      <w:p>
                        <w:pPr>
                          <w:pStyle w:val="TableParagraph"/>
                          <w:tabs>
                            <w:tab w:pos="2577" w:val="left" w:leader="none"/>
                            <w:tab w:pos="3253" w:val="left" w:leader="none"/>
                            <w:tab w:pos="4545" w:val="left" w:leader="none"/>
                          </w:tabs>
                          <w:ind w:left="1002"/>
                          <w:jc w:val="left"/>
                          <w:rPr>
                            <w:sz w:val="18"/>
                          </w:rPr>
                        </w:pPr>
                        <w:r>
                          <w:rPr>
                            <w:sz w:val="18"/>
                          </w:rPr>
                          <w:t>(1,151,926)</w:t>
                          <w:tab/>
                          <w:t>9.04</w:t>
                          <w:tab/>
                          <w:t>(1,771,831)</w:t>
                          <w:tab/>
                          <w:t>13.27</w:t>
                        </w:r>
                      </w:p>
                    </w:tc>
                  </w:tr>
                  <w:tr>
                    <w:trPr>
                      <w:trHeight w:val="211" w:hRule="exact"/>
                    </w:trPr>
                    <w:tc>
                      <w:tcPr>
                        <w:tcW w:w="4140" w:type="dxa"/>
                      </w:tcPr>
                      <w:p>
                        <w:pPr>
                          <w:pStyle w:val="TableParagraph"/>
                          <w:ind w:left="232"/>
                          <w:jc w:val="left"/>
                          <w:rPr>
                            <w:sz w:val="18"/>
                          </w:rPr>
                        </w:pPr>
                        <w:r>
                          <w:rPr>
                            <w:sz w:val="18"/>
                          </w:rPr>
                          <w:t>Surrendered</w:t>
                        </w:r>
                      </w:p>
                    </w:tc>
                    <w:tc>
                      <w:tcPr>
                        <w:tcW w:w="5185" w:type="dxa"/>
                        <w:gridSpan w:val="3"/>
                      </w:tcPr>
                      <w:p>
                        <w:pPr>
                          <w:pStyle w:val="TableParagraph"/>
                          <w:tabs>
                            <w:tab w:pos="2476" w:val="left" w:leader="none"/>
                            <w:tab w:pos="3508" w:val="left" w:leader="none"/>
                            <w:tab w:pos="4545" w:val="left" w:leader="none"/>
                          </w:tabs>
                          <w:ind w:left="1156"/>
                          <w:jc w:val="left"/>
                          <w:rPr>
                            <w:sz w:val="18"/>
                          </w:rPr>
                        </w:pPr>
                        <w:r>
                          <w:rPr>
                            <w:sz w:val="18"/>
                            <w:u w:val="single"/>
                          </w:rPr>
                          <w:t>(670,013)</w:t>
                        </w:r>
                        <w:r>
                          <w:rPr>
                            <w:sz w:val="18"/>
                          </w:rPr>
                          <w:tab/>
                          <w:t>14.58</w:t>
                          <w:tab/>
                        </w:r>
                        <w:r>
                          <w:rPr>
                            <w:sz w:val="18"/>
                            <w:u w:val="single"/>
                          </w:rPr>
                          <w:t>(99,212)</w:t>
                        </w:r>
                        <w:r>
                          <w:rPr>
                            <w:sz w:val="18"/>
                          </w:rPr>
                          <w:tab/>
                          <w:t>13.59</w:t>
                        </w:r>
                      </w:p>
                    </w:tc>
                  </w:tr>
                  <w:tr>
                    <w:trPr>
                      <w:trHeight w:val="211" w:hRule="exact"/>
                    </w:trPr>
                    <w:tc>
                      <w:tcPr>
                        <w:tcW w:w="4140" w:type="dxa"/>
                      </w:tcPr>
                      <w:p>
                        <w:pPr>
                          <w:pStyle w:val="TableParagraph"/>
                          <w:ind w:left="50"/>
                          <w:jc w:val="left"/>
                          <w:rPr>
                            <w:sz w:val="18"/>
                          </w:rPr>
                        </w:pPr>
                        <w:r>
                          <w:rPr>
                            <w:sz w:val="18"/>
                          </w:rPr>
                          <w:t>Outstanding December 31, 1997</w:t>
                        </w:r>
                      </w:p>
                    </w:tc>
                    <w:tc>
                      <w:tcPr>
                        <w:tcW w:w="5185" w:type="dxa"/>
                        <w:gridSpan w:val="3"/>
                      </w:tcPr>
                      <w:p>
                        <w:pPr>
                          <w:pStyle w:val="TableParagraph"/>
                          <w:tabs>
                            <w:tab w:pos="2375" w:val="left" w:leader="none"/>
                            <w:tab w:pos="3277" w:val="left" w:leader="none"/>
                            <w:tab w:pos="4444" w:val="left" w:leader="none"/>
                          </w:tabs>
                          <w:ind w:left="1127"/>
                          <w:jc w:val="left"/>
                          <w:rPr>
                            <w:sz w:val="18"/>
                          </w:rPr>
                        </w:pPr>
                        <w:r>
                          <w:rPr>
                            <w:sz w:val="18"/>
                            <w:u w:val="thick"/>
                          </w:rPr>
                          <w:t>9,987,113</w:t>
                        </w:r>
                        <w:r>
                          <w:rPr>
                            <w:sz w:val="18"/>
                          </w:rPr>
                          <w:tab/>
                          <w:t>$11.87</w:t>
                          <w:tab/>
                        </w:r>
                        <w:r>
                          <w:rPr>
                            <w:sz w:val="18"/>
                            <w:u w:val="thick"/>
                          </w:rPr>
                          <w:t>21,662,395</w:t>
                          <w:tab/>
                        </w:r>
                        <w:r>
                          <w:rPr>
                            <w:sz w:val="18"/>
                          </w:rPr>
                          <w:t>$13.63</w:t>
                        </w:r>
                      </w:p>
                    </w:tc>
                  </w:tr>
                  <w:tr>
                    <w:trPr>
                      <w:trHeight w:val="211" w:hRule="exact"/>
                    </w:trPr>
                    <w:tc>
                      <w:tcPr>
                        <w:tcW w:w="4140" w:type="dxa"/>
                      </w:tcPr>
                      <w:p>
                        <w:pPr>
                          <w:pStyle w:val="TableParagraph"/>
                          <w:ind w:left="50"/>
                          <w:jc w:val="left"/>
                          <w:rPr>
                            <w:sz w:val="18"/>
                          </w:rPr>
                        </w:pPr>
                        <w:r>
                          <w:rPr>
                            <w:sz w:val="18"/>
                          </w:rPr>
                          <w:t>Exercisable December 31, 1997</w:t>
                        </w:r>
                      </w:p>
                    </w:tc>
                    <w:tc>
                      <w:tcPr>
                        <w:tcW w:w="5185" w:type="dxa"/>
                        <w:gridSpan w:val="3"/>
                      </w:tcPr>
                      <w:p>
                        <w:pPr>
                          <w:pStyle w:val="TableParagraph"/>
                          <w:tabs>
                            <w:tab w:pos="3378" w:val="left" w:leader="none"/>
                          </w:tabs>
                          <w:ind w:left="1127"/>
                          <w:jc w:val="left"/>
                          <w:rPr>
                            <w:sz w:val="18"/>
                          </w:rPr>
                        </w:pPr>
                        <w:r>
                          <w:rPr>
                            <w:sz w:val="18"/>
                          </w:rPr>
                          <w:t>2,081,222</w:t>
                          <w:tab/>
                          <w:t>7,132,653</w:t>
                        </w:r>
                      </w:p>
                    </w:tc>
                  </w:tr>
                  <w:tr>
                    <w:trPr>
                      <w:trHeight w:val="207" w:hRule="exact"/>
                    </w:trPr>
                    <w:tc>
                      <w:tcPr>
                        <w:tcW w:w="4140" w:type="dxa"/>
                      </w:tcPr>
                      <w:p>
                        <w:pPr>
                          <w:pStyle w:val="TableParagraph"/>
                          <w:ind w:left="50"/>
                          <w:jc w:val="left"/>
                          <w:rPr>
                            <w:sz w:val="18"/>
                          </w:rPr>
                        </w:pPr>
                        <w:r>
                          <w:rPr>
                            <w:sz w:val="18"/>
                          </w:rPr>
                          <w:t>Available for granting in future periods</w:t>
                        </w:r>
                      </w:p>
                    </w:tc>
                    <w:tc>
                      <w:tcPr>
                        <w:tcW w:w="5185" w:type="dxa"/>
                        <w:gridSpan w:val="3"/>
                      </w:tcPr>
                      <w:p>
                        <w:pPr>
                          <w:pStyle w:val="TableParagraph"/>
                          <w:tabs>
                            <w:tab w:pos="3378" w:val="left" w:leader="none"/>
                          </w:tabs>
                          <w:ind w:left="1127"/>
                          <w:jc w:val="left"/>
                          <w:rPr>
                            <w:sz w:val="18"/>
                          </w:rPr>
                        </w:pPr>
                        <w:r>
                          <w:rPr>
                            <w:sz w:val="18"/>
                          </w:rPr>
                          <w:t>9,244,087</w:t>
                          <w:tab/>
                          <w:t>4,853,562</w:t>
                        </w:r>
                      </w:p>
                    </w:tc>
                  </w:tr>
                </w:tbl>
                <w:p>
                  <w:pPr>
                    <w:pStyle w:val="BodyText"/>
                  </w:pPr>
                </w:p>
              </w:txbxContent>
            </v:textbox>
            <w10:wrap type="none"/>
          </v:shape>
        </w:pict>
      </w:r>
      <w:r>
        <w:rPr/>
        <w:t>Information regarding the Company’s five fixed stock option plans, as adjusted for the three-for-two stock split on November 26, 1997, is summarized below:</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tabs>
          <w:tab w:pos="6126" w:val="left" w:leader="none"/>
          <w:tab w:pos="7119" w:val="left" w:leader="none"/>
          <w:tab w:pos="7782" w:val="left" w:leader="none"/>
          <w:tab w:pos="8795" w:val="left" w:leader="none"/>
        </w:tabs>
        <w:spacing w:before="185"/>
        <w:ind w:left="342" w:right="0" w:firstLine="0"/>
        <w:jc w:val="left"/>
        <w:rPr>
          <w:sz w:val="18"/>
        </w:rPr>
      </w:pPr>
      <w:r>
        <w:rPr>
          <w:sz w:val="18"/>
        </w:rPr>
        <w:t>Granted —</w:t>
      </w:r>
      <w:r>
        <w:rPr>
          <w:spacing w:val="10"/>
          <w:sz w:val="18"/>
        </w:rPr>
        <w:t> </w:t>
      </w:r>
      <w:r>
        <w:rPr>
          <w:sz w:val="18"/>
        </w:rPr>
        <w:t>SWAPA</w:t>
      </w:r>
      <w:r>
        <w:rPr>
          <w:spacing w:val="6"/>
          <w:sz w:val="18"/>
        </w:rPr>
        <w:t> </w:t>
      </w:r>
      <w:r>
        <w:rPr>
          <w:sz w:val="18"/>
        </w:rPr>
        <w:t>Plan</w:t>
        <w:tab/>
        <w:t>-</w:t>
        <w:tab/>
        <w:t>-</w:t>
        <w:tab/>
        <w:t>882,000</w:t>
        <w:tab/>
        <w:t>19.79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BodyText"/>
        <w:spacing w:line="240" w:lineRule="exact"/>
        <w:ind w:left="160" w:right="246" w:firstLine="182"/>
      </w:pPr>
      <w:r>
        <w:rPr/>
        <w:t>The following table summarizes information about stock options outstanding under the five fixed option plans at December 31, 1997:</w:t>
      </w:r>
    </w:p>
    <w:p>
      <w:pPr>
        <w:pStyle w:val="BodyText"/>
        <w:rPr>
          <w:sz w:val="26"/>
        </w:rPr>
      </w:pPr>
    </w:p>
    <w:p>
      <w:pPr>
        <w:tabs>
          <w:tab w:pos="4441" w:val="left" w:leader="none"/>
          <w:tab w:pos="7255" w:val="left" w:leader="none"/>
          <w:tab w:pos="7628" w:val="left" w:leader="none"/>
        </w:tabs>
        <w:spacing w:line="244" w:lineRule="auto" w:before="209" w:after="4"/>
        <w:ind w:left="5022" w:right="391" w:hanging="1623"/>
        <w:jc w:val="left"/>
        <w:rPr>
          <w:sz w:val="18"/>
        </w:rPr>
      </w:pPr>
      <w:r>
        <w:rPr>
          <w:w w:val="101"/>
          <w:sz w:val="18"/>
          <w:u w:val="single"/>
        </w:rPr>
        <w:t> </w:t>
      </w:r>
      <w:r>
        <w:rPr>
          <w:sz w:val="18"/>
          <w:u w:val="single"/>
        </w:rPr>
        <w:tab/>
        <w:t>Options</w:t>
      </w:r>
      <w:r>
        <w:rPr>
          <w:spacing w:val="11"/>
          <w:sz w:val="18"/>
          <w:u w:val="single"/>
        </w:rPr>
        <w:t> </w:t>
      </w:r>
      <w:r>
        <w:rPr>
          <w:sz w:val="18"/>
          <w:u w:val="single"/>
        </w:rPr>
        <w:t>Outstanding</w:t>
        <w:tab/>
      </w:r>
      <w:r>
        <w:rPr>
          <w:sz w:val="18"/>
        </w:rPr>
        <w:tab/>
      </w:r>
      <w:r>
        <w:rPr>
          <w:sz w:val="18"/>
          <w:u w:val="single"/>
        </w:rPr>
        <w:t>Options</w:t>
      </w:r>
      <w:r>
        <w:rPr>
          <w:spacing w:val="9"/>
          <w:sz w:val="18"/>
          <w:u w:val="single"/>
        </w:rPr>
        <w:t> </w:t>
      </w:r>
      <w:r>
        <w:rPr>
          <w:sz w:val="18"/>
          <w:u w:val="single"/>
        </w:rPr>
        <w:t>Exercisable</w:t>
      </w:r>
      <w:r>
        <w:rPr>
          <w:w w:val="101"/>
          <w:sz w:val="18"/>
        </w:rPr>
        <w:t> </w:t>
      </w:r>
      <w:r>
        <w:rPr>
          <w:sz w:val="18"/>
        </w:rPr>
        <w:t>Weighted-</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52"/>
        <w:gridCol w:w="2244"/>
        <w:gridCol w:w="1494"/>
        <w:gridCol w:w="1221"/>
        <w:gridCol w:w="1121"/>
        <w:gridCol w:w="966"/>
      </w:tblGrid>
      <w:tr>
        <w:trPr>
          <w:trHeight w:val="630" w:hRule="exact"/>
        </w:trPr>
        <w:tc>
          <w:tcPr>
            <w:tcW w:w="2352" w:type="dxa"/>
          </w:tcPr>
          <w:p>
            <w:pPr>
              <w:pStyle w:val="TableParagraph"/>
              <w:jc w:val="left"/>
              <w:rPr>
                <w:sz w:val="18"/>
              </w:rPr>
            </w:pPr>
          </w:p>
          <w:p>
            <w:pPr>
              <w:pStyle w:val="TableParagraph"/>
              <w:spacing w:line="244" w:lineRule="auto"/>
              <w:ind w:left="50" w:right="1511"/>
              <w:jc w:val="left"/>
              <w:rPr>
                <w:sz w:val="18"/>
              </w:rPr>
            </w:pPr>
            <w:r>
              <w:rPr>
                <w:sz w:val="18"/>
              </w:rPr>
              <w:t>Range Of Exercise</w:t>
            </w:r>
          </w:p>
        </w:tc>
        <w:tc>
          <w:tcPr>
            <w:tcW w:w="2244" w:type="dxa"/>
          </w:tcPr>
          <w:p>
            <w:pPr>
              <w:pStyle w:val="TableParagraph"/>
              <w:jc w:val="left"/>
              <w:rPr>
                <w:sz w:val="18"/>
              </w:rPr>
            </w:pPr>
          </w:p>
          <w:p>
            <w:pPr>
              <w:pStyle w:val="TableParagraph"/>
              <w:spacing w:line="244" w:lineRule="auto"/>
              <w:ind w:left="938"/>
              <w:jc w:val="left"/>
              <w:rPr>
                <w:sz w:val="18"/>
              </w:rPr>
            </w:pPr>
            <w:r>
              <w:rPr>
                <w:sz w:val="18"/>
              </w:rPr>
              <w:t>Number Outstanding</w:t>
            </w:r>
          </w:p>
        </w:tc>
        <w:tc>
          <w:tcPr>
            <w:tcW w:w="1494" w:type="dxa"/>
          </w:tcPr>
          <w:p>
            <w:pPr>
              <w:pStyle w:val="TableParagraph"/>
              <w:spacing w:line="244" w:lineRule="auto"/>
              <w:ind w:left="316" w:right="237"/>
              <w:jc w:val="left"/>
              <w:rPr>
                <w:sz w:val="18"/>
              </w:rPr>
            </w:pPr>
            <w:r>
              <w:rPr>
                <w:sz w:val="18"/>
              </w:rPr>
              <w:t>Average Remaining Contractual</w:t>
            </w:r>
          </w:p>
        </w:tc>
        <w:tc>
          <w:tcPr>
            <w:tcW w:w="1221" w:type="dxa"/>
          </w:tcPr>
          <w:p>
            <w:pPr>
              <w:pStyle w:val="TableParagraph"/>
              <w:spacing w:line="244" w:lineRule="auto"/>
              <w:ind w:left="263" w:right="117"/>
              <w:jc w:val="left"/>
              <w:rPr>
                <w:sz w:val="18"/>
              </w:rPr>
            </w:pPr>
            <w:r>
              <w:rPr>
                <w:sz w:val="18"/>
              </w:rPr>
              <w:t>Weighted- Average Exercise</w:t>
            </w:r>
          </w:p>
        </w:tc>
        <w:tc>
          <w:tcPr>
            <w:tcW w:w="1121" w:type="dxa"/>
          </w:tcPr>
          <w:p>
            <w:pPr>
              <w:pStyle w:val="TableParagraph"/>
              <w:jc w:val="left"/>
              <w:rPr>
                <w:sz w:val="18"/>
              </w:rPr>
            </w:pPr>
          </w:p>
          <w:p>
            <w:pPr>
              <w:pStyle w:val="TableParagraph"/>
              <w:spacing w:line="244" w:lineRule="auto"/>
              <w:ind w:left="122" w:right="48"/>
              <w:jc w:val="left"/>
              <w:rPr>
                <w:sz w:val="18"/>
              </w:rPr>
            </w:pPr>
            <w:r>
              <w:rPr>
                <w:sz w:val="18"/>
              </w:rPr>
              <w:t>Number Exercisable</w:t>
            </w:r>
          </w:p>
        </w:tc>
        <w:tc>
          <w:tcPr>
            <w:tcW w:w="966" w:type="dxa"/>
          </w:tcPr>
          <w:p>
            <w:pPr>
              <w:pStyle w:val="TableParagraph"/>
              <w:spacing w:line="244" w:lineRule="auto"/>
              <w:ind w:left="81" w:right="44"/>
              <w:jc w:val="left"/>
              <w:rPr>
                <w:sz w:val="18"/>
              </w:rPr>
            </w:pPr>
            <w:r>
              <w:rPr>
                <w:sz w:val="18"/>
              </w:rPr>
              <w:t>Weighted- Average Exercise</w:t>
            </w:r>
          </w:p>
        </w:tc>
      </w:tr>
      <w:tr>
        <w:trPr>
          <w:trHeight w:val="207" w:hRule="exact"/>
        </w:trPr>
        <w:tc>
          <w:tcPr>
            <w:tcW w:w="2352" w:type="dxa"/>
            <w:tcBorders>
              <w:bottom w:val="single" w:sz="6" w:space="0" w:color="000000"/>
            </w:tcBorders>
          </w:tcPr>
          <w:p>
            <w:pPr>
              <w:pStyle w:val="TableParagraph"/>
              <w:ind w:left="50"/>
              <w:jc w:val="left"/>
              <w:rPr>
                <w:sz w:val="18"/>
              </w:rPr>
            </w:pPr>
            <w:r>
              <w:rPr>
                <w:sz w:val="18"/>
              </w:rPr>
              <w:t>Prices</w:t>
            </w:r>
          </w:p>
        </w:tc>
        <w:tc>
          <w:tcPr>
            <w:tcW w:w="2244" w:type="dxa"/>
            <w:tcBorders>
              <w:bottom w:val="single" w:sz="6" w:space="0" w:color="000000"/>
            </w:tcBorders>
          </w:tcPr>
          <w:p>
            <w:pPr>
              <w:pStyle w:val="TableParagraph"/>
              <w:ind w:right="366"/>
              <w:rPr>
                <w:sz w:val="18"/>
              </w:rPr>
            </w:pPr>
            <w:r>
              <w:rPr>
                <w:sz w:val="18"/>
              </w:rPr>
              <w:t>At 12/31/97</w:t>
            </w:r>
          </w:p>
        </w:tc>
        <w:tc>
          <w:tcPr>
            <w:tcW w:w="1494" w:type="dxa"/>
            <w:tcBorders>
              <w:bottom w:val="single" w:sz="6" w:space="0" w:color="000000"/>
            </w:tcBorders>
          </w:tcPr>
          <w:p>
            <w:pPr>
              <w:pStyle w:val="TableParagraph"/>
              <w:ind w:left="614" w:right="549"/>
              <w:jc w:val="center"/>
              <w:rPr>
                <w:sz w:val="18"/>
              </w:rPr>
            </w:pPr>
            <w:r>
              <w:rPr>
                <w:sz w:val="18"/>
              </w:rPr>
              <w:t>Life</w:t>
            </w:r>
          </w:p>
        </w:tc>
        <w:tc>
          <w:tcPr>
            <w:tcW w:w="1221" w:type="dxa"/>
            <w:tcBorders>
              <w:bottom w:val="single" w:sz="6" w:space="0" w:color="000000"/>
            </w:tcBorders>
          </w:tcPr>
          <w:p>
            <w:pPr>
              <w:pStyle w:val="TableParagraph"/>
              <w:ind w:right="385"/>
              <w:rPr>
                <w:sz w:val="18"/>
              </w:rPr>
            </w:pPr>
            <w:r>
              <w:rPr>
                <w:sz w:val="18"/>
              </w:rPr>
              <w:t>Price</w:t>
            </w:r>
          </w:p>
        </w:tc>
        <w:tc>
          <w:tcPr>
            <w:tcW w:w="1121" w:type="dxa"/>
            <w:tcBorders>
              <w:bottom w:val="single" w:sz="6" w:space="0" w:color="000000"/>
            </w:tcBorders>
          </w:tcPr>
          <w:p>
            <w:pPr>
              <w:pStyle w:val="TableParagraph"/>
              <w:ind w:right="60"/>
              <w:rPr>
                <w:sz w:val="18"/>
              </w:rPr>
            </w:pPr>
            <w:r>
              <w:rPr>
                <w:sz w:val="18"/>
              </w:rPr>
              <w:t>At 12/31/97</w:t>
            </w:r>
          </w:p>
        </w:tc>
        <w:tc>
          <w:tcPr>
            <w:tcW w:w="966" w:type="dxa"/>
            <w:tcBorders>
              <w:bottom w:val="single" w:sz="6" w:space="0" w:color="000000"/>
            </w:tcBorders>
          </w:tcPr>
          <w:p>
            <w:pPr>
              <w:pStyle w:val="TableParagraph"/>
              <w:ind w:right="312"/>
              <w:rPr>
                <w:sz w:val="18"/>
              </w:rPr>
            </w:pPr>
            <w:r>
              <w:rPr>
                <w:sz w:val="18"/>
              </w:rPr>
              <w:t>Price</w:t>
            </w:r>
          </w:p>
        </w:tc>
      </w:tr>
      <w:tr>
        <w:trPr>
          <w:trHeight w:val="215" w:hRule="exact"/>
        </w:trPr>
        <w:tc>
          <w:tcPr>
            <w:tcW w:w="2352" w:type="dxa"/>
            <w:tcBorders>
              <w:top w:val="single" w:sz="6" w:space="0" w:color="000000"/>
            </w:tcBorders>
          </w:tcPr>
          <w:p>
            <w:pPr>
              <w:pStyle w:val="TableParagraph"/>
              <w:spacing w:before="8"/>
              <w:ind w:left="50"/>
              <w:jc w:val="left"/>
              <w:rPr>
                <w:sz w:val="18"/>
              </w:rPr>
            </w:pPr>
            <w:r>
              <w:rPr>
                <w:sz w:val="18"/>
              </w:rPr>
              <w:t>$4.01 to $5.21</w:t>
            </w:r>
          </w:p>
        </w:tc>
        <w:tc>
          <w:tcPr>
            <w:tcW w:w="2244" w:type="dxa"/>
            <w:tcBorders>
              <w:top w:val="single" w:sz="6" w:space="0" w:color="000000"/>
            </w:tcBorders>
          </w:tcPr>
          <w:p>
            <w:pPr>
              <w:pStyle w:val="TableParagraph"/>
              <w:spacing w:before="8"/>
              <w:ind w:right="400"/>
              <w:rPr>
                <w:sz w:val="18"/>
              </w:rPr>
            </w:pPr>
            <w:r>
              <w:rPr>
                <w:sz w:val="18"/>
              </w:rPr>
              <w:t>3,084,861</w:t>
            </w:r>
          </w:p>
        </w:tc>
        <w:tc>
          <w:tcPr>
            <w:tcW w:w="1494" w:type="dxa"/>
            <w:tcBorders>
              <w:top w:val="single" w:sz="6" w:space="0" w:color="000000"/>
            </w:tcBorders>
          </w:tcPr>
          <w:p>
            <w:pPr>
              <w:pStyle w:val="TableParagraph"/>
              <w:spacing w:before="8"/>
              <w:ind w:left="494"/>
              <w:jc w:val="left"/>
              <w:rPr>
                <w:sz w:val="18"/>
              </w:rPr>
            </w:pPr>
            <w:r>
              <w:rPr>
                <w:sz w:val="18"/>
              </w:rPr>
              <w:t>3.04 yrs.</w:t>
            </w:r>
          </w:p>
        </w:tc>
        <w:tc>
          <w:tcPr>
            <w:tcW w:w="1221" w:type="dxa"/>
            <w:tcBorders>
              <w:top w:val="single" w:sz="6" w:space="0" w:color="000000"/>
            </w:tcBorders>
          </w:tcPr>
          <w:p>
            <w:pPr>
              <w:pStyle w:val="TableParagraph"/>
              <w:spacing w:before="8"/>
              <w:ind w:right="417"/>
              <w:rPr>
                <w:sz w:val="18"/>
              </w:rPr>
            </w:pPr>
            <w:r>
              <w:rPr>
                <w:sz w:val="18"/>
              </w:rPr>
              <w:t>$4.09</w:t>
            </w:r>
          </w:p>
        </w:tc>
        <w:tc>
          <w:tcPr>
            <w:tcW w:w="1121" w:type="dxa"/>
            <w:tcBorders>
              <w:top w:val="single" w:sz="6" w:space="0" w:color="000000"/>
            </w:tcBorders>
          </w:tcPr>
          <w:p>
            <w:pPr>
              <w:pStyle w:val="TableParagraph"/>
              <w:spacing w:before="8"/>
              <w:ind w:right="98"/>
              <w:rPr>
                <w:sz w:val="18"/>
              </w:rPr>
            </w:pPr>
            <w:r>
              <w:rPr>
                <w:sz w:val="18"/>
              </w:rPr>
              <w:t>993,711</w:t>
            </w:r>
          </w:p>
        </w:tc>
        <w:tc>
          <w:tcPr>
            <w:tcW w:w="966" w:type="dxa"/>
            <w:tcBorders>
              <w:top w:val="single" w:sz="6" w:space="0" w:color="000000"/>
            </w:tcBorders>
          </w:tcPr>
          <w:p>
            <w:pPr>
              <w:pStyle w:val="TableParagraph"/>
              <w:spacing w:before="8"/>
              <w:ind w:right="345"/>
              <w:rPr>
                <w:sz w:val="18"/>
              </w:rPr>
            </w:pPr>
            <w:r>
              <w:rPr>
                <w:sz w:val="18"/>
              </w:rPr>
              <w:t>$4.25</w:t>
            </w:r>
          </w:p>
        </w:tc>
      </w:tr>
      <w:tr>
        <w:trPr>
          <w:trHeight w:val="211" w:hRule="exact"/>
        </w:trPr>
        <w:tc>
          <w:tcPr>
            <w:tcW w:w="2352" w:type="dxa"/>
          </w:tcPr>
          <w:p>
            <w:pPr>
              <w:pStyle w:val="TableParagraph"/>
              <w:ind w:left="50"/>
              <w:jc w:val="left"/>
              <w:rPr>
                <w:sz w:val="18"/>
              </w:rPr>
            </w:pPr>
            <w:r>
              <w:rPr>
                <w:sz w:val="18"/>
              </w:rPr>
              <w:t>$7.56 to $8.04</w:t>
            </w:r>
          </w:p>
        </w:tc>
        <w:tc>
          <w:tcPr>
            <w:tcW w:w="2244" w:type="dxa"/>
          </w:tcPr>
          <w:p>
            <w:pPr>
              <w:pStyle w:val="TableParagraph"/>
              <w:ind w:right="400"/>
              <w:rPr>
                <w:sz w:val="18"/>
              </w:rPr>
            </w:pPr>
            <w:r>
              <w:rPr>
                <w:sz w:val="18"/>
              </w:rPr>
              <w:t>415,464</w:t>
            </w:r>
          </w:p>
        </w:tc>
        <w:tc>
          <w:tcPr>
            <w:tcW w:w="1494" w:type="dxa"/>
          </w:tcPr>
          <w:p>
            <w:pPr>
              <w:pStyle w:val="TableParagraph"/>
              <w:ind w:left="494"/>
              <w:jc w:val="left"/>
              <w:rPr>
                <w:sz w:val="18"/>
              </w:rPr>
            </w:pPr>
            <w:r>
              <w:rPr>
                <w:sz w:val="18"/>
              </w:rPr>
              <w:t>4.03</w:t>
            </w:r>
          </w:p>
        </w:tc>
        <w:tc>
          <w:tcPr>
            <w:tcW w:w="1221" w:type="dxa"/>
          </w:tcPr>
          <w:p>
            <w:pPr>
              <w:pStyle w:val="TableParagraph"/>
              <w:ind w:right="417"/>
              <w:rPr>
                <w:sz w:val="18"/>
              </w:rPr>
            </w:pPr>
            <w:r>
              <w:rPr>
                <w:sz w:val="18"/>
              </w:rPr>
              <w:t>7.97</w:t>
            </w:r>
          </w:p>
        </w:tc>
        <w:tc>
          <w:tcPr>
            <w:tcW w:w="1121" w:type="dxa"/>
          </w:tcPr>
          <w:p>
            <w:pPr>
              <w:pStyle w:val="TableParagraph"/>
              <w:ind w:right="98"/>
              <w:rPr>
                <w:sz w:val="18"/>
              </w:rPr>
            </w:pPr>
            <w:r>
              <w:rPr>
                <w:sz w:val="18"/>
              </w:rPr>
              <w:t>92,589</w:t>
            </w:r>
          </w:p>
        </w:tc>
        <w:tc>
          <w:tcPr>
            <w:tcW w:w="966" w:type="dxa"/>
          </w:tcPr>
          <w:p>
            <w:pPr>
              <w:pStyle w:val="TableParagraph"/>
              <w:ind w:right="345"/>
              <w:rPr>
                <w:sz w:val="18"/>
              </w:rPr>
            </w:pPr>
            <w:r>
              <w:rPr>
                <w:sz w:val="18"/>
              </w:rPr>
              <w:t>7.83</w:t>
            </w:r>
          </w:p>
        </w:tc>
      </w:tr>
      <w:tr>
        <w:trPr>
          <w:trHeight w:val="211" w:hRule="exact"/>
        </w:trPr>
        <w:tc>
          <w:tcPr>
            <w:tcW w:w="2352" w:type="dxa"/>
          </w:tcPr>
          <w:p>
            <w:pPr>
              <w:pStyle w:val="TableParagraph"/>
              <w:ind w:left="50"/>
              <w:jc w:val="left"/>
              <w:rPr>
                <w:sz w:val="18"/>
              </w:rPr>
            </w:pPr>
            <w:r>
              <w:rPr>
                <w:sz w:val="18"/>
              </w:rPr>
              <w:t>$11.25 to $16.79</w:t>
            </w:r>
          </w:p>
        </w:tc>
        <w:tc>
          <w:tcPr>
            <w:tcW w:w="2244" w:type="dxa"/>
          </w:tcPr>
          <w:p>
            <w:pPr>
              <w:pStyle w:val="TableParagraph"/>
              <w:ind w:right="400"/>
              <w:rPr>
                <w:sz w:val="18"/>
              </w:rPr>
            </w:pPr>
            <w:r>
              <w:rPr>
                <w:sz w:val="18"/>
              </w:rPr>
              <w:t>26,244,958</w:t>
            </w:r>
          </w:p>
        </w:tc>
        <w:tc>
          <w:tcPr>
            <w:tcW w:w="1494" w:type="dxa"/>
          </w:tcPr>
          <w:p>
            <w:pPr>
              <w:pStyle w:val="TableParagraph"/>
              <w:ind w:left="494"/>
              <w:jc w:val="left"/>
              <w:rPr>
                <w:sz w:val="18"/>
              </w:rPr>
            </w:pPr>
            <w:r>
              <w:rPr>
                <w:sz w:val="18"/>
              </w:rPr>
              <w:t>8.81</w:t>
            </w:r>
          </w:p>
        </w:tc>
        <w:tc>
          <w:tcPr>
            <w:tcW w:w="1221" w:type="dxa"/>
          </w:tcPr>
          <w:p>
            <w:pPr>
              <w:pStyle w:val="TableParagraph"/>
              <w:ind w:right="417"/>
              <w:rPr>
                <w:sz w:val="18"/>
              </w:rPr>
            </w:pPr>
            <w:r>
              <w:rPr>
                <w:sz w:val="18"/>
              </w:rPr>
              <w:t>13.73</w:t>
            </w:r>
          </w:p>
        </w:tc>
        <w:tc>
          <w:tcPr>
            <w:tcW w:w="1121" w:type="dxa"/>
          </w:tcPr>
          <w:p>
            <w:pPr>
              <w:pStyle w:val="TableParagraph"/>
              <w:ind w:right="98"/>
              <w:rPr>
                <w:sz w:val="18"/>
              </w:rPr>
            </w:pPr>
            <w:r>
              <w:rPr>
                <w:sz w:val="18"/>
              </w:rPr>
              <w:t>7,621,620</w:t>
            </w:r>
          </w:p>
        </w:tc>
        <w:tc>
          <w:tcPr>
            <w:tcW w:w="966" w:type="dxa"/>
          </w:tcPr>
          <w:p>
            <w:pPr>
              <w:pStyle w:val="TableParagraph"/>
              <w:ind w:right="345"/>
              <w:rPr>
                <w:sz w:val="18"/>
              </w:rPr>
            </w:pPr>
            <w:r>
              <w:rPr>
                <w:sz w:val="18"/>
              </w:rPr>
              <w:t>13.54</w:t>
            </w:r>
          </w:p>
        </w:tc>
      </w:tr>
      <w:tr>
        <w:trPr>
          <w:trHeight w:val="211" w:hRule="exact"/>
        </w:trPr>
        <w:tc>
          <w:tcPr>
            <w:tcW w:w="2352" w:type="dxa"/>
          </w:tcPr>
          <w:p>
            <w:pPr>
              <w:pStyle w:val="TableParagraph"/>
              <w:ind w:left="50"/>
              <w:jc w:val="left"/>
              <w:rPr>
                <w:sz w:val="18"/>
              </w:rPr>
            </w:pPr>
            <w:r>
              <w:rPr>
                <w:sz w:val="18"/>
              </w:rPr>
              <w:t>$17.29 to $24.96</w:t>
            </w:r>
          </w:p>
        </w:tc>
        <w:tc>
          <w:tcPr>
            <w:tcW w:w="2244" w:type="dxa"/>
          </w:tcPr>
          <w:p>
            <w:pPr>
              <w:pStyle w:val="TableParagraph"/>
              <w:ind w:right="400"/>
              <w:rPr>
                <w:sz w:val="18"/>
              </w:rPr>
            </w:pPr>
            <w:r>
              <w:rPr>
                <w:sz w:val="18"/>
                <w:u w:val="single"/>
              </w:rPr>
              <w:t>1,904,225</w:t>
            </w:r>
          </w:p>
        </w:tc>
        <w:tc>
          <w:tcPr>
            <w:tcW w:w="1494" w:type="dxa"/>
          </w:tcPr>
          <w:p>
            <w:pPr>
              <w:pStyle w:val="TableParagraph"/>
              <w:ind w:left="494"/>
              <w:jc w:val="left"/>
              <w:rPr>
                <w:sz w:val="18"/>
              </w:rPr>
            </w:pPr>
            <w:r>
              <w:rPr>
                <w:sz w:val="18"/>
              </w:rPr>
              <w:t>7.55</w:t>
            </w:r>
          </w:p>
        </w:tc>
        <w:tc>
          <w:tcPr>
            <w:tcW w:w="1221" w:type="dxa"/>
          </w:tcPr>
          <w:p>
            <w:pPr>
              <w:pStyle w:val="TableParagraph"/>
              <w:ind w:right="417"/>
              <w:rPr>
                <w:sz w:val="18"/>
              </w:rPr>
            </w:pPr>
            <w:r>
              <w:rPr>
                <w:sz w:val="18"/>
              </w:rPr>
              <w:t>19.82</w:t>
            </w:r>
          </w:p>
        </w:tc>
        <w:tc>
          <w:tcPr>
            <w:tcW w:w="1121" w:type="dxa"/>
          </w:tcPr>
          <w:p>
            <w:pPr>
              <w:pStyle w:val="TableParagraph"/>
              <w:ind w:right="98"/>
              <w:rPr>
                <w:sz w:val="18"/>
              </w:rPr>
            </w:pPr>
            <w:r>
              <w:rPr>
                <w:sz w:val="18"/>
                <w:u w:val="single"/>
              </w:rPr>
              <w:t>505,955</w:t>
            </w:r>
          </w:p>
        </w:tc>
        <w:tc>
          <w:tcPr>
            <w:tcW w:w="966" w:type="dxa"/>
          </w:tcPr>
          <w:p>
            <w:pPr>
              <w:pStyle w:val="TableParagraph"/>
              <w:ind w:right="345"/>
              <w:rPr>
                <w:sz w:val="18"/>
              </w:rPr>
            </w:pPr>
            <w:r>
              <w:rPr>
                <w:sz w:val="18"/>
              </w:rPr>
              <w:t>21.85</w:t>
            </w:r>
          </w:p>
        </w:tc>
      </w:tr>
      <w:tr>
        <w:trPr>
          <w:trHeight w:val="207" w:hRule="exact"/>
        </w:trPr>
        <w:tc>
          <w:tcPr>
            <w:tcW w:w="2352" w:type="dxa"/>
          </w:tcPr>
          <w:p>
            <w:pPr>
              <w:pStyle w:val="TableParagraph"/>
              <w:ind w:left="50"/>
              <w:jc w:val="left"/>
              <w:rPr>
                <w:sz w:val="18"/>
              </w:rPr>
            </w:pPr>
            <w:r>
              <w:rPr>
                <w:sz w:val="18"/>
              </w:rPr>
              <w:t>$4.01 to $24.96</w:t>
            </w:r>
          </w:p>
        </w:tc>
        <w:tc>
          <w:tcPr>
            <w:tcW w:w="2244" w:type="dxa"/>
          </w:tcPr>
          <w:p>
            <w:pPr>
              <w:pStyle w:val="TableParagraph"/>
              <w:ind w:right="400"/>
              <w:rPr>
                <w:sz w:val="18"/>
              </w:rPr>
            </w:pPr>
            <w:r>
              <w:rPr>
                <w:sz w:val="18"/>
                <w:u w:val="thick"/>
              </w:rPr>
              <w:t>31,649,508</w:t>
            </w:r>
          </w:p>
        </w:tc>
        <w:tc>
          <w:tcPr>
            <w:tcW w:w="1494" w:type="dxa"/>
          </w:tcPr>
          <w:p>
            <w:pPr>
              <w:pStyle w:val="TableParagraph"/>
              <w:ind w:left="494"/>
              <w:jc w:val="left"/>
              <w:rPr>
                <w:sz w:val="18"/>
              </w:rPr>
            </w:pPr>
            <w:r>
              <w:rPr>
                <w:sz w:val="18"/>
              </w:rPr>
              <w:t>8.11 yrs.</w:t>
            </w:r>
          </w:p>
        </w:tc>
        <w:tc>
          <w:tcPr>
            <w:tcW w:w="1221" w:type="dxa"/>
          </w:tcPr>
          <w:p>
            <w:pPr>
              <w:pStyle w:val="TableParagraph"/>
              <w:ind w:right="417"/>
              <w:rPr>
                <w:sz w:val="18"/>
              </w:rPr>
            </w:pPr>
            <w:r>
              <w:rPr>
                <w:sz w:val="18"/>
              </w:rPr>
              <w:t>$13.08</w:t>
            </w:r>
          </w:p>
        </w:tc>
        <w:tc>
          <w:tcPr>
            <w:tcW w:w="1121" w:type="dxa"/>
          </w:tcPr>
          <w:p>
            <w:pPr>
              <w:pStyle w:val="TableParagraph"/>
              <w:ind w:right="98"/>
              <w:rPr>
                <w:sz w:val="18"/>
              </w:rPr>
            </w:pPr>
            <w:r>
              <w:rPr>
                <w:sz w:val="18"/>
                <w:u w:val="thick"/>
              </w:rPr>
              <w:t>9,213,875</w:t>
            </w:r>
          </w:p>
        </w:tc>
        <w:tc>
          <w:tcPr>
            <w:tcW w:w="966" w:type="dxa"/>
          </w:tcPr>
          <w:p>
            <w:pPr>
              <w:pStyle w:val="TableParagraph"/>
              <w:ind w:right="345"/>
              <w:rPr>
                <w:sz w:val="18"/>
              </w:rPr>
            </w:pPr>
            <w:r>
              <w:rPr>
                <w:sz w:val="18"/>
              </w:rPr>
              <w:t>$12.93</w:t>
            </w:r>
          </w:p>
        </w:tc>
      </w:tr>
    </w:tbl>
    <w:p>
      <w:pPr>
        <w:pStyle w:val="BodyText"/>
        <w:rPr>
          <w:sz w:val="20"/>
        </w:rPr>
      </w:pPr>
    </w:p>
    <w:p>
      <w:pPr>
        <w:pStyle w:val="BodyText"/>
        <w:spacing w:line="240" w:lineRule="exact" w:before="134"/>
        <w:ind w:left="160" w:right="167" w:firstLine="182"/>
      </w:pPr>
      <w:r>
        <w:rPr/>
        <w:t>The Company has granted options to purchase the Company’s common stock related to employment contracts with the Company’s president and chief executive officer.</w:t>
      </w:r>
    </w:p>
    <w:p>
      <w:pPr>
        <w:pStyle w:val="BodyText"/>
        <w:spacing w:line="240" w:lineRule="exact"/>
        <w:ind w:left="160" w:right="187"/>
      </w:pPr>
      <w:r>
        <w:rPr/>
        <w:t>Depending upon the grant, these options have terms of ten years from the date of grant or ten years from the date exercisable and vest and become fully exercisable over  three or four years. No options were granted in 1997 or 1995. In 1996, the Company granted 217,000 options with an exercise price of $1.00 per share and 750,000 options with</w:t>
      </w:r>
      <w:r>
        <w:rPr>
          <w:spacing w:val="-2"/>
        </w:rPr>
        <w:t> </w:t>
      </w:r>
      <w:r>
        <w:rPr/>
        <w:t>an</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19" w:right="203"/>
      </w:pPr>
      <w:r>
        <w:rPr/>
        <w:t>exercise price of $15.67 per share related to the 1996 employment agreement. At December 31, 1997, 1996, and 1995, total options of 2,611,000, 2,847,000, and 2,133,000 were outstanding, respectively. At December 31, 1997, total options of 2,031,000 were exercisable at exercise prices ranging from $1.00 to $15.67 per share. Options for 236,000, 253,000, and 101,000 shares were exercised in 1997, 1996, and</w:t>
      </w:r>
    </w:p>
    <w:p>
      <w:pPr>
        <w:pStyle w:val="BodyText"/>
        <w:spacing w:line="243" w:lineRule="exact"/>
        <w:ind w:left="119"/>
      </w:pPr>
      <w:r>
        <w:rPr/>
        <w:t>1995, respectively.</w:t>
      </w:r>
    </w:p>
    <w:p>
      <w:pPr>
        <w:pStyle w:val="BodyText"/>
        <w:spacing w:before="7"/>
        <w:rPr>
          <w:sz w:val="20"/>
        </w:rPr>
      </w:pPr>
    </w:p>
    <w:p>
      <w:pPr>
        <w:pStyle w:val="BodyText"/>
        <w:spacing w:line="240" w:lineRule="exact" w:before="1"/>
        <w:ind w:left="119" w:right="203" w:firstLine="182"/>
      </w:pPr>
      <w:r>
        <w:rPr/>
        <w:t>Under the 1991 Employee Stock Purchase Plan (ESPP), at December 31, 1997, the Company is authorized to issue up to a balance of 871,000 shares of common stock to Employees of the Company at a price equal to 90 percent of the market value at the end of each purchase period. Common stock purchases are paid for through periodic payroll deductions. Participants under the plan received 440,000 shares in 1997, 464,000 shares in 1996, and 583,000 shares in 1995 at average prices of $16.00,</w:t>
      </w:r>
    </w:p>
    <w:p>
      <w:pPr>
        <w:pStyle w:val="BodyText"/>
        <w:spacing w:line="243" w:lineRule="exact"/>
        <w:ind w:left="119"/>
      </w:pPr>
      <w:r>
        <w:rPr/>
        <w:t>$15.37, and $12.79, respectively.</w:t>
      </w:r>
    </w:p>
    <w:p>
      <w:pPr>
        <w:pStyle w:val="BodyText"/>
        <w:spacing w:before="7"/>
        <w:rPr>
          <w:sz w:val="20"/>
        </w:rPr>
      </w:pPr>
    </w:p>
    <w:p>
      <w:pPr>
        <w:pStyle w:val="BodyText"/>
        <w:spacing w:line="240" w:lineRule="exact"/>
        <w:ind w:left="119" w:right="117" w:firstLine="182"/>
      </w:pPr>
      <w:r>
        <w:rPr>
          <w:spacing w:val="-3"/>
        </w:rPr>
        <w:t>Pro </w:t>
      </w:r>
      <w:r>
        <w:rPr/>
        <w:t>forma information regarding net income and net income per share is required by </w:t>
      </w:r>
      <w:r>
        <w:rPr>
          <w:spacing w:val="-3"/>
        </w:rPr>
        <w:t>SFAS </w:t>
      </w:r>
      <w:r>
        <w:rPr/>
        <w:t>123 and has been determined as if the Company had accounted for its Employee stock-based compensation plans and other stock options under the fair value method of </w:t>
      </w:r>
      <w:r>
        <w:rPr>
          <w:spacing w:val="-3"/>
        </w:rPr>
        <w:t>SFAS </w:t>
      </w:r>
      <w:r>
        <w:rPr/>
        <w:t>123. </w:t>
      </w:r>
      <w:r>
        <w:rPr>
          <w:spacing w:val="2"/>
        </w:rPr>
        <w:t>The </w:t>
      </w:r>
      <w:r>
        <w:rPr/>
        <w:t>fair value of each option grant is estimated on the date of grant using the Black-Scholes option pricing model with the following weighted-average assumptions used for grants under the fixed option plans in 1997, 1996, and 1995, respectively: dividend yield of .22 percent, .16 percent, and .21 percent; expected volatility of 38.23 percent, 35.37 percent, and 36.85 percent; risk-free interest </w:t>
      </w:r>
      <w:r>
        <w:rPr>
          <w:spacing w:val="2"/>
        </w:rPr>
        <w:t>rate</w:t>
      </w:r>
      <w:r>
        <w:rPr>
          <w:spacing w:val="29"/>
        </w:rPr>
        <w:t> </w:t>
      </w:r>
      <w:r>
        <w:rPr/>
        <w:t>of</w:t>
      </w:r>
    </w:p>
    <w:p>
      <w:pPr>
        <w:pStyle w:val="BodyText"/>
        <w:spacing w:line="240" w:lineRule="exact"/>
        <w:ind w:left="119" w:right="189"/>
      </w:pPr>
      <w:r>
        <w:rPr/>
        <w:t>5.80 percent, 5.89 percent, and 7.79 percent; and expected lives of 5.0 years for all periods. Assumptions for the stock options granted in 1996 to the Company’s president and chief executive officer were the same as for the fixed option plans except for the weighted-average expected lives of 8.0 years.</w:t>
      </w:r>
    </w:p>
    <w:p>
      <w:pPr>
        <w:pStyle w:val="BodyText"/>
        <w:spacing w:before="10"/>
        <w:rPr>
          <w:sz w:val="20"/>
        </w:rPr>
      </w:pPr>
    </w:p>
    <w:p>
      <w:pPr>
        <w:pStyle w:val="BodyText"/>
        <w:spacing w:line="240" w:lineRule="exact"/>
        <w:ind w:left="119" w:right="203" w:firstLine="182"/>
      </w:pPr>
      <w:r>
        <w:rPr/>
        <w:t>The weighted-average fair value of options granted under the five fixed option plans during 1997, 1996, and 1995 was $6.12, $6.78, and $5.61, respectively, for the incentive plans; $7.67, $6.16, and $5.31, respectively, for the SWAPA Plan; and $6.12,</w:t>
      </w:r>
    </w:p>
    <w:p>
      <w:pPr>
        <w:pStyle w:val="BodyText"/>
        <w:spacing w:line="240" w:lineRule="exact"/>
        <w:ind w:left="119" w:right="136"/>
      </w:pPr>
      <w:r>
        <w:rPr/>
        <w:t>$6.78, and $5.61, respectively, for other non-qualified plans. The weighted-average fair value of options granted in 1996 to the Company’s president and chief executive officer relative to an employment contract was $9.32. No such options were granted in 1997 or 1995. The weighted-average fair value of each purchase right under the ESPP granted in 1997, 1996, and 1995, which is equal to the ten percent discount from the market value of the common stock at the end of each purchase period, was $1.78, $1.71, and</w:t>
      </w:r>
    </w:p>
    <w:p>
      <w:pPr>
        <w:pStyle w:val="BodyText"/>
        <w:spacing w:line="243" w:lineRule="exact"/>
        <w:ind w:left="119"/>
      </w:pPr>
      <w:r>
        <w:rPr/>
        <w:t>$1.43, respectively.</w:t>
      </w:r>
    </w:p>
    <w:p>
      <w:pPr>
        <w:pStyle w:val="BodyText"/>
        <w:spacing w:before="7"/>
        <w:rPr>
          <w:sz w:val="20"/>
        </w:rPr>
      </w:pPr>
    </w:p>
    <w:p>
      <w:pPr>
        <w:pStyle w:val="BodyText"/>
        <w:spacing w:line="240" w:lineRule="exact"/>
        <w:ind w:left="119" w:right="202" w:firstLine="182"/>
      </w:pPr>
      <w:r>
        <w:rPr>
          <w:spacing w:val="2"/>
        </w:rPr>
        <w:t>The </w:t>
      </w:r>
      <w:r>
        <w:rPr/>
        <w:t>Black-Scholes option valuation model was developed for use in estimating the  fair value of traded options which have no vesting restrictions and are fully transferable. In addition, option valuation models require the input of highly subjective assumptions including expected stock price volatility. </w:t>
      </w:r>
      <w:r>
        <w:rPr>
          <w:spacing w:val="-4"/>
        </w:rPr>
        <w:t>Because </w:t>
      </w:r>
      <w:r>
        <w:rPr/>
        <w:t>the Company’s Employee stock options have characteristics significantly different from those of traded options and because changes in the subjective input assumptions can materially affect the fair  value estimate, in management’s opinion, the existing models do not necessarily provide a reliable single measure of the fair value of its Employee stock</w:t>
      </w:r>
      <w:r>
        <w:rPr>
          <w:spacing w:val="37"/>
        </w:rPr>
        <w:t> </w:t>
      </w:r>
      <w:r>
        <w:rPr/>
        <w:t>options.</w:t>
      </w:r>
    </w:p>
    <w:p>
      <w:pPr>
        <w:spacing w:after="0" w:line="240" w:lineRule="exact"/>
        <w:sectPr>
          <w:pgSz w:w="12240" w:h="15840"/>
          <w:pgMar w:header="1592" w:footer="790" w:top="2120" w:bottom="980" w:left="1320" w:right="1320"/>
        </w:sectPr>
      </w:pPr>
    </w:p>
    <w:p>
      <w:pPr>
        <w:pStyle w:val="BodyText"/>
        <w:spacing w:before="6"/>
        <w:rPr>
          <w:sz w:val="9"/>
        </w:rPr>
      </w:pPr>
    </w:p>
    <w:p>
      <w:pPr>
        <w:pStyle w:val="BodyText"/>
        <w:spacing w:line="240" w:lineRule="exact" w:before="125"/>
        <w:ind w:left="159" w:right="233" w:firstLine="182"/>
      </w:pPr>
      <w:r>
        <w:rPr/>
        <w:t>For purposes of pro forma disclosures, the estimated fair value of stock-based compensation plans and other options is amortized to expense primarily over the vesting period. The Company’s pro forma net income and net income per share is as follows:</w:t>
      </w:r>
    </w:p>
    <w:p>
      <w:pPr>
        <w:pStyle w:val="BodyText"/>
        <w:rPr>
          <w:sz w:val="20"/>
        </w:rPr>
      </w:pPr>
    </w:p>
    <w:p>
      <w:pPr>
        <w:pStyle w:val="BodyText"/>
        <w:spacing w:before="10"/>
        <w:rPr>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8"/>
        <w:gridCol w:w="2378"/>
        <w:gridCol w:w="1440"/>
        <w:gridCol w:w="1274"/>
      </w:tblGrid>
      <w:tr>
        <w:trPr>
          <w:trHeight w:val="507" w:hRule="exact"/>
        </w:trPr>
        <w:tc>
          <w:tcPr>
            <w:tcW w:w="3648" w:type="dxa"/>
            <w:tcBorders>
              <w:bottom w:val="single" w:sz="8" w:space="0" w:color="000000"/>
            </w:tcBorders>
          </w:tcPr>
          <w:p>
            <w:pPr>
              <w:pStyle w:val="TableParagraph"/>
              <w:spacing w:line="285" w:lineRule="auto"/>
              <w:ind w:left="50" w:right="1144"/>
              <w:jc w:val="left"/>
              <w:rPr>
                <w:sz w:val="20"/>
              </w:rPr>
            </w:pPr>
            <w:r>
              <w:rPr>
                <w:sz w:val="20"/>
              </w:rPr>
              <w:t>(IN THOUSANDS EXCEPT PER SHARE AMOUNTS)</w:t>
            </w:r>
          </w:p>
        </w:tc>
        <w:tc>
          <w:tcPr>
            <w:tcW w:w="2378" w:type="dxa"/>
            <w:tcBorders>
              <w:bottom w:val="single" w:sz="8" w:space="0" w:color="000000"/>
            </w:tcBorders>
          </w:tcPr>
          <w:p>
            <w:pPr>
              <w:pStyle w:val="TableParagraph"/>
              <w:spacing w:before="231"/>
              <w:ind w:left="1442"/>
              <w:jc w:val="left"/>
              <w:rPr>
                <w:sz w:val="24"/>
              </w:rPr>
            </w:pPr>
            <w:r>
              <w:rPr>
                <w:sz w:val="24"/>
              </w:rPr>
              <w:t>1997</w:t>
            </w:r>
          </w:p>
        </w:tc>
        <w:tc>
          <w:tcPr>
            <w:tcW w:w="1440" w:type="dxa"/>
            <w:tcBorders>
              <w:bottom w:val="single" w:sz="8" w:space="0" w:color="000000"/>
            </w:tcBorders>
          </w:tcPr>
          <w:p>
            <w:pPr>
              <w:pStyle w:val="TableParagraph"/>
              <w:spacing w:before="231"/>
              <w:ind w:left="503"/>
              <w:jc w:val="left"/>
              <w:rPr>
                <w:sz w:val="24"/>
              </w:rPr>
            </w:pPr>
            <w:r>
              <w:rPr>
                <w:sz w:val="24"/>
              </w:rPr>
              <w:t>1996</w:t>
            </w:r>
          </w:p>
        </w:tc>
        <w:tc>
          <w:tcPr>
            <w:tcW w:w="1274" w:type="dxa"/>
            <w:tcBorders>
              <w:bottom w:val="single" w:sz="8" w:space="0" w:color="000000"/>
            </w:tcBorders>
          </w:tcPr>
          <w:p>
            <w:pPr>
              <w:pStyle w:val="TableParagraph"/>
              <w:spacing w:before="231"/>
              <w:ind w:left="503"/>
              <w:jc w:val="left"/>
              <w:rPr>
                <w:sz w:val="24"/>
              </w:rPr>
            </w:pPr>
            <w:r>
              <w:rPr>
                <w:sz w:val="24"/>
              </w:rPr>
              <w:t>1995</w:t>
            </w:r>
          </w:p>
        </w:tc>
      </w:tr>
      <w:tr>
        <w:trPr>
          <w:trHeight w:val="239" w:hRule="exact"/>
        </w:trPr>
        <w:tc>
          <w:tcPr>
            <w:tcW w:w="3648" w:type="dxa"/>
            <w:tcBorders>
              <w:top w:val="single" w:sz="8" w:space="0" w:color="000000"/>
            </w:tcBorders>
          </w:tcPr>
          <w:p>
            <w:pPr>
              <w:pStyle w:val="TableParagraph"/>
              <w:spacing w:before="9"/>
              <w:ind w:left="50"/>
              <w:jc w:val="left"/>
              <w:rPr>
                <w:sz w:val="20"/>
              </w:rPr>
            </w:pPr>
            <w:r>
              <w:rPr>
                <w:sz w:val="20"/>
              </w:rPr>
              <w:t>NET INCOME:</w:t>
            </w:r>
          </w:p>
        </w:tc>
        <w:tc>
          <w:tcPr>
            <w:tcW w:w="2378" w:type="dxa"/>
            <w:tcBorders>
              <w:top w:val="single" w:sz="8" w:space="0" w:color="000000"/>
            </w:tcBorders>
          </w:tcPr>
          <w:p>
            <w:pPr/>
          </w:p>
        </w:tc>
        <w:tc>
          <w:tcPr>
            <w:tcW w:w="1440" w:type="dxa"/>
            <w:tcBorders>
              <w:top w:val="single" w:sz="8" w:space="0" w:color="000000"/>
            </w:tcBorders>
          </w:tcPr>
          <w:p>
            <w:pPr/>
          </w:p>
        </w:tc>
        <w:tc>
          <w:tcPr>
            <w:tcW w:w="1274" w:type="dxa"/>
            <w:tcBorders>
              <w:top w:val="single" w:sz="8" w:space="0" w:color="000000"/>
            </w:tcBorders>
          </w:tcPr>
          <w:p>
            <w:pPr/>
          </w:p>
        </w:tc>
      </w:tr>
      <w:tr>
        <w:trPr>
          <w:trHeight w:val="282" w:hRule="exact"/>
        </w:trPr>
        <w:tc>
          <w:tcPr>
            <w:tcW w:w="3648" w:type="dxa"/>
          </w:tcPr>
          <w:p>
            <w:pPr>
              <w:pStyle w:val="TableParagraph"/>
              <w:spacing w:line="275" w:lineRule="exact"/>
              <w:ind w:left="232"/>
              <w:jc w:val="left"/>
              <w:rPr>
                <w:sz w:val="24"/>
              </w:rPr>
            </w:pPr>
            <w:r>
              <w:rPr>
                <w:sz w:val="24"/>
              </w:rPr>
              <w:t>As reported</w:t>
            </w:r>
          </w:p>
        </w:tc>
        <w:tc>
          <w:tcPr>
            <w:tcW w:w="2378" w:type="dxa"/>
          </w:tcPr>
          <w:p>
            <w:pPr>
              <w:pStyle w:val="TableParagraph"/>
              <w:spacing w:line="275" w:lineRule="exact"/>
              <w:ind w:right="213"/>
              <w:rPr>
                <w:sz w:val="24"/>
              </w:rPr>
            </w:pPr>
            <w:r>
              <w:rPr>
                <w:w w:val="95"/>
                <w:sz w:val="24"/>
              </w:rPr>
              <w:t>$317,772</w:t>
            </w:r>
          </w:p>
        </w:tc>
        <w:tc>
          <w:tcPr>
            <w:tcW w:w="1440" w:type="dxa"/>
          </w:tcPr>
          <w:p>
            <w:pPr>
              <w:pStyle w:val="TableParagraph"/>
              <w:spacing w:line="275" w:lineRule="exact"/>
              <w:ind w:right="213"/>
              <w:rPr>
                <w:sz w:val="24"/>
              </w:rPr>
            </w:pPr>
            <w:r>
              <w:rPr>
                <w:w w:val="95"/>
                <w:sz w:val="24"/>
              </w:rPr>
              <w:t>$207,337</w:t>
            </w:r>
          </w:p>
        </w:tc>
        <w:tc>
          <w:tcPr>
            <w:tcW w:w="1274" w:type="dxa"/>
          </w:tcPr>
          <w:p>
            <w:pPr>
              <w:pStyle w:val="TableParagraph"/>
              <w:spacing w:line="275" w:lineRule="exact"/>
              <w:ind w:right="48"/>
              <w:rPr>
                <w:sz w:val="24"/>
              </w:rPr>
            </w:pPr>
            <w:r>
              <w:rPr>
                <w:w w:val="95"/>
                <w:sz w:val="24"/>
              </w:rPr>
              <w:t>$182,626</w:t>
            </w:r>
          </w:p>
        </w:tc>
      </w:tr>
      <w:tr>
        <w:trPr>
          <w:trHeight w:val="276" w:hRule="exact"/>
        </w:trPr>
        <w:tc>
          <w:tcPr>
            <w:tcW w:w="3648" w:type="dxa"/>
          </w:tcPr>
          <w:p>
            <w:pPr>
              <w:pStyle w:val="TableParagraph"/>
              <w:spacing w:line="276" w:lineRule="exact"/>
              <w:ind w:left="232"/>
              <w:jc w:val="left"/>
              <w:rPr>
                <w:sz w:val="24"/>
              </w:rPr>
            </w:pPr>
            <w:r>
              <w:rPr>
                <w:sz w:val="24"/>
              </w:rPr>
              <w:t>Pro forma</w:t>
            </w:r>
          </w:p>
        </w:tc>
        <w:tc>
          <w:tcPr>
            <w:tcW w:w="2378" w:type="dxa"/>
          </w:tcPr>
          <w:p>
            <w:pPr>
              <w:pStyle w:val="TableParagraph"/>
              <w:spacing w:line="276" w:lineRule="exact"/>
              <w:ind w:right="213"/>
              <w:rPr>
                <w:sz w:val="24"/>
              </w:rPr>
            </w:pPr>
            <w:r>
              <w:rPr>
                <w:w w:val="95"/>
                <w:sz w:val="24"/>
              </w:rPr>
              <w:t>$306,553</w:t>
            </w:r>
          </w:p>
        </w:tc>
        <w:tc>
          <w:tcPr>
            <w:tcW w:w="1440" w:type="dxa"/>
          </w:tcPr>
          <w:p>
            <w:pPr>
              <w:pStyle w:val="TableParagraph"/>
              <w:spacing w:line="276" w:lineRule="exact"/>
              <w:ind w:right="213"/>
              <w:rPr>
                <w:sz w:val="24"/>
              </w:rPr>
            </w:pPr>
            <w:r>
              <w:rPr>
                <w:w w:val="95"/>
                <w:sz w:val="24"/>
              </w:rPr>
              <w:t>$196,478</w:t>
            </w:r>
          </w:p>
        </w:tc>
        <w:tc>
          <w:tcPr>
            <w:tcW w:w="1274" w:type="dxa"/>
          </w:tcPr>
          <w:p>
            <w:pPr>
              <w:pStyle w:val="TableParagraph"/>
              <w:spacing w:line="276" w:lineRule="exact"/>
              <w:ind w:right="48"/>
              <w:rPr>
                <w:sz w:val="24"/>
              </w:rPr>
            </w:pPr>
            <w:r>
              <w:rPr>
                <w:w w:val="95"/>
                <w:sz w:val="24"/>
              </w:rPr>
              <w:t>$167,907</w:t>
            </w:r>
          </w:p>
        </w:tc>
      </w:tr>
      <w:tr>
        <w:trPr>
          <w:trHeight w:val="232" w:hRule="exact"/>
        </w:trPr>
        <w:tc>
          <w:tcPr>
            <w:tcW w:w="3648" w:type="dxa"/>
          </w:tcPr>
          <w:p>
            <w:pPr>
              <w:pStyle w:val="TableParagraph"/>
              <w:spacing w:before="1"/>
              <w:ind w:left="50"/>
              <w:jc w:val="left"/>
              <w:rPr>
                <w:sz w:val="20"/>
              </w:rPr>
            </w:pPr>
            <w:r>
              <w:rPr>
                <w:sz w:val="20"/>
              </w:rPr>
              <w:t>NET INCOME PER SHARE, BASIC:</w:t>
            </w:r>
          </w:p>
        </w:tc>
        <w:tc>
          <w:tcPr>
            <w:tcW w:w="2378" w:type="dxa"/>
          </w:tcPr>
          <w:p>
            <w:pPr/>
          </w:p>
        </w:tc>
        <w:tc>
          <w:tcPr>
            <w:tcW w:w="1440" w:type="dxa"/>
          </w:tcPr>
          <w:p>
            <w:pPr/>
          </w:p>
        </w:tc>
        <w:tc>
          <w:tcPr>
            <w:tcW w:w="1274" w:type="dxa"/>
          </w:tcPr>
          <w:p>
            <w:pPr/>
          </w:p>
        </w:tc>
      </w:tr>
      <w:tr>
        <w:trPr>
          <w:trHeight w:val="289" w:hRule="exact"/>
        </w:trPr>
        <w:tc>
          <w:tcPr>
            <w:tcW w:w="3648" w:type="dxa"/>
          </w:tcPr>
          <w:p>
            <w:pPr>
              <w:pStyle w:val="TableParagraph"/>
              <w:spacing w:line="268" w:lineRule="exact"/>
              <w:ind w:left="232"/>
              <w:jc w:val="left"/>
              <w:rPr>
                <w:sz w:val="24"/>
              </w:rPr>
            </w:pPr>
            <w:r>
              <w:rPr>
                <w:sz w:val="24"/>
              </w:rPr>
              <w:t>As reported</w:t>
            </w:r>
          </w:p>
        </w:tc>
        <w:tc>
          <w:tcPr>
            <w:tcW w:w="2378" w:type="dxa"/>
          </w:tcPr>
          <w:p>
            <w:pPr>
              <w:pStyle w:val="TableParagraph"/>
              <w:spacing w:line="268" w:lineRule="exact"/>
              <w:ind w:right="213"/>
              <w:rPr>
                <w:sz w:val="24"/>
              </w:rPr>
            </w:pPr>
            <w:r>
              <w:rPr>
                <w:w w:val="95"/>
                <w:sz w:val="24"/>
              </w:rPr>
              <w:t>$1.45</w:t>
            </w:r>
          </w:p>
        </w:tc>
        <w:tc>
          <w:tcPr>
            <w:tcW w:w="1440" w:type="dxa"/>
          </w:tcPr>
          <w:p>
            <w:pPr>
              <w:pStyle w:val="TableParagraph"/>
              <w:spacing w:line="268" w:lineRule="exact"/>
              <w:ind w:right="213"/>
              <w:rPr>
                <w:sz w:val="24"/>
              </w:rPr>
            </w:pPr>
            <w:r>
              <w:rPr>
                <w:w w:val="95"/>
                <w:sz w:val="24"/>
              </w:rPr>
              <w:t>$.95</w:t>
            </w:r>
          </w:p>
        </w:tc>
        <w:tc>
          <w:tcPr>
            <w:tcW w:w="1274" w:type="dxa"/>
          </w:tcPr>
          <w:p>
            <w:pPr>
              <w:pStyle w:val="TableParagraph"/>
              <w:spacing w:line="268" w:lineRule="exact"/>
              <w:ind w:right="48"/>
              <w:rPr>
                <w:sz w:val="24"/>
              </w:rPr>
            </w:pPr>
            <w:r>
              <w:rPr>
                <w:w w:val="95"/>
                <w:sz w:val="24"/>
              </w:rPr>
              <w:t>$.85</w:t>
            </w:r>
          </w:p>
        </w:tc>
      </w:tr>
      <w:tr>
        <w:trPr>
          <w:trHeight w:val="276" w:hRule="exact"/>
        </w:trPr>
        <w:tc>
          <w:tcPr>
            <w:tcW w:w="3648" w:type="dxa"/>
          </w:tcPr>
          <w:p>
            <w:pPr>
              <w:pStyle w:val="TableParagraph"/>
              <w:spacing w:line="276" w:lineRule="exact"/>
              <w:ind w:left="232"/>
              <w:jc w:val="left"/>
              <w:rPr>
                <w:sz w:val="24"/>
              </w:rPr>
            </w:pPr>
            <w:r>
              <w:rPr>
                <w:sz w:val="24"/>
              </w:rPr>
              <w:t>Pro forma</w:t>
            </w:r>
          </w:p>
        </w:tc>
        <w:tc>
          <w:tcPr>
            <w:tcW w:w="2378" w:type="dxa"/>
          </w:tcPr>
          <w:p>
            <w:pPr>
              <w:pStyle w:val="TableParagraph"/>
              <w:spacing w:line="276" w:lineRule="exact"/>
              <w:ind w:right="213"/>
              <w:rPr>
                <w:sz w:val="24"/>
              </w:rPr>
            </w:pPr>
            <w:r>
              <w:rPr>
                <w:w w:val="95"/>
                <w:sz w:val="24"/>
              </w:rPr>
              <w:t>$1.40</w:t>
            </w:r>
          </w:p>
        </w:tc>
        <w:tc>
          <w:tcPr>
            <w:tcW w:w="1440" w:type="dxa"/>
          </w:tcPr>
          <w:p>
            <w:pPr>
              <w:pStyle w:val="TableParagraph"/>
              <w:spacing w:line="276" w:lineRule="exact"/>
              <w:ind w:right="213"/>
              <w:rPr>
                <w:sz w:val="24"/>
              </w:rPr>
            </w:pPr>
            <w:r>
              <w:rPr>
                <w:w w:val="95"/>
                <w:sz w:val="24"/>
              </w:rPr>
              <w:t>$.90</w:t>
            </w:r>
          </w:p>
        </w:tc>
        <w:tc>
          <w:tcPr>
            <w:tcW w:w="1274" w:type="dxa"/>
          </w:tcPr>
          <w:p>
            <w:pPr>
              <w:pStyle w:val="TableParagraph"/>
              <w:spacing w:line="276" w:lineRule="exact"/>
              <w:ind w:right="48"/>
              <w:rPr>
                <w:sz w:val="24"/>
              </w:rPr>
            </w:pPr>
            <w:r>
              <w:rPr>
                <w:w w:val="95"/>
                <w:sz w:val="24"/>
              </w:rPr>
              <w:t>$.78</w:t>
            </w:r>
          </w:p>
        </w:tc>
      </w:tr>
      <w:tr>
        <w:trPr>
          <w:trHeight w:val="232" w:hRule="exact"/>
        </w:trPr>
        <w:tc>
          <w:tcPr>
            <w:tcW w:w="3648" w:type="dxa"/>
          </w:tcPr>
          <w:p>
            <w:pPr>
              <w:pStyle w:val="TableParagraph"/>
              <w:spacing w:before="1"/>
              <w:ind w:left="50"/>
              <w:jc w:val="left"/>
              <w:rPr>
                <w:sz w:val="20"/>
              </w:rPr>
            </w:pPr>
            <w:r>
              <w:rPr>
                <w:sz w:val="20"/>
              </w:rPr>
              <w:t>NET INCOME PER SHARE, DILUTED:</w:t>
            </w:r>
          </w:p>
        </w:tc>
        <w:tc>
          <w:tcPr>
            <w:tcW w:w="2378" w:type="dxa"/>
          </w:tcPr>
          <w:p>
            <w:pPr/>
          </w:p>
        </w:tc>
        <w:tc>
          <w:tcPr>
            <w:tcW w:w="1440" w:type="dxa"/>
          </w:tcPr>
          <w:p>
            <w:pPr/>
          </w:p>
        </w:tc>
        <w:tc>
          <w:tcPr>
            <w:tcW w:w="1274" w:type="dxa"/>
          </w:tcPr>
          <w:p>
            <w:pPr/>
          </w:p>
        </w:tc>
      </w:tr>
      <w:tr>
        <w:trPr>
          <w:trHeight w:val="289" w:hRule="exact"/>
        </w:trPr>
        <w:tc>
          <w:tcPr>
            <w:tcW w:w="3648" w:type="dxa"/>
          </w:tcPr>
          <w:p>
            <w:pPr>
              <w:pStyle w:val="TableParagraph"/>
              <w:spacing w:line="268" w:lineRule="exact"/>
              <w:ind w:left="232"/>
              <w:jc w:val="left"/>
              <w:rPr>
                <w:sz w:val="24"/>
              </w:rPr>
            </w:pPr>
            <w:r>
              <w:rPr>
                <w:sz w:val="24"/>
              </w:rPr>
              <w:t>As reported</w:t>
            </w:r>
          </w:p>
        </w:tc>
        <w:tc>
          <w:tcPr>
            <w:tcW w:w="2378" w:type="dxa"/>
          </w:tcPr>
          <w:p>
            <w:pPr>
              <w:pStyle w:val="TableParagraph"/>
              <w:spacing w:line="268" w:lineRule="exact"/>
              <w:ind w:right="213"/>
              <w:rPr>
                <w:sz w:val="24"/>
              </w:rPr>
            </w:pPr>
            <w:r>
              <w:rPr>
                <w:w w:val="95"/>
                <w:sz w:val="24"/>
              </w:rPr>
              <w:t>$1.40</w:t>
            </w:r>
          </w:p>
        </w:tc>
        <w:tc>
          <w:tcPr>
            <w:tcW w:w="1440" w:type="dxa"/>
          </w:tcPr>
          <w:p>
            <w:pPr>
              <w:pStyle w:val="TableParagraph"/>
              <w:spacing w:line="268" w:lineRule="exact"/>
              <w:ind w:right="213"/>
              <w:rPr>
                <w:sz w:val="24"/>
              </w:rPr>
            </w:pPr>
            <w:r>
              <w:rPr>
                <w:w w:val="95"/>
                <w:sz w:val="24"/>
              </w:rPr>
              <w:t>$.92</w:t>
            </w:r>
          </w:p>
        </w:tc>
        <w:tc>
          <w:tcPr>
            <w:tcW w:w="1274" w:type="dxa"/>
          </w:tcPr>
          <w:p>
            <w:pPr>
              <w:pStyle w:val="TableParagraph"/>
              <w:spacing w:line="268" w:lineRule="exact"/>
              <w:ind w:right="48"/>
              <w:rPr>
                <w:sz w:val="24"/>
              </w:rPr>
            </w:pPr>
            <w:r>
              <w:rPr>
                <w:w w:val="95"/>
                <w:sz w:val="24"/>
              </w:rPr>
              <w:t>$.82</w:t>
            </w:r>
          </w:p>
        </w:tc>
      </w:tr>
      <w:tr>
        <w:trPr>
          <w:trHeight w:val="276" w:hRule="exact"/>
        </w:trPr>
        <w:tc>
          <w:tcPr>
            <w:tcW w:w="3648" w:type="dxa"/>
          </w:tcPr>
          <w:p>
            <w:pPr>
              <w:pStyle w:val="TableParagraph"/>
              <w:spacing w:line="276" w:lineRule="exact"/>
              <w:ind w:left="232"/>
              <w:jc w:val="left"/>
              <w:rPr>
                <w:sz w:val="24"/>
              </w:rPr>
            </w:pPr>
            <w:r>
              <w:rPr>
                <w:sz w:val="24"/>
              </w:rPr>
              <w:t>Pro forma</w:t>
            </w:r>
          </w:p>
        </w:tc>
        <w:tc>
          <w:tcPr>
            <w:tcW w:w="2378" w:type="dxa"/>
          </w:tcPr>
          <w:p>
            <w:pPr>
              <w:pStyle w:val="TableParagraph"/>
              <w:spacing w:line="276" w:lineRule="exact"/>
              <w:ind w:right="213"/>
              <w:rPr>
                <w:sz w:val="24"/>
              </w:rPr>
            </w:pPr>
            <w:r>
              <w:rPr>
                <w:w w:val="95"/>
                <w:sz w:val="24"/>
              </w:rPr>
              <w:t>$1.34</w:t>
            </w:r>
          </w:p>
        </w:tc>
        <w:tc>
          <w:tcPr>
            <w:tcW w:w="1440" w:type="dxa"/>
          </w:tcPr>
          <w:p>
            <w:pPr>
              <w:pStyle w:val="TableParagraph"/>
              <w:spacing w:line="276" w:lineRule="exact"/>
              <w:ind w:right="213"/>
              <w:rPr>
                <w:sz w:val="24"/>
              </w:rPr>
            </w:pPr>
            <w:r>
              <w:rPr>
                <w:w w:val="95"/>
                <w:sz w:val="24"/>
              </w:rPr>
              <w:t>$.89</w:t>
            </w:r>
          </w:p>
        </w:tc>
        <w:tc>
          <w:tcPr>
            <w:tcW w:w="1274" w:type="dxa"/>
          </w:tcPr>
          <w:p>
            <w:pPr>
              <w:pStyle w:val="TableParagraph"/>
              <w:spacing w:line="276" w:lineRule="exact"/>
              <w:ind w:right="48"/>
              <w:rPr>
                <w:sz w:val="24"/>
              </w:rPr>
            </w:pPr>
            <w:r>
              <w:rPr>
                <w:w w:val="95"/>
                <w:sz w:val="24"/>
              </w:rPr>
              <w:t>$.76</w:t>
            </w:r>
          </w:p>
        </w:tc>
      </w:tr>
    </w:tbl>
    <w:p>
      <w:pPr>
        <w:pStyle w:val="BodyText"/>
        <w:spacing w:before="6"/>
        <w:rPr>
          <w:sz w:val="20"/>
        </w:rPr>
      </w:pPr>
    </w:p>
    <w:p>
      <w:pPr>
        <w:pStyle w:val="BodyText"/>
        <w:spacing w:line="240" w:lineRule="exact" w:before="126"/>
        <w:ind w:left="160" w:right="233" w:firstLine="182"/>
      </w:pPr>
      <w:r>
        <w:rPr/>
        <w:t>As required, the pro forma disclosures above include only options granted since January 1, 1995. Consequently, the effects of applying SFAS 123 for providing pro forma disclosures may not be representative of the effects on reported net income for future years until all options outstanding are included in the pro forma disclosures.</w:t>
      </w:r>
    </w:p>
    <w:p>
      <w:pPr>
        <w:pStyle w:val="BodyText"/>
        <w:rPr>
          <w:sz w:val="38"/>
        </w:rPr>
      </w:pPr>
    </w:p>
    <w:p>
      <w:pPr>
        <w:pStyle w:val="Heading3"/>
        <w:numPr>
          <w:ilvl w:val="0"/>
          <w:numId w:val="2"/>
        </w:numPr>
        <w:tabs>
          <w:tab w:pos="429" w:val="left" w:leader="none"/>
        </w:tabs>
        <w:spacing w:line="240" w:lineRule="auto" w:before="0" w:after="0"/>
        <w:ind w:left="428" w:right="0" w:hanging="268"/>
        <w:jc w:val="left"/>
      </w:pPr>
      <w:r>
        <w:rPr>
          <w:color w:val="008080"/>
        </w:rPr>
        <w:t>EMPLOYEE PROFITSHARING AND SAVINGS</w:t>
      </w:r>
      <w:r>
        <w:rPr>
          <w:color w:val="008080"/>
          <w:spacing w:val="-48"/>
        </w:rPr>
        <w:t> </w:t>
      </w:r>
      <w:r>
        <w:rPr>
          <w:color w:val="008080"/>
        </w:rPr>
        <w:t>PLANS</w:t>
      </w:r>
    </w:p>
    <w:p>
      <w:pPr>
        <w:pStyle w:val="BodyText"/>
        <w:spacing w:before="9"/>
        <w:rPr>
          <w:b/>
          <w:sz w:val="31"/>
        </w:rPr>
      </w:pPr>
    </w:p>
    <w:p>
      <w:pPr>
        <w:pStyle w:val="BodyText"/>
        <w:spacing w:line="240" w:lineRule="exact" w:before="1"/>
        <w:ind w:left="160" w:right="233" w:firstLine="182"/>
      </w:pPr>
      <w:r>
        <w:rPr/>
        <w:t>Substantially all of Southwest’s Employees are members of the Southwest Airlines Co. Profitsharing Plan. Total profitsharing expense charged to operations in 1997, 1996, and 1995 was $91,256,000, $59,927,000, and $54,033,000, respectively.</w:t>
      </w:r>
    </w:p>
    <w:p>
      <w:pPr>
        <w:pStyle w:val="BodyText"/>
        <w:spacing w:before="10"/>
        <w:rPr>
          <w:sz w:val="20"/>
        </w:rPr>
      </w:pPr>
    </w:p>
    <w:p>
      <w:pPr>
        <w:pStyle w:val="BodyText"/>
        <w:spacing w:line="240" w:lineRule="exact"/>
        <w:ind w:left="160" w:right="188" w:firstLine="182"/>
      </w:pPr>
      <w:r>
        <w:rPr/>
        <w:t>The Company sponsors Employee savings plans under Section 401(k) of the Internal Revenue Code. The plans cover substantially all full-time Employees. The amount of matching contributions varies by Employee group. Company contributions generally vest over five years with credit for prior years’ service granted. Company matching contributions expensed in 1997, 1996, and 1995 were $39,744,000, $35,125,000, and</w:t>
      </w:r>
    </w:p>
    <w:p>
      <w:pPr>
        <w:pStyle w:val="BodyText"/>
        <w:spacing w:line="243" w:lineRule="exact"/>
        <w:ind w:left="160"/>
      </w:pPr>
      <w:r>
        <w:rPr/>
        <w:t>$28,954,000, respectively.</w:t>
      </w:r>
    </w:p>
    <w:p>
      <w:pPr>
        <w:spacing w:after="0" w:line="243" w:lineRule="exact"/>
        <w:sectPr>
          <w:pgSz w:w="12240" w:h="15840"/>
          <w:pgMar w:header="1592" w:footer="790" w:top="2120" w:bottom="980" w:left="1280" w:right="1320"/>
        </w:sectPr>
      </w:pPr>
    </w:p>
    <w:p>
      <w:pPr>
        <w:pStyle w:val="BodyText"/>
        <w:spacing w:before="6"/>
        <w:rPr>
          <w:sz w:val="29"/>
        </w:rPr>
      </w:pPr>
    </w:p>
    <w:p>
      <w:pPr>
        <w:pStyle w:val="Heading3"/>
        <w:numPr>
          <w:ilvl w:val="0"/>
          <w:numId w:val="2"/>
        </w:numPr>
        <w:tabs>
          <w:tab w:pos="429" w:val="left" w:leader="none"/>
        </w:tabs>
        <w:spacing w:line="240" w:lineRule="auto" w:before="93" w:after="0"/>
        <w:ind w:left="428" w:right="0" w:hanging="268"/>
        <w:jc w:val="left"/>
      </w:pPr>
      <w:r>
        <w:rPr>
          <w:color w:val="008080"/>
        </w:rPr>
        <w:t>INCOME</w:t>
      </w:r>
      <w:r>
        <w:rPr>
          <w:color w:val="008080"/>
          <w:spacing w:val="-14"/>
        </w:rPr>
        <w:t> </w:t>
      </w:r>
      <w:r>
        <w:rPr>
          <w:color w:val="008080"/>
        </w:rPr>
        <w:t>TAXES</w:t>
      </w:r>
    </w:p>
    <w:p>
      <w:pPr>
        <w:pStyle w:val="BodyText"/>
        <w:spacing w:before="10"/>
        <w:rPr>
          <w:b/>
          <w:sz w:val="31"/>
        </w:rPr>
      </w:pPr>
    </w:p>
    <w:p>
      <w:pPr>
        <w:pStyle w:val="BodyText"/>
        <w:spacing w:line="240" w:lineRule="exact"/>
        <w:ind w:left="159" w:right="42" w:firstLine="182"/>
      </w:pPr>
      <w:r>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1997 and 1996 are as follows:</w:t>
      </w:r>
    </w:p>
    <w:p>
      <w:pPr>
        <w:pStyle w:val="BodyText"/>
        <w:rPr>
          <w:sz w:val="20"/>
        </w:rPr>
      </w:pPr>
    </w:p>
    <w:p>
      <w:pPr>
        <w:pStyle w:val="BodyText"/>
        <w:spacing w:before="1"/>
        <w:rPr>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16"/>
        <w:gridCol w:w="1551"/>
        <w:gridCol w:w="1274"/>
      </w:tblGrid>
      <w:tr>
        <w:trPr>
          <w:trHeight w:val="268" w:hRule="exact"/>
        </w:trPr>
        <w:tc>
          <w:tcPr>
            <w:tcW w:w="5916" w:type="dxa"/>
            <w:tcBorders>
              <w:bottom w:val="single" w:sz="8" w:space="0" w:color="000000"/>
            </w:tcBorders>
          </w:tcPr>
          <w:p>
            <w:pPr>
              <w:pStyle w:val="TableParagraph"/>
              <w:spacing w:line="268" w:lineRule="exact"/>
              <w:ind w:left="50"/>
              <w:jc w:val="left"/>
              <w:rPr>
                <w:sz w:val="24"/>
              </w:rPr>
            </w:pPr>
            <w:r>
              <w:rPr>
                <w:sz w:val="24"/>
              </w:rPr>
              <w:t>(IN THOUSANDS)</w:t>
            </w:r>
          </w:p>
        </w:tc>
        <w:tc>
          <w:tcPr>
            <w:tcW w:w="1551" w:type="dxa"/>
            <w:tcBorders>
              <w:bottom w:val="single" w:sz="8" w:space="0" w:color="000000"/>
            </w:tcBorders>
          </w:tcPr>
          <w:p>
            <w:pPr>
              <w:pStyle w:val="TableParagraph"/>
              <w:spacing w:line="268" w:lineRule="exact"/>
              <w:ind w:left="614"/>
              <w:jc w:val="left"/>
              <w:rPr>
                <w:sz w:val="24"/>
              </w:rPr>
            </w:pPr>
            <w:r>
              <w:rPr>
                <w:sz w:val="24"/>
              </w:rPr>
              <w:t>1997</w:t>
            </w:r>
          </w:p>
        </w:tc>
        <w:tc>
          <w:tcPr>
            <w:tcW w:w="1274" w:type="dxa"/>
            <w:tcBorders>
              <w:bottom w:val="single" w:sz="8" w:space="0" w:color="000000"/>
            </w:tcBorders>
          </w:tcPr>
          <w:p>
            <w:pPr>
              <w:pStyle w:val="TableParagraph"/>
              <w:spacing w:line="268" w:lineRule="exact"/>
              <w:ind w:left="503"/>
              <w:jc w:val="left"/>
              <w:rPr>
                <w:sz w:val="24"/>
              </w:rPr>
            </w:pPr>
            <w:r>
              <w:rPr>
                <w:sz w:val="24"/>
              </w:rPr>
              <w:t>1996</w:t>
            </w:r>
          </w:p>
        </w:tc>
      </w:tr>
      <w:tr>
        <w:trPr>
          <w:trHeight w:val="291" w:hRule="exact"/>
        </w:trPr>
        <w:tc>
          <w:tcPr>
            <w:tcW w:w="5916" w:type="dxa"/>
            <w:tcBorders>
              <w:top w:val="single" w:sz="8" w:space="0" w:color="000000"/>
            </w:tcBorders>
          </w:tcPr>
          <w:p>
            <w:pPr>
              <w:pStyle w:val="TableParagraph"/>
              <w:spacing w:before="15"/>
              <w:ind w:left="50"/>
              <w:jc w:val="left"/>
              <w:rPr>
                <w:sz w:val="24"/>
              </w:rPr>
            </w:pPr>
            <w:r>
              <w:rPr>
                <w:sz w:val="24"/>
              </w:rPr>
              <w:t>DEFERRED TAX LIABILITIES:</w:t>
            </w:r>
          </w:p>
        </w:tc>
        <w:tc>
          <w:tcPr>
            <w:tcW w:w="1551" w:type="dxa"/>
            <w:tcBorders>
              <w:top w:val="single" w:sz="8" w:space="0" w:color="000000"/>
            </w:tcBorders>
          </w:tcPr>
          <w:p>
            <w:pPr/>
          </w:p>
        </w:tc>
        <w:tc>
          <w:tcPr>
            <w:tcW w:w="1274" w:type="dxa"/>
            <w:tcBorders>
              <w:top w:val="single" w:sz="8" w:space="0" w:color="000000"/>
            </w:tcBorders>
          </w:tcPr>
          <w:p>
            <w:pPr/>
          </w:p>
        </w:tc>
      </w:tr>
      <w:tr>
        <w:trPr>
          <w:trHeight w:val="283" w:hRule="exact"/>
        </w:trPr>
        <w:tc>
          <w:tcPr>
            <w:tcW w:w="5916" w:type="dxa"/>
          </w:tcPr>
          <w:p>
            <w:pPr>
              <w:pStyle w:val="TableParagraph"/>
              <w:spacing w:line="276" w:lineRule="exact"/>
              <w:ind w:left="232"/>
              <w:jc w:val="left"/>
              <w:rPr>
                <w:sz w:val="24"/>
              </w:rPr>
            </w:pPr>
            <w:r>
              <w:rPr>
                <w:sz w:val="24"/>
              </w:rPr>
              <w:t>Accelerated depreciation</w:t>
            </w:r>
          </w:p>
        </w:tc>
        <w:tc>
          <w:tcPr>
            <w:tcW w:w="1551" w:type="dxa"/>
          </w:tcPr>
          <w:p>
            <w:pPr>
              <w:pStyle w:val="TableParagraph"/>
              <w:spacing w:line="276" w:lineRule="exact"/>
              <w:ind w:right="213"/>
              <w:rPr>
                <w:sz w:val="24"/>
              </w:rPr>
            </w:pPr>
            <w:r>
              <w:rPr>
                <w:w w:val="95"/>
                <w:sz w:val="24"/>
              </w:rPr>
              <w:t>$543,547</w:t>
            </w:r>
          </w:p>
        </w:tc>
        <w:tc>
          <w:tcPr>
            <w:tcW w:w="1274" w:type="dxa"/>
          </w:tcPr>
          <w:p>
            <w:pPr>
              <w:pStyle w:val="TableParagraph"/>
              <w:spacing w:line="276" w:lineRule="exact"/>
              <w:ind w:right="48"/>
              <w:rPr>
                <w:sz w:val="24"/>
              </w:rPr>
            </w:pPr>
            <w:r>
              <w:rPr>
                <w:w w:val="95"/>
                <w:sz w:val="24"/>
              </w:rPr>
              <w:t>$467,372</w:t>
            </w:r>
          </w:p>
        </w:tc>
      </w:tr>
      <w:tr>
        <w:trPr>
          <w:trHeight w:val="283" w:hRule="exact"/>
        </w:trPr>
        <w:tc>
          <w:tcPr>
            <w:tcW w:w="5916" w:type="dxa"/>
          </w:tcPr>
          <w:p>
            <w:pPr>
              <w:pStyle w:val="TableParagraph"/>
              <w:spacing w:line="276" w:lineRule="exact"/>
              <w:ind w:left="232"/>
              <w:jc w:val="left"/>
              <w:rPr>
                <w:sz w:val="24"/>
              </w:rPr>
            </w:pPr>
            <w:r>
              <w:rPr>
                <w:sz w:val="24"/>
              </w:rPr>
              <w:t>Scheduled airframe maintenance</w:t>
            </w:r>
          </w:p>
        </w:tc>
        <w:tc>
          <w:tcPr>
            <w:tcW w:w="1551" w:type="dxa"/>
          </w:tcPr>
          <w:p>
            <w:pPr>
              <w:pStyle w:val="TableParagraph"/>
              <w:spacing w:line="276" w:lineRule="exact"/>
              <w:ind w:right="213"/>
              <w:rPr>
                <w:sz w:val="24"/>
              </w:rPr>
            </w:pPr>
            <w:r>
              <w:rPr>
                <w:w w:val="95"/>
                <w:sz w:val="24"/>
              </w:rPr>
              <w:t>33,202</w:t>
            </w:r>
          </w:p>
        </w:tc>
        <w:tc>
          <w:tcPr>
            <w:tcW w:w="1274" w:type="dxa"/>
          </w:tcPr>
          <w:p>
            <w:pPr>
              <w:pStyle w:val="TableParagraph"/>
              <w:spacing w:line="276" w:lineRule="exact"/>
              <w:ind w:right="48"/>
              <w:rPr>
                <w:sz w:val="24"/>
              </w:rPr>
            </w:pPr>
            <w:r>
              <w:rPr>
                <w:w w:val="95"/>
                <w:sz w:val="24"/>
              </w:rPr>
              <w:t>30,984</w:t>
            </w:r>
          </w:p>
        </w:tc>
      </w:tr>
      <w:tr>
        <w:trPr>
          <w:trHeight w:val="283" w:hRule="exact"/>
        </w:trPr>
        <w:tc>
          <w:tcPr>
            <w:tcW w:w="5916" w:type="dxa"/>
          </w:tcPr>
          <w:p>
            <w:pPr>
              <w:pStyle w:val="TableParagraph"/>
              <w:spacing w:line="276" w:lineRule="exact"/>
              <w:ind w:left="232"/>
              <w:jc w:val="left"/>
              <w:rPr>
                <w:sz w:val="24"/>
              </w:rPr>
            </w:pPr>
            <w:r>
              <w:rPr>
                <w:sz w:val="24"/>
              </w:rPr>
              <w:t>Other</w:t>
            </w:r>
          </w:p>
        </w:tc>
        <w:tc>
          <w:tcPr>
            <w:tcW w:w="1551" w:type="dxa"/>
          </w:tcPr>
          <w:p>
            <w:pPr>
              <w:pStyle w:val="TableParagraph"/>
              <w:spacing w:line="276" w:lineRule="exact"/>
              <w:ind w:right="213"/>
              <w:rPr>
                <w:sz w:val="24"/>
              </w:rPr>
            </w:pPr>
            <w:r>
              <w:rPr>
                <w:w w:val="95"/>
                <w:sz w:val="24"/>
              </w:rPr>
              <w:t>83,607</w:t>
            </w:r>
          </w:p>
        </w:tc>
        <w:tc>
          <w:tcPr>
            <w:tcW w:w="1274" w:type="dxa"/>
          </w:tcPr>
          <w:p>
            <w:pPr>
              <w:pStyle w:val="TableParagraph"/>
              <w:spacing w:line="276" w:lineRule="exact"/>
              <w:ind w:right="48"/>
              <w:rPr>
                <w:sz w:val="24"/>
              </w:rPr>
            </w:pPr>
            <w:r>
              <w:rPr>
                <w:w w:val="95"/>
                <w:sz w:val="24"/>
              </w:rPr>
              <w:t>78,195</w:t>
            </w:r>
          </w:p>
        </w:tc>
      </w:tr>
      <w:tr>
        <w:trPr>
          <w:trHeight w:val="276" w:hRule="exact"/>
        </w:trPr>
        <w:tc>
          <w:tcPr>
            <w:tcW w:w="5916" w:type="dxa"/>
          </w:tcPr>
          <w:p>
            <w:pPr>
              <w:pStyle w:val="TableParagraph"/>
              <w:spacing w:line="276" w:lineRule="exact"/>
              <w:ind w:left="592"/>
              <w:jc w:val="left"/>
              <w:rPr>
                <w:sz w:val="24"/>
              </w:rPr>
            </w:pPr>
            <w:r>
              <w:rPr>
                <w:sz w:val="24"/>
              </w:rPr>
              <w:t>Total deferred tax liabilities</w:t>
            </w:r>
          </w:p>
        </w:tc>
        <w:tc>
          <w:tcPr>
            <w:tcW w:w="1551" w:type="dxa"/>
          </w:tcPr>
          <w:p>
            <w:pPr>
              <w:pStyle w:val="TableParagraph"/>
              <w:spacing w:line="276" w:lineRule="exact"/>
              <w:ind w:right="213"/>
              <w:rPr>
                <w:sz w:val="24"/>
              </w:rPr>
            </w:pPr>
            <w:r>
              <w:rPr>
                <w:sz w:val="24"/>
              </w:rPr>
              <w:t>660,356</w:t>
            </w:r>
          </w:p>
        </w:tc>
        <w:tc>
          <w:tcPr>
            <w:tcW w:w="1274" w:type="dxa"/>
          </w:tcPr>
          <w:p>
            <w:pPr>
              <w:pStyle w:val="TableParagraph"/>
              <w:spacing w:line="276" w:lineRule="exact"/>
              <w:ind w:right="48"/>
              <w:rPr>
                <w:sz w:val="24"/>
              </w:rPr>
            </w:pPr>
            <w:r>
              <w:rPr>
                <w:sz w:val="24"/>
              </w:rPr>
              <w:t>576,551</w:t>
            </w:r>
          </w:p>
        </w:tc>
      </w:tr>
      <w:tr>
        <w:trPr>
          <w:trHeight w:val="283" w:hRule="exact"/>
        </w:trPr>
        <w:tc>
          <w:tcPr>
            <w:tcW w:w="5916" w:type="dxa"/>
          </w:tcPr>
          <w:p>
            <w:pPr>
              <w:pStyle w:val="TableParagraph"/>
              <w:spacing w:before="7"/>
              <w:ind w:left="50"/>
              <w:jc w:val="left"/>
              <w:rPr>
                <w:sz w:val="24"/>
              </w:rPr>
            </w:pPr>
            <w:r>
              <w:rPr>
                <w:sz w:val="24"/>
              </w:rPr>
              <w:t>DEFERRED TAX ASSETS:</w:t>
            </w:r>
          </w:p>
        </w:tc>
        <w:tc>
          <w:tcPr>
            <w:tcW w:w="1551" w:type="dxa"/>
          </w:tcPr>
          <w:p>
            <w:pPr/>
          </w:p>
        </w:tc>
        <w:tc>
          <w:tcPr>
            <w:tcW w:w="1274" w:type="dxa"/>
          </w:tcPr>
          <w:p>
            <w:pPr/>
          </w:p>
        </w:tc>
      </w:tr>
      <w:tr>
        <w:trPr>
          <w:trHeight w:val="291" w:hRule="exact"/>
        </w:trPr>
        <w:tc>
          <w:tcPr>
            <w:tcW w:w="5916" w:type="dxa"/>
          </w:tcPr>
          <w:p>
            <w:pPr>
              <w:pStyle w:val="TableParagraph"/>
              <w:spacing w:line="268" w:lineRule="exact"/>
              <w:ind w:left="232"/>
              <w:jc w:val="left"/>
              <w:rPr>
                <w:sz w:val="24"/>
              </w:rPr>
            </w:pPr>
            <w:r>
              <w:rPr>
                <w:sz w:val="24"/>
              </w:rPr>
              <w:t>Deferred gains from sale and leaseback of aircraft</w:t>
            </w:r>
          </w:p>
        </w:tc>
        <w:tc>
          <w:tcPr>
            <w:tcW w:w="2825" w:type="dxa"/>
            <w:gridSpan w:val="2"/>
          </w:tcPr>
          <w:p>
            <w:pPr>
              <w:pStyle w:val="TableParagraph"/>
              <w:tabs>
                <w:tab w:pos="1900" w:val="left" w:leader="none"/>
              </w:tabs>
              <w:spacing w:line="268" w:lineRule="exact"/>
              <w:ind w:left="460"/>
              <w:jc w:val="left"/>
              <w:rPr>
                <w:sz w:val="24"/>
              </w:rPr>
            </w:pPr>
            <w:r>
              <w:rPr>
                <w:sz w:val="24"/>
              </w:rPr>
              <w:t>112,659</w:t>
              <w:tab/>
              <w:t>114,514</w:t>
            </w:r>
          </w:p>
        </w:tc>
      </w:tr>
      <w:tr>
        <w:trPr>
          <w:trHeight w:val="283" w:hRule="exact"/>
        </w:trPr>
        <w:tc>
          <w:tcPr>
            <w:tcW w:w="5916" w:type="dxa"/>
          </w:tcPr>
          <w:p>
            <w:pPr>
              <w:pStyle w:val="TableParagraph"/>
              <w:spacing w:line="276" w:lineRule="exact"/>
              <w:ind w:left="232"/>
              <w:jc w:val="left"/>
              <w:rPr>
                <w:sz w:val="24"/>
              </w:rPr>
            </w:pPr>
            <w:r>
              <w:rPr>
                <w:sz w:val="24"/>
              </w:rPr>
              <w:t>Capital and operating leases</w:t>
            </w:r>
          </w:p>
        </w:tc>
        <w:tc>
          <w:tcPr>
            <w:tcW w:w="2825" w:type="dxa"/>
            <w:gridSpan w:val="2"/>
          </w:tcPr>
          <w:p>
            <w:pPr>
              <w:pStyle w:val="TableParagraph"/>
              <w:tabs>
                <w:tab w:pos="2035" w:val="left" w:leader="none"/>
              </w:tabs>
              <w:spacing w:line="276" w:lineRule="exact"/>
              <w:ind w:left="595"/>
              <w:jc w:val="left"/>
              <w:rPr>
                <w:sz w:val="24"/>
              </w:rPr>
            </w:pPr>
            <w:r>
              <w:rPr>
                <w:sz w:val="24"/>
              </w:rPr>
              <w:t>61,747</w:t>
              <w:tab/>
              <w:t>58,252</w:t>
            </w:r>
          </w:p>
        </w:tc>
      </w:tr>
      <w:tr>
        <w:trPr>
          <w:trHeight w:val="283" w:hRule="exact"/>
        </w:trPr>
        <w:tc>
          <w:tcPr>
            <w:tcW w:w="5916" w:type="dxa"/>
          </w:tcPr>
          <w:p>
            <w:pPr>
              <w:pStyle w:val="TableParagraph"/>
              <w:spacing w:line="276" w:lineRule="exact"/>
              <w:ind w:left="232"/>
              <w:jc w:val="left"/>
              <w:rPr>
                <w:sz w:val="24"/>
              </w:rPr>
            </w:pPr>
            <w:r>
              <w:rPr>
                <w:sz w:val="24"/>
              </w:rPr>
              <w:t>Alternative minimum tax credit carryforward</w:t>
            </w:r>
          </w:p>
        </w:tc>
        <w:tc>
          <w:tcPr>
            <w:tcW w:w="2825" w:type="dxa"/>
            <w:gridSpan w:val="2"/>
          </w:tcPr>
          <w:p>
            <w:pPr>
              <w:pStyle w:val="TableParagraph"/>
              <w:tabs>
                <w:tab w:pos="2169" w:val="left" w:leader="none"/>
              </w:tabs>
              <w:spacing w:line="276" w:lineRule="exact"/>
              <w:ind w:left="1252"/>
              <w:jc w:val="left"/>
              <w:rPr>
                <w:sz w:val="24"/>
              </w:rPr>
            </w:pPr>
            <w:r>
              <w:rPr>
                <w:sz w:val="24"/>
              </w:rPr>
              <w:t>-</w:t>
              <w:tab/>
              <w:t>6,019</w:t>
            </w:r>
          </w:p>
        </w:tc>
      </w:tr>
      <w:tr>
        <w:trPr>
          <w:trHeight w:val="283" w:hRule="exact"/>
        </w:trPr>
        <w:tc>
          <w:tcPr>
            <w:tcW w:w="5916" w:type="dxa"/>
          </w:tcPr>
          <w:p>
            <w:pPr>
              <w:pStyle w:val="TableParagraph"/>
              <w:spacing w:line="276" w:lineRule="exact"/>
              <w:ind w:left="232"/>
              <w:jc w:val="left"/>
              <w:rPr>
                <w:sz w:val="24"/>
              </w:rPr>
            </w:pPr>
            <w:r>
              <w:rPr>
                <w:sz w:val="24"/>
              </w:rPr>
              <w:t>Other</w:t>
            </w:r>
          </w:p>
        </w:tc>
        <w:tc>
          <w:tcPr>
            <w:tcW w:w="2825" w:type="dxa"/>
            <w:gridSpan w:val="2"/>
          </w:tcPr>
          <w:p>
            <w:pPr>
              <w:pStyle w:val="TableParagraph"/>
              <w:tabs>
                <w:tab w:pos="2035" w:val="left" w:leader="none"/>
              </w:tabs>
              <w:spacing w:line="276" w:lineRule="exact"/>
              <w:ind w:left="595"/>
              <w:jc w:val="left"/>
              <w:rPr>
                <w:sz w:val="24"/>
              </w:rPr>
            </w:pPr>
            <w:r>
              <w:rPr>
                <w:sz w:val="24"/>
                <w:u w:val="single"/>
              </w:rPr>
              <w:t>65,812</w:t>
              <w:tab/>
              <w:t>59,339</w:t>
            </w:r>
          </w:p>
        </w:tc>
      </w:tr>
      <w:tr>
        <w:trPr>
          <w:trHeight w:val="283" w:hRule="exact"/>
        </w:trPr>
        <w:tc>
          <w:tcPr>
            <w:tcW w:w="5916" w:type="dxa"/>
          </w:tcPr>
          <w:p>
            <w:pPr>
              <w:pStyle w:val="TableParagraph"/>
              <w:spacing w:line="276" w:lineRule="exact"/>
              <w:ind w:left="592"/>
              <w:jc w:val="left"/>
              <w:rPr>
                <w:sz w:val="24"/>
              </w:rPr>
            </w:pPr>
            <w:r>
              <w:rPr>
                <w:sz w:val="24"/>
              </w:rPr>
              <w:t>Total deferred tax assets</w:t>
            </w:r>
          </w:p>
        </w:tc>
        <w:tc>
          <w:tcPr>
            <w:tcW w:w="2825" w:type="dxa"/>
            <w:gridSpan w:val="2"/>
          </w:tcPr>
          <w:p>
            <w:pPr>
              <w:pStyle w:val="TableParagraph"/>
              <w:tabs>
                <w:tab w:pos="1900" w:val="left" w:leader="none"/>
              </w:tabs>
              <w:spacing w:line="276" w:lineRule="exact"/>
              <w:ind w:left="460"/>
              <w:jc w:val="left"/>
              <w:rPr>
                <w:sz w:val="24"/>
              </w:rPr>
            </w:pPr>
            <w:r>
              <w:rPr>
                <w:sz w:val="24"/>
                <w:u w:val="single"/>
              </w:rPr>
              <w:t>240,218</w:t>
              <w:tab/>
              <w:t>238,124</w:t>
            </w:r>
          </w:p>
        </w:tc>
      </w:tr>
      <w:tr>
        <w:trPr>
          <w:trHeight w:val="276" w:hRule="exact"/>
        </w:trPr>
        <w:tc>
          <w:tcPr>
            <w:tcW w:w="5916" w:type="dxa"/>
          </w:tcPr>
          <w:p>
            <w:pPr>
              <w:pStyle w:val="TableParagraph"/>
              <w:spacing w:line="276" w:lineRule="exact"/>
              <w:ind w:left="592"/>
              <w:jc w:val="left"/>
              <w:rPr>
                <w:sz w:val="24"/>
              </w:rPr>
            </w:pPr>
            <w:r>
              <w:rPr>
                <w:sz w:val="24"/>
              </w:rPr>
              <w:t>Net deferred tax liability</w:t>
            </w:r>
          </w:p>
        </w:tc>
        <w:tc>
          <w:tcPr>
            <w:tcW w:w="2825" w:type="dxa"/>
            <w:gridSpan w:val="2"/>
          </w:tcPr>
          <w:p>
            <w:pPr>
              <w:pStyle w:val="TableParagraph"/>
              <w:tabs>
                <w:tab w:pos="1766" w:val="left" w:leader="none"/>
              </w:tabs>
              <w:spacing w:line="276" w:lineRule="exact"/>
              <w:ind w:left="326"/>
              <w:jc w:val="left"/>
              <w:rPr>
                <w:sz w:val="24"/>
              </w:rPr>
            </w:pPr>
            <w:r>
              <w:rPr>
                <w:sz w:val="24"/>
                <w:u w:val="thick"/>
              </w:rPr>
              <w:t>$420,138</w:t>
              <w:tab/>
              <w:t>$338,427</w:t>
            </w:r>
          </w:p>
        </w:tc>
      </w:tr>
    </w:tbl>
    <w:p>
      <w:pPr>
        <w:pStyle w:val="BodyText"/>
        <w:rPr>
          <w:sz w:val="20"/>
        </w:rPr>
      </w:pPr>
    </w:p>
    <w:p>
      <w:pPr>
        <w:pStyle w:val="BodyText"/>
        <w:spacing w:before="214"/>
        <w:ind w:left="160"/>
      </w:pPr>
      <w:r>
        <w:rPr/>
        <w:t>The provision for income taxes is composed of the following: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ind w:left="160"/>
      </w:pPr>
      <w:r>
        <w:rPr/>
        <w:pict>
          <v:shape style="position:absolute;margin-left:69.5pt;margin-top:-70.407425pt;width:437.05pt;height:140.85pt;mso-position-horizontal-relative:page;mso-position-vertical-relative:paragraph;z-index:49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53"/>
                    <w:gridCol w:w="2641"/>
                    <w:gridCol w:w="1440"/>
                    <w:gridCol w:w="1207"/>
                  </w:tblGrid>
                  <w:tr>
                    <w:trPr>
                      <w:trHeight w:val="268" w:hRule="exact"/>
                    </w:trPr>
                    <w:tc>
                      <w:tcPr>
                        <w:tcW w:w="3453" w:type="dxa"/>
                        <w:tcBorders>
                          <w:bottom w:val="single" w:sz="8" w:space="0" w:color="000000"/>
                        </w:tcBorders>
                      </w:tcPr>
                      <w:p>
                        <w:pPr>
                          <w:pStyle w:val="TableParagraph"/>
                          <w:spacing w:line="268" w:lineRule="exact"/>
                          <w:ind w:left="50"/>
                          <w:jc w:val="left"/>
                          <w:rPr>
                            <w:sz w:val="24"/>
                          </w:rPr>
                        </w:pPr>
                        <w:r>
                          <w:rPr>
                            <w:sz w:val="24"/>
                          </w:rPr>
                          <w:t>(IN THOUSANDS)</w:t>
                        </w:r>
                      </w:p>
                    </w:tc>
                    <w:tc>
                      <w:tcPr>
                        <w:tcW w:w="2641" w:type="dxa"/>
                        <w:tcBorders>
                          <w:bottom w:val="single" w:sz="8" w:space="0" w:color="000000"/>
                        </w:tcBorders>
                      </w:tcPr>
                      <w:p>
                        <w:pPr>
                          <w:pStyle w:val="TableParagraph"/>
                          <w:spacing w:line="268" w:lineRule="exact"/>
                          <w:ind w:left="1637"/>
                          <w:jc w:val="left"/>
                          <w:rPr>
                            <w:sz w:val="24"/>
                          </w:rPr>
                        </w:pPr>
                        <w:r>
                          <w:rPr>
                            <w:sz w:val="24"/>
                          </w:rPr>
                          <w:t>1997</w:t>
                        </w:r>
                      </w:p>
                    </w:tc>
                    <w:tc>
                      <w:tcPr>
                        <w:tcW w:w="1440" w:type="dxa"/>
                        <w:tcBorders>
                          <w:bottom w:val="single" w:sz="8" w:space="0" w:color="000000"/>
                        </w:tcBorders>
                      </w:tcPr>
                      <w:p>
                        <w:pPr>
                          <w:pStyle w:val="TableParagraph"/>
                          <w:spacing w:line="268" w:lineRule="exact"/>
                          <w:ind w:left="436"/>
                          <w:jc w:val="left"/>
                          <w:rPr>
                            <w:sz w:val="24"/>
                          </w:rPr>
                        </w:pPr>
                        <w:r>
                          <w:rPr>
                            <w:sz w:val="24"/>
                          </w:rPr>
                          <w:t>1996</w:t>
                        </w:r>
                      </w:p>
                    </w:tc>
                    <w:tc>
                      <w:tcPr>
                        <w:tcW w:w="1207" w:type="dxa"/>
                        <w:tcBorders>
                          <w:bottom w:val="single" w:sz="8" w:space="0" w:color="000000"/>
                        </w:tcBorders>
                      </w:tcPr>
                      <w:p>
                        <w:pPr>
                          <w:pStyle w:val="TableParagraph"/>
                          <w:spacing w:line="268" w:lineRule="exact"/>
                          <w:ind w:left="436"/>
                          <w:jc w:val="left"/>
                          <w:rPr>
                            <w:sz w:val="24"/>
                          </w:rPr>
                        </w:pPr>
                        <w:r>
                          <w:rPr>
                            <w:sz w:val="24"/>
                          </w:rPr>
                          <w:t>1995</w:t>
                        </w:r>
                      </w:p>
                    </w:tc>
                  </w:tr>
                  <w:tr>
                    <w:trPr>
                      <w:trHeight w:val="574" w:hRule="exact"/>
                    </w:trPr>
                    <w:tc>
                      <w:tcPr>
                        <w:tcW w:w="3453" w:type="dxa"/>
                        <w:tcBorders>
                          <w:top w:val="single" w:sz="8" w:space="0" w:color="000000"/>
                        </w:tcBorders>
                      </w:tcPr>
                      <w:p>
                        <w:pPr>
                          <w:pStyle w:val="TableParagraph"/>
                          <w:spacing w:before="15"/>
                          <w:ind w:left="29" w:right="2143"/>
                          <w:jc w:val="center"/>
                          <w:rPr>
                            <w:sz w:val="24"/>
                          </w:rPr>
                        </w:pPr>
                        <w:r>
                          <w:rPr>
                            <w:sz w:val="24"/>
                          </w:rPr>
                          <w:t>CURRENT:</w:t>
                        </w:r>
                      </w:p>
                      <w:p>
                        <w:pPr>
                          <w:pStyle w:val="TableParagraph"/>
                          <w:spacing w:before="7"/>
                          <w:ind w:left="1" w:right="2143"/>
                          <w:jc w:val="center"/>
                          <w:rPr>
                            <w:sz w:val="24"/>
                          </w:rPr>
                        </w:pPr>
                        <w:r>
                          <w:rPr>
                            <w:sz w:val="24"/>
                          </w:rPr>
                          <w:t>Federal</w:t>
                        </w:r>
                      </w:p>
                    </w:tc>
                    <w:tc>
                      <w:tcPr>
                        <w:tcW w:w="2641" w:type="dxa"/>
                        <w:tcBorders>
                          <w:top w:val="single" w:sz="8" w:space="0" w:color="000000"/>
                        </w:tcBorders>
                      </w:tcPr>
                      <w:p>
                        <w:pPr>
                          <w:pStyle w:val="TableParagraph"/>
                          <w:spacing w:before="10"/>
                          <w:jc w:val="left"/>
                          <w:rPr>
                            <w:sz w:val="25"/>
                          </w:rPr>
                        </w:pPr>
                      </w:p>
                      <w:p>
                        <w:pPr>
                          <w:pStyle w:val="TableParagraph"/>
                          <w:ind w:right="280"/>
                          <w:rPr>
                            <w:sz w:val="24"/>
                          </w:rPr>
                        </w:pPr>
                        <w:r>
                          <w:rPr>
                            <w:w w:val="95"/>
                            <w:sz w:val="24"/>
                          </w:rPr>
                          <w:t>$102,938</w:t>
                        </w:r>
                      </w:p>
                    </w:tc>
                    <w:tc>
                      <w:tcPr>
                        <w:tcW w:w="1440" w:type="dxa"/>
                        <w:tcBorders>
                          <w:top w:val="single" w:sz="8" w:space="0" w:color="000000"/>
                        </w:tcBorders>
                      </w:tcPr>
                      <w:p>
                        <w:pPr>
                          <w:pStyle w:val="TableParagraph"/>
                          <w:spacing w:before="10"/>
                          <w:jc w:val="left"/>
                          <w:rPr>
                            <w:sz w:val="25"/>
                          </w:rPr>
                        </w:pPr>
                      </w:p>
                      <w:p>
                        <w:pPr>
                          <w:pStyle w:val="TableParagraph"/>
                          <w:ind w:right="280"/>
                          <w:rPr>
                            <w:sz w:val="24"/>
                          </w:rPr>
                        </w:pPr>
                        <w:r>
                          <w:rPr>
                            <w:sz w:val="24"/>
                          </w:rPr>
                          <w:t>$59,101</w:t>
                        </w:r>
                      </w:p>
                    </w:tc>
                    <w:tc>
                      <w:tcPr>
                        <w:tcW w:w="1207" w:type="dxa"/>
                        <w:tcBorders>
                          <w:top w:val="single" w:sz="8" w:space="0" w:color="000000"/>
                        </w:tcBorders>
                      </w:tcPr>
                      <w:p>
                        <w:pPr>
                          <w:pStyle w:val="TableParagraph"/>
                          <w:spacing w:before="10"/>
                          <w:jc w:val="left"/>
                          <w:rPr>
                            <w:sz w:val="25"/>
                          </w:rPr>
                        </w:pPr>
                      </w:p>
                      <w:p>
                        <w:pPr>
                          <w:pStyle w:val="TableParagraph"/>
                          <w:ind w:right="48"/>
                          <w:rPr>
                            <w:sz w:val="24"/>
                          </w:rPr>
                        </w:pPr>
                        <w:r>
                          <w:rPr>
                            <w:sz w:val="24"/>
                          </w:rPr>
                          <w:t>$64,420</w:t>
                        </w:r>
                      </w:p>
                    </w:tc>
                  </w:tr>
                  <w:tr>
                    <w:trPr>
                      <w:trHeight w:val="283" w:hRule="exact"/>
                    </w:trPr>
                    <w:tc>
                      <w:tcPr>
                        <w:tcW w:w="3453" w:type="dxa"/>
                      </w:tcPr>
                      <w:p>
                        <w:pPr>
                          <w:pStyle w:val="TableParagraph"/>
                          <w:spacing w:line="276" w:lineRule="exact"/>
                          <w:ind w:left="232"/>
                          <w:jc w:val="left"/>
                          <w:rPr>
                            <w:sz w:val="24"/>
                          </w:rPr>
                        </w:pPr>
                        <w:r>
                          <w:rPr>
                            <w:sz w:val="24"/>
                          </w:rPr>
                          <w:t>State</w:t>
                        </w:r>
                      </w:p>
                    </w:tc>
                    <w:tc>
                      <w:tcPr>
                        <w:tcW w:w="2641" w:type="dxa"/>
                      </w:tcPr>
                      <w:p>
                        <w:pPr>
                          <w:pStyle w:val="TableParagraph"/>
                          <w:spacing w:line="276" w:lineRule="exact"/>
                          <w:ind w:right="280"/>
                          <w:rPr>
                            <w:sz w:val="24"/>
                          </w:rPr>
                        </w:pPr>
                        <w:r>
                          <w:rPr>
                            <w:w w:val="95"/>
                            <w:sz w:val="24"/>
                          </w:rPr>
                          <w:t>14,535</w:t>
                        </w:r>
                      </w:p>
                    </w:tc>
                    <w:tc>
                      <w:tcPr>
                        <w:tcW w:w="1440" w:type="dxa"/>
                      </w:tcPr>
                      <w:p>
                        <w:pPr>
                          <w:pStyle w:val="TableParagraph"/>
                          <w:spacing w:line="276" w:lineRule="exact"/>
                          <w:ind w:right="280"/>
                          <w:rPr>
                            <w:sz w:val="24"/>
                          </w:rPr>
                        </w:pPr>
                        <w:r>
                          <w:rPr>
                            <w:w w:val="95"/>
                            <w:sz w:val="24"/>
                          </w:rPr>
                          <w:t>7,671</w:t>
                        </w:r>
                      </w:p>
                    </w:tc>
                    <w:tc>
                      <w:tcPr>
                        <w:tcW w:w="1207" w:type="dxa"/>
                      </w:tcPr>
                      <w:p>
                        <w:pPr>
                          <w:pStyle w:val="TableParagraph"/>
                          <w:spacing w:line="276" w:lineRule="exact"/>
                          <w:ind w:right="48"/>
                          <w:rPr>
                            <w:sz w:val="24"/>
                          </w:rPr>
                        </w:pPr>
                        <w:r>
                          <w:rPr>
                            <w:w w:val="95"/>
                            <w:sz w:val="24"/>
                          </w:rPr>
                          <w:t>9,947</w:t>
                        </w:r>
                      </w:p>
                    </w:tc>
                  </w:tr>
                  <w:tr>
                    <w:trPr>
                      <w:trHeight w:val="425" w:hRule="exact"/>
                    </w:trPr>
                    <w:tc>
                      <w:tcPr>
                        <w:tcW w:w="3453" w:type="dxa"/>
                      </w:tcPr>
                      <w:p>
                        <w:pPr>
                          <w:pStyle w:val="TableParagraph"/>
                          <w:spacing w:line="276" w:lineRule="exact"/>
                          <w:ind w:left="592"/>
                          <w:jc w:val="left"/>
                          <w:rPr>
                            <w:sz w:val="24"/>
                          </w:rPr>
                        </w:pPr>
                        <w:r>
                          <w:rPr>
                            <w:sz w:val="24"/>
                          </w:rPr>
                          <w:t>Total current</w:t>
                        </w:r>
                      </w:p>
                    </w:tc>
                    <w:tc>
                      <w:tcPr>
                        <w:tcW w:w="2641" w:type="dxa"/>
                      </w:tcPr>
                      <w:p>
                        <w:pPr>
                          <w:pStyle w:val="TableParagraph"/>
                          <w:spacing w:line="276" w:lineRule="exact"/>
                          <w:ind w:right="280"/>
                          <w:rPr>
                            <w:sz w:val="24"/>
                          </w:rPr>
                        </w:pPr>
                        <w:r>
                          <w:rPr>
                            <w:sz w:val="24"/>
                          </w:rPr>
                          <w:t>117,473</w:t>
                        </w:r>
                      </w:p>
                    </w:tc>
                    <w:tc>
                      <w:tcPr>
                        <w:tcW w:w="1440" w:type="dxa"/>
                      </w:tcPr>
                      <w:p>
                        <w:pPr>
                          <w:pStyle w:val="TableParagraph"/>
                          <w:spacing w:line="276" w:lineRule="exact"/>
                          <w:ind w:right="280"/>
                          <w:rPr>
                            <w:sz w:val="24"/>
                          </w:rPr>
                        </w:pPr>
                        <w:r>
                          <w:rPr>
                            <w:w w:val="95"/>
                            <w:sz w:val="24"/>
                          </w:rPr>
                          <w:t>66,772</w:t>
                        </w:r>
                      </w:p>
                    </w:tc>
                    <w:tc>
                      <w:tcPr>
                        <w:tcW w:w="1207" w:type="dxa"/>
                      </w:tcPr>
                      <w:p>
                        <w:pPr>
                          <w:pStyle w:val="TableParagraph"/>
                          <w:spacing w:line="276" w:lineRule="exact"/>
                          <w:ind w:right="48"/>
                          <w:rPr>
                            <w:sz w:val="24"/>
                          </w:rPr>
                        </w:pPr>
                        <w:r>
                          <w:rPr>
                            <w:w w:val="95"/>
                            <w:sz w:val="24"/>
                          </w:rPr>
                          <w:t>74,367</w:t>
                        </w:r>
                      </w:p>
                    </w:tc>
                  </w:tr>
                  <w:tr>
                    <w:trPr>
                      <w:trHeight w:val="425" w:hRule="exact"/>
                    </w:trPr>
                    <w:tc>
                      <w:tcPr>
                        <w:tcW w:w="3453" w:type="dxa"/>
                      </w:tcPr>
                      <w:p>
                        <w:pPr>
                          <w:pStyle w:val="TableParagraph"/>
                          <w:spacing w:before="141"/>
                          <w:ind w:left="232"/>
                          <w:jc w:val="left"/>
                          <w:rPr>
                            <w:sz w:val="24"/>
                          </w:rPr>
                        </w:pPr>
                        <w:r>
                          <w:rPr>
                            <w:sz w:val="24"/>
                          </w:rPr>
                          <w:t>Federal</w:t>
                        </w:r>
                      </w:p>
                    </w:tc>
                    <w:tc>
                      <w:tcPr>
                        <w:tcW w:w="5288" w:type="dxa"/>
                        <w:gridSpan w:val="3"/>
                      </w:tcPr>
                      <w:p>
                        <w:pPr>
                          <w:pStyle w:val="TableParagraph"/>
                          <w:tabs>
                            <w:tab w:pos="3057" w:val="left" w:leader="none"/>
                            <w:tab w:pos="4497" w:val="left" w:leader="none"/>
                          </w:tabs>
                          <w:spacing w:before="141"/>
                          <w:ind w:left="1618"/>
                          <w:jc w:val="left"/>
                          <w:rPr>
                            <w:sz w:val="24"/>
                          </w:rPr>
                        </w:pPr>
                        <w:r>
                          <w:rPr>
                            <w:sz w:val="24"/>
                          </w:rPr>
                          <w:t>75,990</w:t>
                          <w:tab/>
                          <w:t>60,967</w:t>
                          <w:tab/>
                          <w:t>44,580</w:t>
                        </w:r>
                      </w:p>
                    </w:tc>
                  </w:tr>
                  <w:tr>
                    <w:trPr>
                      <w:trHeight w:val="283" w:hRule="exact"/>
                    </w:trPr>
                    <w:tc>
                      <w:tcPr>
                        <w:tcW w:w="3453" w:type="dxa"/>
                      </w:tcPr>
                      <w:p>
                        <w:pPr>
                          <w:pStyle w:val="TableParagraph"/>
                          <w:spacing w:line="276" w:lineRule="exact"/>
                          <w:ind w:left="232"/>
                          <w:jc w:val="left"/>
                          <w:rPr>
                            <w:sz w:val="24"/>
                          </w:rPr>
                        </w:pPr>
                        <w:r>
                          <w:rPr>
                            <w:sz w:val="24"/>
                          </w:rPr>
                          <w:t>State</w:t>
                        </w:r>
                      </w:p>
                    </w:tc>
                    <w:tc>
                      <w:tcPr>
                        <w:tcW w:w="5288" w:type="dxa"/>
                        <w:gridSpan w:val="3"/>
                      </w:tcPr>
                      <w:p>
                        <w:pPr>
                          <w:pStyle w:val="TableParagraph"/>
                          <w:tabs>
                            <w:tab w:pos="3192" w:val="left" w:leader="none"/>
                            <w:tab w:pos="4632" w:val="left" w:leader="none"/>
                          </w:tabs>
                          <w:spacing w:line="276" w:lineRule="exact"/>
                          <w:ind w:left="1752"/>
                          <w:jc w:val="left"/>
                          <w:rPr>
                            <w:sz w:val="24"/>
                          </w:rPr>
                        </w:pPr>
                        <w:r>
                          <w:rPr>
                            <w:sz w:val="24"/>
                            <w:u w:val="single"/>
                          </w:rPr>
                          <w:t>5,721</w:t>
                          <w:tab/>
                          <w:t>6,286</w:t>
                          <w:tab/>
                          <w:t>3,567</w:t>
                        </w:r>
                      </w:p>
                    </w:tc>
                  </w:tr>
                  <w:tr>
                    <w:trPr>
                      <w:trHeight w:val="283" w:hRule="exact"/>
                    </w:trPr>
                    <w:tc>
                      <w:tcPr>
                        <w:tcW w:w="3453" w:type="dxa"/>
                      </w:tcPr>
                      <w:p>
                        <w:pPr>
                          <w:pStyle w:val="TableParagraph"/>
                          <w:spacing w:line="276" w:lineRule="exact"/>
                          <w:ind w:left="592"/>
                          <w:jc w:val="left"/>
                          <w:rPr>
                            <w:sz w:val="24"/>
                          </w:rPr>
                        </w:pPr>
                        <w:r>
                          <w:rPr>
                            <w:sz w:val="24"/>
                          </w:rPr>
                          <w:t>Total deferred</w:t>
                        </w:r>
                      </w:p>
                    </w:tc>
                    <w:tc>
                      <w:tcPr>
                        <w:tcW w:w="5288" w:type="dxa"/>
                        <w:gridSpan w:val="3"/>
                      </w:tcPr>
                      <w:p>
                        <w:pPr>
                          <w:pStyle w:val="TableParagraph"/>
                          <w:tabs>
                            <w:tab w:pos="3057" w:val="left" w:leader="none"/>
                            <w:tab w:pos="4497" w:val="left" w:leader="none"/>
                          </w:tabs>
                          <w:spacing w:line="276" w:lineRule="exact"/>
                          <w:ind w:left="1618"/>
                          <w:jc w:val="left"/>
                          <w:rPr>
                            <w:sz w:val="24"/>
                          </w:rPr>
                        </w:pPr>
                        <w:r>
                          <w:rPr>
                            <w:sz w:val="24"/>
                            <w:u w:val="single"/>
                          </w:rPr>
                          <w:t>81,711</w:t>
                          <w:tab/>
                          <w:t>67,253</w:t>
                          <w:tab/>
                          <w:t>48,147</w:t>
                        </w:r>
                      </w:p>
                    </w:tc>
                  </w:tr>
                  <w:tr>
                    <w:trPr>
                      <w:trHeight w:val="276" w:hRule="exact"/>
                    </w:trPr>
                    <w:tc>
                      <w:tcPr>
                        <w:tcW w:w="3453" w:type="dxa"/>
                      </w:tcPr>
                      <w:p>
                        <w:pPr/>
                      </w:p>
                    </w:tc>
                    <w:tc>
                      <w:tcPr>
                        <w:tcW w:w="5288" w:type="dxa"/>
                        <w:gridSpan w:val="3"/>
                      </w:tcPr>
                      <w:p>
                        <w:pPr>
                          <w:pStyle w:val="TableParagraph"/>
                          <w:tabs>
                            <w:tab w:pos="2789" w:val="left" w:leader="none"/>
                            <w:tab w:pos="4229" w:val="left" w:leader="none"/>
                          </w:tabs>
                          <w:spacing w:line="276" w:lineRule="exact"/>
                          <w:ind w:left="1349"/>
                          <w:jc w:val="left"/>
                          <w:rPr>
                            <w:sz w:val="24"/>
                          </w:rPr>
                        </w:pPr>
                        <w:r>
                          <w:rPr>
                            <w:sz w:val="24"/>
                            <w:u w:val="thick"/>
                          </w:rPr>
                          <w:t>$199,184</w:t>
                          <w:tab/>
                          <w:t>$134,025</w:t>
                          <w:tab/>
                          <w:t>$122,514</w:t>
                        </w:r>
                      </w:p>
                    </w:tc>
                  </w:tr>
                </w:tbl>
                <w:p>
                  <w:pPr>
                    <w:pStyle w:val="BodyText"/>
                  </w:pPr>
                </w:p>
              </w:txbxContent>
            </v:textbox>
            <w10:wrap type="none"/>
          </v:shape>
        </w:pict>
      </w:r>
      <w:r>
        <w:rPr/>
        <w:t>DEFERRED:</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5"/>
        </w:rPr>
      </w:pPr>
    </w:p>
    <w:p>
      <w:pPr>
        <w:pStyle w:val="BodyText"/>
        <w:spacing w:line="240" w:lineRule="exact"/>
        <w:ind w:left="160" w:right="188" w:firstLine="182"/>
      </w:pPr>
      <w:r>
        <w:rPr/>
        <w:t>Southwest has received examination reports from the Internal Revenue Service (IRS) proposing certain adjustments to Southwest’s income tax returns for 1989 through 1991. The adjustments relate to aircraft maintenance costs incurred by Southwest, as well as other members of the aviation industry, during that time period. Southwest intends to vigorously protest the adjustments proposed, with which it does not agree.</w:t>
      </w:r>
    </w:p>
    <w:p>
      <w:pPr>
        <w:pStyle w:val="BodyText"/>
        <w:spacing w:line="240" w:lineRule="exact"/>
        <w:ind w:left="160"/>
      </w:pPr>
      <w:r>
        <w:rPr/>
        <w:t>The industry’s difference with the IRS involves complex issues of law and fact that are likely to take a substantial period of time to resolve. Management believes that final</w:t>
      </w:r>
    </w:p>
    <w:p>
      <w:pPr>
        <w:spacing w:after="0" w:line="240" w:lineRule="exact"/>
        <w:sectPr>
          <w:pgSz w:w="12240" w:h="15840"/>
          <w:pgMar w:header="1592" w:footer="790" w:top="2120" w:bottom="980" w:left="1280" w:right="1320"/>
        </w:sectPr>
      </w:pPr>
    </w:p>
    <w:p>
      <w:pPr>
        <w:pStyle w:val="BodyText"/>
        <w:spacing w:before="6"/>
        <w:rPr>
          <w:sz w:val="9"/>
        </w:rPr>
      </w:pPr>
    </w:p>
    <w:p>
      <w:pPr>
        <w:pStyle w:val="BodyText"/>
        <w:spacing w:line="240" w:lineRule="exact" w:before="125"/>
        <w:ind w:left="119" w:right="203"/>
      </w:pPr>
      <w:r>
        <w:rPr/>
        <w:t>resolution of such protest will not have a materially adverse effect upon the results of operations of Southwest.</w:t>
      </w:r>
    </w:p>
    <w:p>
      <w:pPr>
        <w:pStyle w:val="BodyText"/>
        <w:spacing w:before="9"/>
        <w:rPr>
          <w:sz w:val="20"/>
        </w:rPr>
      </w:pPr>
    </w:p>
    <w:p>
      <w:pPr>
        <w:pStyle w:val="BodyText"/>
        <w:spacing w:line="240" w:lineRule="exact"/>
        <w:ind w:left="119" w:firstLine="182"/>
      </w:pPr>
      <w:r>
        <w:rPr/>
        <w:t>The effective tax rate on income before income taxes differed from the federal income tax statutory rate for the following reasons:</w:t>
      </w:r>
    </w:p>
    <w:p>
      <w:pPr>
        <w:pStyle w:val="BodyText"/>
        <w:spacing w:before="4"/>
        <w:rPr>
          <w:sz w:val="38"/>
        </w:rPr>
      </w:pPr>
    </w:p>
    <w:p>
      <w:pPr>
        <w:pStyle w:val="BodyText"/>
        <w:tabs>
          <w:tab w:pos="5159" w:val="left" w:leader="none"/>
          <w:tab w:pos="6599" w:val="left" w:leader="none"/>
          <w:tab w:pos="8039" w:val="left" w:leader="none"/>
        </w:tabs>
        <w:spacing w:before="1"/>
        <w:ind w:left="119"/>
      </w:pPr>
      <w:r>
        <w:rPr/>
        <w:pict>
          <v:line style="position:absolute;mso-position-horizontal-relative:page;mso-position-vertical-relative:paragraph;z-index:-144208" from="72pt,12.985857pt" to="494.64pt,12.985857pt" stroked="true" strokeweight=".96pt" strokecolor="#000000">
            <v:stroke dashstyle="solid"/>
            <w10:wrap type="none"/>
          </v:line>
        </w:pict>
      </w:r>
      <w:r>
        <w:rPr/>
        <w:t>(IN</w:t>
      </w:r>
      <w:r>
        <w:rPr>
          <w:spacing w:val="2"/>
        </w:rPr>
        <w:t> </w:t>
      </w:r>
      <w:r>
        <w:rPr/>
        <w:t>THOUSANDS)</w:t>
        <w:tab/>
        <w:t>1997</w:t>
        <w:tab/>
        <w:t>1996</w:t>
        <w:tab/>
        <w:t>1995</w:t>
      </w:r>
    </w:p>
    <w:p>
      <w:pPr>
        <w:pStyle w:val="BodyText"/>
        <w:spacing w:before="7"/>
        <w:ind w:left="120"/>
      </w:pPr>
      <w:r>
        <w:rPr/>
        <w:t>Tax at statutory</w:t>
      </w:r>
    </w:p>
    <w:p>
      <w:pPr>
        <w:pStyle w:val="BodyText"/>
        <w:tabs>
          <w:tab w:pos="4871" w:val="left" w:leader="none"/>
          <w:tab w:pos="5275" w:val="left" w:leader="none"/>
          <w:tab w:pos="6715" w:val="left" w:leader="none"/>
          <w:tab w:pos="8155" w:val="left" w:leader="none"/>
        </w:tabs>
        <w:spacing w:line="247" w:lineRule="auto" w:before="7"/>
        <w:ind w:left="120" w:right="837" w:firstLine="182"/>
        <w:jc w:val="both"/>
      </w:pPr>
      <w:r>
        <w:rPr/>
        <w:t>U.S.</w:t>
      </w:r>
      <w:r>
        <w:rPr>
          <w:spacing w:val="1"/>
        </w:rPr>
        <w:t> </w:t>
      </w:r>
      <w:r>
        <w:rPr/>
        <w:t>tax</w:t>
      </w:r>
      <w:r>
        <w:rPr>
          <w:spacing w:val="-6"/>
        </w:rPr>
        <w:t> </w:t>
      </w:r>
      <w:r>
        <w:rPr>
          <w:spacing w:val="2"/>
        </w:rPr>
        <w:t>rates</w:t>
        <w:tab/>
      </w:r>
      <w:r>
        <w:rPr/>
        <w:t>$180,935     </w:t>
      </w:r>
      <w:r>
        <w:rPr>
          <w:spacing w:val="31"/>
        </w:rPr>
        <w:t> </w:t>
      </w:r>
      <w:r>
        <w:rPr/>
        <w:t>$119,477     </w:t>
      </w:r>
      <w:r>
        <w:rPr>
          <w:spacing w:val="31"/>
        </w:rPr>
        <w:t> </w:t>
      </w:r>
      <w:r>
        <w:rPr/>
        <w:t>$106,799</w:t>
      </w:r>
      <w:r>
        <w:rPr>
          <w:w w:val="99"/>
        </w:rPr>
        <w:t> </w:t>
      </w:r>
      <w:r>
        <w:rPr/>
        <w:t>Nondeductible</w:t>
      </w:r>
      <w:r>
        <w:rPr>
          <w:spacing w:val="2"/>
        </w:rPr>
        <w:t> </w:t>
      </w:r>
      <w:r>
        <w:rPr/>
        <w:t>items</w:t>
        <w:tab/>
        <w:tab/>
        <w:t>5,893</w:t>
        <w:tab/>
        <w:t>5,168</w:t>
        <w:tab/>
        <w:t>4,488 </w:t>
      </w:r>
      <w:r>
        <w:rPr>
          <w:spacing w:val="-4"/>
        </w:rPr>
        <w:t>State </w:t>
      </w:r>
      <w:r>
        <w:rPr/>
        <w:t>income</w:t>
      </w:r>
      <w:r>
        <w:rPr>
          <w:spacing w:val="14"/>
        </w:rPr>
        <w:t> </w:t>
      </w:r>
      <w:r>
        <w:rPr/>
        <w:t>taxes,</w:t>
      </w:r>
    </w:p>
    <w:p>
      <w:pPr>
        <w:pStyle w:val="BodyText"/>
        <w:tabs>
          <w:tab w:pos="5140" w:val="left" w:leader="none"/>
          <w:tab w:pos="6715" w:val="left" w:leader="none"/>
          <w:tab w:pos="8155" w:val="left" w:leader="none"/>
        </w:tabs>
        <w:spacing w:line="275" w:lineRule="exact"/>
        <w:ind w:left="302"/>
      </w:pPr>
      <w:r>
        <w:rPr/>
        <w:t>net of</w:t>
      </w:r>
      <w:r>
        <w:rPr>
          <w:spacing w:val="2"/>
        </w:rPr>
        <w:t> </w:t>
      </w:r>
      <w:r>
        <w:rPr/>
        <w:t>federal</w:t>
      </w:r>
      <w:r>
        <w:rPr>
          <w:spacing w:val="6"/>
        </w:rPr>
        <w:t> </w:t>
      </w:r>
      <w:r>
        <w:rPr/>
        <w:t>benefit</w:t>
        <w:tab/>
        <w:t>13,166</w:t>
        <w:tab/>
        <w:t>9,072</w:t>
        <w:tab/>
        <w:t>8,784</w:t>
      </w:r>
    </w:p>
    <w:p>
      <w:pPr>
        <w:pStyle w:val="BodyText"/>
        <w:tabs>
          <w:tab w:pos="4871" w:val="left" w:leader="none"/>
          <w:tab w:pos="5313" w:val="left" w:leader="none"/>
          <w:tab w:pos="6311" w:val="left" w:leader="none"/>
          <w:tab w:pos="6916" w:val="left" w:leader="none"/>
          <w:tab w:pos="7751" w:val="left" w:leader="none"/>
          <w:tab w:pos="8155" w:val="left" w:leader="none"/>
        </w:tabs>
        <w:spacing w:line="247" w:lineRule="auto" w:before="7"/>
        <w:ind w:left="302" w:right="837" w:hanging="183"/>
      </w:pPr>
      <w:r>
        <w:rPr/>
        <w:t>Other, net</w:t>
        <w:tab/>
        <w:tab/>
      </w:r>
      <w:r>
        <w:rPr>
          <w:u w:val="single"/>
        </w:rPr>
        <w:t>(810)</w:t>
        <w:tab/>
        <w:tab/>
        <w:t>308</w:t>
        <w:tab/>
        <w:tab/>
        <w:t>2,443 </w:t>
      </w:r>
      <w:r>
        <w:rPr>
          <w:spacing w:val="3"/>
        </w:rPr>
        <w:t>Total </w:t>
      </w:r>
      <w:r>
        <w:rPr/>
        <w:t>income</w:t>
      </w:r>
      <w:r>
        <w:rPr>
          <w:spacing w:val="-9"/>
        </w:rPr>
        <w:t> </w:t>
      </w:r>
      <w:r>
        <w:rPr/>
        <w:t>tax</w:t>
      </w:r>
      <w:r>
        <w:rPr>
          <w:spacing w:val="-5"/>
        </w:rPr>
        <w:t> </w:t>
      </w:r>
      <w:r>
        <w:rPr/>
        <w:t>provision</w:t>
        <w:tab/>
      </w:r>
      <w:r>
        <w:rPr>
          <w:u w:val="thick"/>
        </w:rPr>
        <w:t>$199,184</w:t>
        <w:tab/>
        <w:t>$134,025</w:t>
        <w:tab/>
        <w:t>$122,514</w:t>
      </w:r>
    </w:p>
    <w:p>
      <w:pPr>
        <w:pStyle w:val="BodyText"/>
        <w:spacing w:before="5"/>
        <w:rPr>
          <w:sz w:val="29"/>
        </w:rPr>
      </w:pPr>
    </w:p>
    <w:p>
      <w:pPr>
        <w:pStyle w:val="Heading3"/>
        <w:numPr>
          <w:ilvl w:val="0"/>
          <w:numId w:val="2"/>
        </w:numPr>
        <w:tabs>
          <w:tab w:pos="524" w:val="left" w:leader="none"/>
        </w:tabs>
        <w:spacing w:line="240" w:lineRule="auto" w:before="92" w:after="0"/>
        <w:ind w:left="523" w:right="0" w:hanging="403"/>
        <w:jc w:val="left"/>
      </w:pPr>
      <w:r>
        <w:rPr>
          <w:color w:val="008080"/>
        </w:rPr>
        <w:t>NET INCOME PER</w:t>
      </w:r>
      <w:r>
        <w:rPr>
          <w:color w:val="008080"/>
          <w:spacing w:val="-18"/>
        </w:rPr>
        <w:t> </w:t>
      </w:r>
      <w:r>
        <w:rPr>
          <w:color w:val="008080"/>
        </w:rPr>
        <w:t>SHARE</w:t>
      </w:r>
    </w:p>
    <w:p>
      <w:pPr>
        <w:pStyle w:val="BodyText"/>
        <w:spacing w:before="11"/>
        <w:rPr>
          <w:b/>
          <w:sz w:val="28"/>
        </w:rPr>
      </w:pPr>
    </w:p>
    <w:p>
      <w:pPr>
        <w:pStyle w:val="BodyText"/>
        <w:ind w:left="120"/>
      </w:pPr>
      <w:r>
        <w:rPr/>
        <w:t>The following table sets forth the computation of basic and diluted earnings per share:</w:t>
      </w:r>
    </w:p>
    <w:p>
      <w:pPr>
        <w:pStyle w:val="BodyText"/>
        <w:rPr>
          <w:sz w:val="26"/>
        </w:rPr>
      </w:pPr>
    </w:p>
    <w:p>
      <w:pPr>
        <w:spacing w:before="187"/>
        <w:ind w:left="120" w:right="0" w:firstLine="0"/>
        <w:jc w:val="left"/>
        <w:rPr>
          <w:sz w:val="20"/>
        </w:rPr>
      </w:pPr>
      <w:r>
        <w:rPr>
          <w:sz w:val="20"/>
        </w:rPr>
        <w:t>(IN THOUSANDS EXCEPT</w:t>
      </w:r>
    </w:p>
    <w:p>
      <w:pPr>
        <w:tabs>
          <w:tab w:pos="5159" w:val="left" w:leader="none"/>
          <w:tab w:pos="6599" w:val="left" w:leader="none"/>
          <w:tab w:pos="8039" w:val="left" w:leader="none"/>
        </w:tabs>
        <w:spacing w:line="247" w:lineRule="auto" w:before="5"/>
        <w:ind w:left="120" w:right="1020" w:firstLine="0"/>
        <w:jc w:val="left"/>
        <w:rPr>
          <w:sz w:val="24"/>
        </w:rPr>
      </w:pPr>
      <w:r>
        <w:rPr/>
        <w:pict>
          <v:line style="position:absolute;mso-position-horizontal-relative:page;mso-position-vertical-relative:paragraph;z-index:-144184" from="72pt,13.185858pt" to="494.64pt,13.185858pt" stroked="true" strokeweight=".96pt" strokecolor="#000000">
            <v:stroke dashstyle="solid"/>
            <w10:wrap type="none"/>
          </v:line>
        </w:pict>
      </w:r>
      <w:r>
        <w:rPr>
          <w:sz w:val="20"/>
        </w:rPr>
        <w:t>PER</w:t>
      </w:r>
      <w:r>
        <w:rPr>
          <w:spacing w:val="4"/>
          <w:sz w:val="20"/>
        </w:rPr>
        <w:t> </w:t>
      </w:r>
      <w:r>
        <w:rPr>
          <w:spacing w:val="-3"/>
          <w:sz w:val="20"/>
        </w:rPr>
        <w:t>SHARE</w:t>
      </w:r>
      <w:r>
        <w:rPr>
          <w:spacing w:val="8"/>
          <w:sz w:val="20"/>
        </w:rPr>
        <w:t> </w:t>
      </w:r>
      <w:r>
        <w:rPr>
          <w:sz w:val="20"/>
        </w:rPr>
        <w:t>AMOUNTS)</w:t>
        <w:tab/>
      </w:r>
      <w:r>
        <w:rPr>
          <w:sz w:val="24"/>
        </w:rPr>
        <w:t>1997</w:t>
        <w:tab/>
        <w:t>1996</w:t>
        <w:tab/>
        <w:t>1995 NUMERATOR:</w:t>
      </w:r>
    </w:p>
    <w:p>
      <w:pPr>
        <w:pStyle w:val="BodyText"/>
        <w:spacing w:line="247" w:lineRule="auto"/>
        <w:ind w:left="302" w:right="6570" w:hanging="183"/>
      </w:pPr>
      <w:r>
        <w:rPr/>
        <w:t>Net income, available to stockholders – numerator for basic and diluted</w:t>
      </w:r>
    </w:p>
    <w:p>
      <w:pPr>
        <w:pStyle w:val="BodyText"/>
        <w:tabs>
          <w:tab w:pos="4871" w:val="left" w:leader="none"/>
          <w:tab w:pos="6311" w:val="left" w:leader="none"/>
          <w:tab w:pos="7751" w:val="left" w:leader="none"/>
        </w:tabs>
        <w:spacing w:line="275" w:lineRule="exact" w:before="1"/>
        <w:ind w:left="302"/>
      </w:pPr>
      <w:r>
        <w:rPr/>
        <w:t>earnings per</w:t>
      </w:r>
      <w:r>
        <w:rPr>
          <w:spacing w:val="2"/>
        </w:rPr>
        <w:t> </w:t>
      </w:r>
      <w:r>
        <w:rPr/>
        <w:t>share</w:t>
        <w:tab/>
      </w:r>
      <w:r>
        <w:rPr>
          <w:u w:val="thick"/>
        </w:rPr>
        <w:t>$317,772</w:t>
        <w:tab/>
        <w:t>$207,337</w:t>
        <w:tab/>
        <w:t>$182,626</w:t>
      </w:r>
    </w:p>
    <w:p>
      <w:pPr>
        <w:pStyle w:val="BodyText"/>
        <w:spacing w:before="2"/>
        <w:rPr>
          <w:sz w:val="17"/>
        </w:rPr>
      </w:pPr>
    </w:p>
    <w:p>
      <w:pPr>
        <w:pStyle w:val="BodyText"/>
        <w:spacing w:before="92"/>
        <w:ind w:left="120"/>
      </w:pPr>
      <w:r>
        <w:rPr/>
        <w:t>DENOMINATOR:</w:t>
      </w:r>
    </w:p>
    <w:p>
      <w:pPr>
        <w:pStyle w:val="BodyText"/>
        <w:spacing w:before="7"/>
        <w:ind w:left="120"/>
      </w:pPr>
      <w:r>
        <w:rPr/>
        <w:t>Weighted-average shares</w:t>
      </w:r>
    </w:p>
    <w:p>
      <w:pPr>
        <w:pStyle w:val="BodyText"/>
        <w:tabs>
          <w:tab w:pos="5006" w:val="left" w:leader="none"/>
          <w:tab w:pos="6446" w:val="left" w:leader="none"/>
          <w:tab w:pos="7886" w:val="left" w:leader="none"/>
        </w:tabs>
        <w:spacing w:line="247" w:lineRule="auto" w:before="7"/>
        <w:ind w:left="120" w:right="837" w:firstLine="182"/>
      </w:pPr>
      <w:r>
        <w:rPr/>
        <w:t>outstanding,</w:t>
      </w:r>
      <w:r>
        <w:rPr>
          <w:spacing w:val="1"/>
        </w:rPr>
        <w:t> </w:t>
      </w:r>
      <w:r>
        <w:rPr/>
        <w:t>basic</w:t>
        <w:tab/>
        <w:t>219,088</w:t>
        <w:tab/>
        <w:t>217,118</w:t>
        <w:tab/>
        <w:t>215,517 Dilutive effect of</w:t>
      </w:r>
      <w:r>
        <w:rPr>
          <w:spacing w:val="5"/>
        </w:rPr>
        <w:t> </w:t>
      </w:r>
      <w:r>
        <w:rPr/>
        <w:t>Employee</w:t>
      </w:r>
    </w:p>
    <w:p>
      <w:pPr>
        <w:pStyle w:val="BodyText"/>
        <w:tabs>
          <w:tab w:pos="5275" w:val="left" w:leader="none"/>
          <w:tab w:pos="6715" w:val="left" w:leader="none"/>
          <w:tab w:pos="8155" w:val="left" w:leader="none"/>
        </w:tabs>
        <w:spacing w:line="247" w:lineRule="auto"/>
        <w:ind w:left="120" w:right="837" w:firstLine="182"/>
      </w:pPr>
      <w:r>
        <w:rPr/>
        <w:t>stock</w:t>
      </w:r>
      <w:r>
        <w:rPr>
          <w:spacing w:val="2"/>
        </w:rPr>
        <w:t> </w:t>
      </w:r>
      <w:r>
        <w:rPr/>
        <w:t>options</w:t>
        <w:tab/>
      </w:r>
      <w:r>
        <w:rPr>
          <w:u w:val="single"/>
        </w:rPr>
        <w:t>8,371</w:t>
        <w:tab/>
        <w:t>7,873</w:t>
        <w:tab/>
        <w:t>6,247 </w:t>
      </w:r>
      <w:r>
        <w:rPr/>
        <w:t>Adjusted</w:t>
      </w:r>
      <w:r>
        <w:rPr>
          <w:spacing w:val="-11"/>
        </w:rPr>
        <w:t> </w:t>
      </w:r>
      <w:r>
        <w:rPr/>
        <w:t>weighted-average</w:t>
      </w:r>
    </w:p>
    <w:p>
      <w:pPr>
        <w:pStyle w:val="BodyText"/>
        <w:spacing w:line="275" w:lineRule="exact" w:before="1"/>
        <w:ind w:left="302"/>
      </w:pPr>
      <w:r>
        <w:rPr/>
        <w:t>shares outstanding,</w:t>
      </w:r>
    </w:p>
    <w:p>
      <w:pPr>
        <w:pStyle w:val="BodyText"/>
        <w:tabs>
          <w:tab w:pos="5006" w:val="left" w:leader="none"/>
          <w:tab w:pos="6446" w:val="left" w:leader="none"/>
          <w:tab w:pos="7886" w:val="left" w:leader="none"/>
        </w:tabs>
        <w:spacing w:before="7"/>
        <w:ind w:left="302"/>
      </w:pPr>
      <w:r>
        <w:rPr/>
        <w:t>diluted</w:t>
        <w:tab/>
      </w:r>
      <w:r>
        <w:rPr>
          <w:u w:val="thick"/>
        </w:rPr>
        <w:t>227,459</w:t>
        <w:tab/>
        <w:t>224,991</w:t>
        <w:tab/>
        <w:t>221,764</w:t>
      </w:r>
    </w:p>
    <w:p>
      <w:pPr>
        <w:pStyle w:val="BodyText"/>
        <w:spacing w:before="2"/>
        <w:rPr>
          <w:sz w:val="17"/>
        </w:rPr>
      </w:pPr>
    </w:p>
    <w:p>
      <w:pPr>
        <w:pStyle w:val="BodyText"/>
        <w:spacing w:before="93"/>
        <w:ind w:left="120"/>
      </w:pPr>
      <w:r>
        <w:rPr/>
        <w:t>NET INCOME PER SHARE:</w:t>
      </w:r>
    </w:p>
    <w:p>
      <w:pPr>
        <w:pStyle w:val="BodyText"/>
        <w:tabs>
          <w:tab w:pos="5275" w:val="left" w:leader="none"/>
          <w:tab w:pos="6849" w:val="left" w:leader="none"/>
          <w:tab w:pos="8289" w:val="left" w:leader="none"/>
        </w:tabs>
        <w:spacing w:before="7"/>
        <w:ind w:left="302"/>
      </w:pPr>
      <w:r>
        <w:rPr/>
        <w:t>Basic</w:t>
        <w:tab/>
      </w:r>
      <w:r>
        <w:rPr>
          <w:u w:val="thick"/>
        </w:rPr>
        <w:t>$1.45</w:t>
        <w:tab/>
        <w:t>$.95</w:t>
        <w:tab/>
        <w:t>$.85</w:t>
      </w:r>
    </w:p>
    <w:p>
      <w:pPr>
        <w:pStyle w:val="BodyText"/>
        <w:tabs>
          <w:tab w:pos="5275" w:val="left" w:leader="none"/>
          <w:tab w:pos="6849" w:val="left" w:leader="none"/>
          <w:tab w:pos="8289" w:val="left" w:leader="none"/>
        </w:tabs>
        <w:spacing w:before="7"/>
        <w:ind w:left="302"/>
      </w:pPr>
      <w:r>
        <w:rPr/>
        <w:t>Diluted</w:t>
        <w:tab/>
      </w:r>
      <w:r>
        <w:rPr>
          <w:u w:val="thick"/>
        </w:rPr>
        <w:t>$1.40</w:t>
        <w:tab/>
        <w:t>$.92</w:t>
        <w:tab/>
        <w:t>$.82</w:t>
      </w:r>
    </w:p>
    <w:p>
      <w:pPr>
        <w:spacing w:after="0"/>
        <w:sectPr>
          <w:footerReference w:type="default" r:id="rId15"/>
          <w:pgSz w:w="12240" w:h="15840"/>
          <w:pgMar w:footer="790" w:header="1592" w:top="2120" w:bottom="980" w:left="1320" w:right="1320"/>
        </w:sectPr>
      </w:pPr>
    </w:p>
    <w:p>
      <w:pPr>
        <w:pStyle w:val="BodyText"/>
        <w:spacing w:before="6"/>
        <w:rPr>
          <w:sz w:val="29"/>
        </w:rPr>
      </w:pPr>
    </w:p>
    <w:p>
      <w:pPr>
        <w:pStyle w:val="Heading3"/>
        <w:spacing w:line="312" w:lineRule="auto" w:before="93"/>
        <w:ind w:right="5474"/>
      </w:pPr>
      <w:r>
        <w:rPr/>
        <w:t>REPORT OF ERNST &amp; YOUNG LLP INDEPENDENT AUDITORS</w:t>
      </w:r>
    </w:p>
    <w:p>
      <w:pPr>
        <w:pStyle w:val="BodyText"/>
        <w:spacing w:before="7"/>
        <w:rPr>
          <w:b/>
          <w:sz w:val="31"/>
        </w:rPr>
      </w:pPr>
    </w:p>
    <w:p>
      <w:pPr>
        <w:spacing w:line="312" w:lineRule="auto" w:before="0"/>
        <w:ind w:left="119" w:right="4766" w:firstLine="0"/>
        <w:jc w:val="left"/>
        <w:rPr>
          <w:b/>
          <w:sz w:val="24"/>
        </w:rPr>
      </w:pPr>
      <w:r>
        <w:rPr>
          <w:b/>
          <w:color w:val="008080"/>
          <w:sz w:val="24"/>
        </w:rPr>
        <w:t>The Board of Directors and Shareholders Southwest Airlines Co.</w:t>
      </w:r>
    </w:p>
    <w:p>
      <w:pPr>
        <w:pStyle w:val="BodyText"/>
        <w:rPr>
          <w:b/>
          <w:sz w:val="32"/>
        </w:rPr>
      </w:pPr>
    </w:p>
    <w:p>
      <w:pPr>
        <w:pStyle w:val="BodyText"/>
        <w:spacing w:line="312" w:lineRule="auto"/>
        <w:ind w:left="119" w:right="203" w:firstLine="360"/>
      </w:pPr>
      <w:r>
        <w:rPr/>
        <w:t>We have audited the accompanying consolidated balance sheets of Southwest Airlines Co. as of December 31, 1997 and 1996, and the related consolidated statements of income, stockholders’ equity, and cash flows for each of the three years in the period ended December 31, 1997. These financial statements are the responsibility of the Company’s management. Our responsibility is to express an opinion on these financial statements based on our audits.</w:t>
      </w:r>
    </w:p>
    <w:p>
      <w:pPr>
        <w:pStyle w:val="BodyText"/>
        <w:spacing w:before="6"/>
        <w:rPr>
          <w:sz w:val="31"/>
        </w:rPr>
      </w:pPr>
    </w:p>
    <w:p>
      <w:pPr>
        <w:pStyle w:val="BodyText"/>
        <w:ind w:left="479"/>
      </w:pPr>
      <w:r>
        <w:rPr/>
        <w:t>We conducted our audits in accordance with generally accepted auditing standards.</w:t>
      </w:r>
    </w:p>
    <w:p>
      <w:pPr>
        <w:pStyle w:val="BodyText"/>
        <w:spacing w:line="312" w:lineRule="auto" w:before="83"/>
        <w:ind w:left="119" w:right="136"/>
      </w:pPr>
      <w:r>
        <w:rPr/>
        <w:t>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6"/>
        <w:rPr>
          <w:sz w:val="31"/>
        </w:rPr>
      </w:pPr>
    </w:p>
    <w:p>
      <w:pPr>
        <w:pStyle w:val="BodyText"/>
        <w:spacing w:line="312" w:lineRule="auto" w:before="1"/>
        <w:ind w:left="119" w:right="406" w:firstLine="360"/>
      </w:pPr>
      <w:r>
        <w:rPr/>
        <w:t>In our opinion, the financial statements referred to above present fairly, in all material respects, the consolidated financial position of Southwest Airlines Co. at December 31, 1997 and 1996, and the consolidated results of its operations and its cash flows for each of the three years in the period ended December 31, 1997, in conformity with generally accepted accounting principles.</w:t>
      </w:r>
    </w:p>
    <w:p>
      <w:pPr>
        <w:pStyle w:val="BodyText"/>
        <w:spacing w:before="2"/>
        <w:rPr>
          <w:sz w:val="31"/>
        </w:rPr>
      </w:pPr>
    </w:p>
    <w:p>
      <w:pPr>
        <w:pStyle w:val="Heading3"/>
        <w:ind w:left="5159"/>
      </w:pPr>
      <w:r>
        <w:rPr/>
        <w:t>ERNST &amp; YOUNG LLP</w:t>
      </w:r>
    </w:p>
    <w:p>
      <w:pPr>
        <w:pStyle w:val="BodyText"/>
        <w:spacing w:line="312" w:lineRule="auto" w:before="88"/>
        <w:ind w:left="5159" w:right="2566"/>
      </w:pPr>
      <w:r>
        <w:rPr/>
        <w:t>Dallas, Texas January 23, 1998</w:t>
      </w:r>
    </w:p>
    <w:p>
      <w:pPr>
        <w:spacing w:after="0" w:line="312" w:lineRule="auto"/>
        <w:sectPr>
          <w:footerReference w:type="default" r:id="rId16"/>
          <w:pgSz w:w="12240" w:h="15840"/>
          <w:pgMar w:footer="790" w:header="1592" w:top="2120" w:bottom="980" w:left="1320" w:right="1320"/>
          <w:pgNumType w:start="51"/>
        </w:sectPr>
      </w:pPr>
    </w:p>
    <w:p>
      <w:pPr>
        <w:pStyle w:val="BodyText"/>
        <w:spacing w:before="6"/>
        <w:rPr>
          <w:sz w:val="9"/>
        </w:rPr>
      </w:pPr>
    </w:p>
    <w:p>
      <w:pPr>
        <w:pStyle w:val="Heading3"/>
        <w:spacing w:before="92"/>
        <w:ind w:left="159"/>
      </w:pPr>
      <w:r>
        <w:rPr/>
        <w:t>QUARTERLY FINANCIAL DATA (UNAUDITED)</w:t>
      </w:r>
    </w:p>
    <w:p>
      <w:pPr>
        <w:pStyle w:val="BodyText"/>
        <w:spacing w:before="9"/>
        <w:rPr>
          <w:b/>
          <w:sz w:val="31"/>
        </w:rPr>
      </w:pPr>
    </w:p>
    <w:p>
      <w:pPr>
        <w:tabs>
          <w:tab w:pos="5996" w:val="left" w:leader="none"/>
          <w:tab w:pos="9333" w:val="left" w:leader="none"/>
        </w:tabs>
        <w:spacing w:before="0" w:after="12"/>
        <w:ind w:left="4840" w:right="0" w:firstLine="0"/>
        <w:jc w:val="left"/>
        <w:rPr>
          <w:sz w:val="20"/>
        </w:rPr>
      </w:pPr>
      <w:r>
        <w:rPr>
          <w:w w:val="100"/>
          <w:sz w:val="20"/>
          <w:u w:val="single"/>
        </w:rPr>
        <w:t> </w:t>
      </w:r>
      <w:r>
        <w:rPr>
          <w:sz w:val="20"/>
          <w:u w:val="single"/>
        </w:rPr>
        <w:tab/>
      </w:r>
      <w:r>
        <w:rPr>
          <w:spacing w:val="2"/>
          <w:sz w:val="20"/>
          <w:u w:val="single"/>
        </w:rPr>
        <w:t>THREE </w:t>
      </w:r>
      <w:r>
        <w:rPr>
          <w:sz w:val="20"/>
          <w:u w:val="single"/>
        </w:rPr>
        <w:t>MONTHS</w:t>
      </w:r>
      <w:r>
        <w:rPr>
          <w:spacing w:val="3"/>
          <w:sz w:val="20"/>
          <w:u w:val="single"/>
        </w:rPr>
        <w:t> </w:t>
      </w:r>
      <w:r>
        <w:rPr>
          <w:spacing w:val="-3"/>
          <w:sz w:val="20"/>
          <w:u w:val="single"/>
        </w:rPr>
        <w:t>ENDED</w:t>
        <w:tab/>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3"/>
        <w:gridCol w:w="1695"/>
        <w:gridCol w:w="1157"/>
        <w:gridCol w:w="1126"/>
        <w:gridCol w:w="1009"/>
      </w:tblGrid>
      <w:tr>
        <w:trPr>
          <w:trHeight w:val="506" w:hRule="exact"/>
        </w:trPr>
        <w:tc>
          <w:tcPr>
            <w:tcW w:w="3983" w:type="dxa"/>
            <w:tcBorders>
              <w:bottom w:val="single" w:sz="6" w:space="0" w:color="000000"/>
            </w:tcBorders>
          </w:tcPr>
          <w:p>
            <w:pPr>
              <w:pStyle w:val="TableParagraph"/>
              <w:spacing w:line="244" w:lineRule="auto"/>
              <w:ind w:left="50" w:right="722"/>
              <w:jc w:val="left"/>
              <w:rPr>
                <w:sz w:val="22"/>
              </w:rPr>
            </w:pPr>
            <w:r>
              <w:rPr>
                <w:sz w:val="22"/>
              </w:rPr>
              <w:t>(IN THOUSANDS EXCEPT PER SHARE AMOUNTS)</w:t>
            </w:r>
          </w:p>
        </w:tc>
        <w:tc>
          <w:tcPr>
            <w:tcW w:w="1695" w:type="dxa"/>
            <w:tcBorders>
              <w:bottom w:val="single" w:sz="6" w:space="0" w:color="000000"/>
            </w:tcBorders>
          </w:tcPr>
          <w:p>
            <w:pPr>
              <w:pStyle w:val="TableParagraph"/>
              <w:spacing w:before="7"/>
              <w:jc w:val="left"/>
              <w:rPr>
                <w:sz w:val="23"/>
              </w:rPr>
            </w:pPr>
          </w:p>
          <w:p>
            <w:pPr>
              <w:pStyle w:val="TableParagraph"/>
              <w:ind w:right="110"/>
              <w:rPr>
                <w:sz w:val="20"/>
              </w:rPr>
            </w:pPr>
            <w:r>
              <w:rPr>
                <w:sz w:val="20"/>
              </w:rPr>
              <w:t>March 31</w:t>
            </w:r>
          </w:p>
        </w:tc>
        <w:tc>
          <w:tcPr>
            <w:tcW w:w="1157" w:type="dxa"/>
            <w:tcBorders>
              <w:bottom w:val="single" w:sz="6" w:space="0" w:color="000000"/>
            </w:tcBorders>
          </w:tcPr>
          <w:p>
            <w:pPr>
              <w:pStyle w:val="TableParagraph"/>
              <w:spacing w:before="7"/>
              <w:jc w:val="left"/>
              <w:rPr>
                <w:sz w:val="23"/>
              </w:rPr>
            </w:pPr>
          </w:p>
          <w:p>
            <w:pPr>
              <w:pStyle w:val="TableParagraph"/>
              <w:ind w:right="231"/>
              <w:rPr>
                <w:sz w:val="20"/>
              </w:rPr>
            </w:pPr>
            <w:r>
              <w:rPr>
                <w:sz w:val="20"/>
              </w:rPr>
              <w:t>June 30</w:t>
            </w:r>
          </w:p>
        </w:tc>
        <w:tc>
          <w:tcPr>
            <w:tcW w:w="1126" w:type="dxa"/>
            <w:tcBorders>
              <w:bottom w:val="single" w:sz="6" w:space="0" w:color="000000"/>
            </w:tcBorders>
          </w:tcPr>
          <w:p>
            <w:pPr>
              <w:pStyle w:val="TableParagraph"/>
              <w:spacing w:before="7"/>
              <w:jc w:val="left"/>
              <w:rPr>
                <w:sz w:val="23"/>
              </w:rPr>
            </w:pPr>
          </w:p>
          <w:p>
            <w:pPr>
              <w:pStyle w:val="TableParagraph"/>
              <w:ind w:right="138"/>
              <w:rPr>
                <w:sz w:val="20"/>
              </w:rPr>
            </w:pPr>
            <w:r>
              <w:rPr>
                <w:sz w:val="20"/>
              </w:rPr>
              <w:t>Sept. 30</w:t>
            </w:r>
          </w:p>
        </w:tc>
        <w:tc>
          <w:tcPr>
            <w:tcW w:w="1009" w:type="dxa"/>
            <w:tcBorders>
              <w:bottom w:val="single" w:sz="6" w:space="0" w:color="000000"/>
            </w:tcBorders>
          </w:tcPr>
          <w:p>
            <w:pPr>
              <w:pStyle w:val="TableParagraph"/>
              <w:spacing w:before="7"/>
              <w:jc w:val="left"/>
              <w:rPr>
                <w:sz w:val="23"/>
              </w:rPr>
            </w:pPr>
          </w:p>
          <w:p>
            <w:pPr>
              <w:pStyle w:val="TableParagraph"/>
              <w:ind w:right="48"/>
              <w:rPr>
                <w:sz w:val="20"/>
              </w:rPr>
            </w:pPr>
            <w:r>
              <w:rPr>
                <w:sz w:val="20"/>
              </w:rPr>
              <w:t>Dec. 31</w:t>
            </w:r>
          </w:p>
        </w:tc>
      </w:tr>
      <w:tr>
        <w:trPr>
          <w:trHeight w:val="464" w:hRule="exact"/>
        </w:trPr>
        <w:tc>
          <w:tcPr>
            <w:tcW w:w="3983" w:type="dxa"/>
            <w:tcBorders>
              <w:top w:val="single" w:sz="6" w:space="0" w:color="000000"/>
            </w:tcBorders>
          </w:tcPr>
          <w:p>
            <w:pPr>
              <w:pStyle w:val="TableParagraph"/>
              <w:spacing w:before="14"/>
              <w:ind w:left="50"/>
              <w:jc w:val="left"/>
              <w:rPr>
                <w:sz w:val="20"/>
              </w:rPr>
            </w:pPr>
            <w:r>
              <w:rPr>
                <w:color w:val="008080"/>
                <w:sz w:val="20"/>
              </w:rPr>
              <w:t>1997</w:t>
            </w:r>
          </w:p>
          <w:p>
            <w:pPr>
              <w:pStyle w:val="TableParagraph"/>
              <w:ind w:left="50"/>
              <w:jc w:val="left"/>
              <w:rPr>
                <w:sz w:val="20"/>
              </w:rPr>
            </w:pPr>
            <w:r>
              <w:rPr>
                <w:color w:val="008080"/>
                <w:sz w:val="20"/>
              </w:rPr>
              <w:t>Operating revenues</w:t>
            </w:r>
          </w:p>
        </w:tc>
        <w:tc>
          <w:tcPr>
            <w:tcW w:w="1695" w:type="dxa"/>
            <w:tcBorders>
              <w:top w:val="single" w:sz="6" w:space="0" w:color="000000"/>
            </w:tcBorders>
          </w:tcPr>
          <w:p>
            <w:pPr>
              <w:pStyle w:val="TableParagraph"/>
              <w:spacing w:before="2"/>
              <w:jc w:val="left"/>
              <w:rPr>
                <w:sz w:val="21"/>
              </w:rPr>
            </w:pPr>
          </w:p>
          <w:p>
            <w:pPr>
              <w:pStyle w:val="TableParagraph"/>
              <w:spacing w:before="1"/>
              <w:ind w:right="134"/>
              <w:rPr>
                <w:sz w:val="20"/>
              </w:rPr>
            </w:pPr>
            <w:r>
              <w:rPr>
                <w:color w:val="008080"/>
                <w:sz w:val="20"/>
              </w:rPr>
              <w:t>$887,095</w:t>
            </w:r>
          </w:p>
        </w:tc>
        <w:tc>
          <w:tcPr>
            <w:tcW w:w="1157" w:type="dxa"/>
            <w:tcBorders>
              <w:top w:val="single" w:sz="6" w:space="0" w:color="000000"/>
            </w:tcBorders>
          </w:tcPr>
          <w:p>
            <w:pPr>
              <w:pStyle w:val="TableParagraph"/>
              <w:spacing w:before="2"/>
              <w:jc w:val="left"/>
              <w:rPr>
                <w:sz w:val="21"/>
              </w:rPr>
            </w:pPr>
          </w:p>
          <w:p>
            <w:pPr>
              <w:pStyle w:val="TableParagraph"/>
              <w:spacing w:before="1"/>
              <w:ind w:right="211"/>
              <w:rPr>
                <w:sz w:val="20"/>
              </w:rPr>
            </w:pPr>
            <w:r>
              <w:rPr>
                <w:color w:val="008080"/>
                <w:sz w:val="20"/>
              </w:rPr>
              <w:t>$956,892</w:t>
            </w:r>
          </w:p>
        </w:tc>
        <w:tc>
          <w:tcPr>
            <w:tcW w:w="1126" w:type="dxa"/>
            <w:tcBorders>
              <w:top w:val="single" w:sz="6" w:space="0" w:color="000000"/>
            </w:tcBorders>
          </w:tcPr>
          <w:p>
            <w:pPr>
              <w:pStyle w:val="TableParagraph"/>
              <w:spacing w:before="2"/>
              <w:jc w:val="left"/>
              <w:rPr>
                <w:sz w:val="21"/>
              </w:rPr>
            </w:pPr>
          </w:p>
          <w:p>
            <w:pPr>
              <w:pStyle w:val="TableParagraph"/>
              <w:spacing w:before="1"/>
              <w:ind w:right="80"/>
              <w:rPr>
                <w:sz w:val="20"/>
              </w:rPr>
            </w:pPr>
            <w:r>
              <w:rPr>
                <w:color w:val="008080"/>
                <w:sz w:val="20"/>
              </w:rPr>
              <w:t>$997,241</w:t>
            </w:r>
          </w:p>
        </w:tc>
        <w:tc>
          <w:tcPr>
            <w:tcW w:w="1009" w:type="dxa"/>
            <w:tcBorders>
              <w:top w:val="single" w:sz="6" w:space="0" w:color="000000"/>
            </w:tcBorders>
          </w:tcPr>
          <w:p>
            <w:pPr>
              <w:pStyle w:val="TableParagraph"/>
              <w:spacing w:before="2"/>
              <w:jc w:val="left"/>
              <w:rPr>
                <w:sz w:val="21"/>
              </w:rPr>
            </w:pPr>
          </w:p>
          <w:p>
            <w:pPr>
              <w:pStyle w:val="TableParagraph"/>
              <w:spacing w:before="1"/>
              <w:ind w:right="95"/>
              <w:rPr>
                <w:sz w:val="20"/>
              </w:rPr>
            </w:pPr>
            <w:r>
              <w:rPr>
                <w:color w:val="008080"/>
                <w:sz w:val="20"/>
              </w:rPr>
              <w:t>$975,593</w:t>
            </w:r>
          </w:p>
        </w:tc>
      </w:tr>
      <w:tr>
        <w:trPr>
          <w:trHeight w:val="230" w:hRule="exact"/>
        </w:trPr>
        <w:tc>
          <w:tcPr>
            <w:tcW w:w="3983" w:type="dxa"/>
          </w:tcPr>
          <w:p>
            <w:pPr>
              <w:pStyle w:val="TableParagraph"/>
              <w:spacing w:line="227" w:lineRule="exact"/>
              <w:ind w:left="50"/>
              <w:jc w:val="left"/>
              <w:rPr>
                <w:sz w:val="20"/>
              </w:rPr>
            </w:pPr>
            <w:r>
              <w:rPr>
                <w:color w:val="008080"/>
                <w:sz w:val="20"/>
              </w:rPr>
              <w:t>Operating income</w:t>
            </w:r>
          </w:p>
        </w:tc>
        <w:tc>
          <w:tcPr>
            <w:tcW w:w="1695" w:type="dxa"/>
          </w:tcPr>
          <w:p>
            <w:pPr>
              <w:pStyle w:val="TableParagraph"/>
              <w:spacing w:line="227" w:lineRule="exact"/>
              <w:ind w:right="134"/>
              <w:rPr>
                <w:sz w:val="20"/>
              </w:rPr>
            </w:pPr>
            <w:r>
              <w:rPr>
                <w:color w:val="008080"/>
                <w:sz w:val="20"/>
              </w:rPr>
              <w:t>87,203</w:t>
            </w:r>
          </w:p>
        </w:tc>
        <w:tc>
          <w:tcPr>
            <w:tcW w:w="1157" w:type="dxa"/>
          </w:tcPr>
          <w:p>
            <w:pPr>
              <w:pStyle w:val="TableParagraph"/>
              <w:spacing w:line="227" w:lineRule="exact"/>
              <w:ind w:right="211"/>
              <w:rPr>
                <w:sz w:val="20"/>
              </w:rPr>
            </w:pPr>
            <w:r>
              <w:rPr>
                <w:color w:val="008080"/>
                <w:sz w:val="20"/>
              </w:rPr>
              <w:t>156,407</w:t>
            </w:r>
          </w:p>
        </w:tc>
        <w:tc>
          <w:tcPr>
            <w:tcW w:w="1126" w:type="dxa"/>
          </w:tcPr>
          <w:p>
            <w:pPr>
              <w:pStyle w:val="TableParagraph"/>
              <w:spacing w:line="227" w:lineRule="exact"/>
              <w:ind w:right="80"/>
              <w:rPr>
                <w:sz w:val="20"/>
              </w:rPr>
            </w:pPr>
            <w:r>
              <w:rPr>
                <w:color w:val="008080"/>
                <w:sz w:val="20"/>
              </w:rPr>
              <w:t>151,770</w:t>
            </w:r>
          </w:p>
        </w:tc>
        <w:tc>
          <w:tcPr>
            <w:tcW w:w="1009" w:type="dxa"/>
          </w:tcPr>
          <w:p>
            <w:pPr>
              <w:pStyle w:val="TableParagraph"/>
              <w:spacing w:line="227" w:lineRule="exact"/>
              <w:ind w:right="95"/>
              <w:rPr>
                <w:sz w:val="20"/>
              </w:rPr>
            </w:pPr>
            <w:r>
              <w:rPr>
                <w:color w:val="008080"/>
                <w:sz w:val="20"/>
              </w:rPr>
              <w:t>128,856</w:t>
            </w:r>
          </w:p>
        </w:tc>
      </w:tr>
      <w:tr>
        <w:trPr>
          <w:trHeight w:val="230" w:hRule="exact"/>
        </w:trPr>
        <w:tc>
          <w:tcPr>
            <w:tcW w:w="3983" w:type="dxa"/>
          </w:tcPr>
          <w:p>
            <w:pPr>
              <w:pStyle w:val="TableParagraph"/>
              <w:spacing w:line="227" w:lineRule="exact"/>
              <w:ind w:left="50"/>
              <w:jc w:val="left"/>
              <w:rPr>
                <w:sz w:val="20"/>
              </w:rPr>
            </w:pPr>
            <w:r>
              <w:rPr>
                <w:color w:val="008080"/>
                <w:sz w:val="20"/>
              </w:rPr>
              <w:t>Income before income taxes</w:t>
            </w:r>
          </w:p>
        </w:tc>
        <w:tc>
          <w:tcPr>
            <w:tcW w:w="1695" w:type="dxa"/>
          </w:tcPr>
          <w:p>
            <w:pPr>
              <w:pStyle w:val="TableParagraph"/>
              <w:spacing w:line="227" w:lineRule="exact"/>
              <w:ind w:right="134"/>
              <w:rPr>
                <w:sz w:val="20"/>
              </w:rPr>
            </w:pPr>
            <w:r>
              <w:rPr>
                <w:color w:val="008080"/>
                <w:sz w:val="20"/>
              </w:rPr>
              <w:t>83,401</w:t>
            </w:r>
          </w:p>
        </w:tc>
        <w:tc>
          <w:tcPr>
            <w:tcW w:w="1157" w:type="dxa"/>
          </w:tcPr>
          <w:p>
            <w:pPr>
              <w:pStyle w:val="TableParagraph"/>
              <w:spacing w:line="227" w:lineRule="exact"/>
              <w:ind w:right="211"/>
              <w:rPr>
                <w:sz w:val="20"/>
              </w:rPr>
            </w:pPr>
            <w:r>
              <w:rPr>
                <w:color w:val="008080"/>
                <w:sz w:val="20"/>
              </w:rPr>
              <w:t>153,823</w:t>
            </w:r>
          </w:p>
        </w:tc>
        <w:tc>
          <w:tcPr>
            <w:tcW w:w="1126" w:type="dxa"/>
          </w:tcPr>
          <w:p>
            <w:pPr>
              <w:pStyle w:val="TableParagraph"/>
              <w:spacing w:line="227" w:lineRule="exact"/>
              <w:ind w:right="80"/>
              <w:rPr>
                <w:sz w:val="20"/>
              </w:rPr>
            </w:pPr>
            <w:r>
              <w:rPr>
                <w:color w:val="008080"/>
                <w:sz w:val="20"/>
              </w:rPr>
              <w:t>150,387</w:t>
            </w:r>
          </w:p>
        </w:tc>
        <w:tc>
          <w:tcPr>
            <w:tcW w:w="1009" w:type="dxa"/>
          </w:tcPr>
          <w:p>
            <w:pPr>
              <w:pStyle w:val="TableParagraph"/>
              <w:spacing w:line="227" w:lineRule="exact"/>
              <w:ind w:right="95"/>
              <w:rPr>
                <w:sz w:val="20"/>
              </w:rPr>
            </w:pPr>
            <w:r>
              <w:rPr>
                <w:color w:val="008080"/>
                <w:sz w:val="20"/>
              </w:rPr>
              <w:t>129,345</w:t>
            </w:r>
          </w:p>
        </w:tc>
      </w:tr>
      <w:tr>
        <w:trPr>
          <w:trHeight w:val="230" w:hRule="exact"/>
        </w:trPr>
        <w:tc>
          <w:tcPr>
            <w:tcW w:w="3983" w:type="dxa"/>
          </w:tcPr>
          <w:p>
            <w:pPr>
              <w:pStyle w:val="TableParagraph"/>
              <w:spacing w:line="227" w:lineRule="exact"/>
              <w:ind w:left="50"/>
              <w:jc w:val="left"/>
              <w:rPr>
                <w:sz w:val="20"/>
              </w:rPr>
            </w:pPr>
            <w:r>
              <w:rPr>
                <w:color w:val="008080"/>
                <w:sz w:val="20"/>
              </w:rPr>
              <w:t>Net income</w:t>
            </w:r>
          </w:p>
        </w:tc>
        <w:tc>
          <w:tcPr>
            <w:tcW w:w="1695" w:type="dxa"/>
          </w:tcPr>
          <w:p>
            <w:pPr>
              <w:pStyle w:val="TableParagraph"/>
              <w:spacing w:line="227" w:lineRule="exact"/>
              <w:ind w:right="134"/>
              <w:rPr>
                <w:sz w:val="20"/>
              </w:rPr>
            </w:pPr>
            <w:r>
              <w:rPr>
                <w:color w:val="008080"/>
                <w:sz w:val="20"/>
              </w:rPr>
              <w:t>50,874</w:t>
            </w:r>
          </w:p>
        </w:tc>
        <w:tc>
          <w:tcPr>
            <w:tcW w:w="1157" w:type="dxa"/>
          </w:tcPr>
          <w:p>
            <w:pPr>
              <w:pStyle w:val="TableParagraph"/>
              <w:spacing w:line="227" w:lineRule="exact"/>
              <w:ind w:right="211"/>
              <w:rPr>
                <w:sz w:val="20"/>
              </w:rPr>
            </w:pPr>
            <w:r>
              <w:rPr>
                <w:color w:val="008080"/>
                <w:sz w:val="20"/>
              </w:rPr>
              <w:t>93,832</w:t>
            </w:r>
          </w:p>
        </w:tc>
        <w:tc>
          <w:tcPr>
            <w:tcW w:w="1126" w:type="dxa"/>
          </w:tcPr>
          <w:p>
            <w:pPr>
              <w:pStyle w:val="TableParagraph"/>
              <w:spacing w:line="227" w:lineRule="exact"/>
              <w:ind w:right="80"/>
              <w:rPr>
                <w:sz w:val="20"/>
              </w:rPr>
            </w:pPr>
            <w:r>
              <w:rPr>
                <w:color w:val="008080"/>
                <w:sz w:val="20"/>
              </w:rPr>
              <w:t>92,511</w:t>
            </w:r>
          </w:p>
        </w:tc>
        <w:tc>
          <w:tcPr>
            <w:tcW w:w="1009" w:type="dxa"/>
          </w:tcPr>
          <w:p>
            <w:pPr>
              <w:pStyle w:val="TableParagraph"/>
              <w:spacing w:line="227" w:lineRule="exact"/>
              <w:ind w:right="95"/>
              <w:rPr>
                <w:sz w:val="20"/>
              </w:rPr>
            </w:pPr>
            <w:r>
              <w:rPr>
                <w:color w:val="008080"/>
                <w:sz w:val="20"/>
              </w:rPr>
              <w:t>80,555</w:t>
            </w:r>
          </w:p>
        </w:tc>
      </w:tr>
      <w:tr>
        <w:trPr>
          <w:trHeight w:val="230" w:hRule="exact"/>
        </w:trPr>
        <w:tc>
          <w:tcPr>
            <w:tcW w:w="3983" w:type="dxa"/>
          </w:tcPr>
          <w:p>
            <w:pPr>
              <w:pStyle w:val="TableParagraph"/>
              <w:spacing w:line="227" w:lineRule="exact"/>
              <w:ind w:left="50"/>
              <w:jc w:val="left"/>
              <w:rPr>
                <w:sz w:val="20"/>
              </w:rPr>
            </w:pPr>
            <w:r>
              <w:rPr>
                <w:color w:val="008080"/>
                <w:sz w:val="20"/>
              </w:rPr>
              <w:t>Net income per share, basic</w:t>
            </w:r>
          </w:p>
        </w:tc>
        <w:tc>
          <w:tcPr>
            <w:tcW w:w="1695" w:type="dxa"/>
          </w:tcPr>
          <w:p>
            <w:pPr>
              <w:pStyle w:val="TableParagraph"/>
              <w:spacing w:line="227" w:lineRule="exact"/>
              <w:ind w:right="135"/>
              <w:rPr>
                <w:sz w:val="20"/>
              </w:rPr>
            </w:pPr>
            <w:r>
              <w:rPr>
                <w:color w:val="008080"/>
                <w:sz w:val="20"/>
              </w:rPr>
              <w:t>.23</w:t>
            </w:r>
          </w:p>
        </w:tc>
        <w:tc>
          <w:tcPr>
            <w:tcW w:w="1157" w:type="dxa"/>
          </w:tcPr>
          <w:p>
            <w:pPr>
              <w:pStyle w:val="TableParagraph"/>
              <w:spacing w:line="227" w:lineRule="exact"/>
              <w:ind w:right="212"/>
              <w:rPr>
                <w:sz w:val="20"/>
              </w:rPr>
            </w:pPr>
            <w:r>
              <w:rPr>
                <w:color w:val="008080"/>
                <w:sz w:val="20"/>
              </w:rPr>
              <w:t>.43</w:t>
            </w:r>
          </w:p>
        </w:tc>
        <w:tc>
          <w:tcPr>
            <w:tcW w:w="1126" w:type="dxa"/>
          </w:tcPr>
          <w:p>
            <w:pPr>
              <w:pStyle w:val="TableParagraph"/>
              <w:spacing w:line="227" w:lineRule="exact"/>
              <w:ind w:right="81"/>
              <w:rPr>
                <w:sz w:val="20"/>
              </w:rPr>
            </w:pPr>
            <w:r>
              <w:rPr>
                <w:color w:val="008080"/>
                <w:sz w:val="20"/>
              </w:rPr>
              <w:t>.42</w:t>
            </w:r>
          </w:p>
        </w:tc>
        <w:tc>
          <w:tcPr>
            <w:tcW w:w="1009" w:type="dxa"/>
          </w:tcPr>
          <w:p>
            <w:pPr>
              <w:pStyle w:val="TableParagraph"/>
              <w:spacing w:line="227" w:lineRule="exact"/>
              <w:ind w:right="96"/>
              <w:rPr>
                <w:sz w:val="20"/>
              </w:rPr>
            </w:pPr>
            <w:r>
              <w:rPr>
                <w:color w:val="008080"/>
                <w:sz w:val="20"/>
              </w:rPr>
              <w:t>.36</w:t>
            </w:r>
          </w:p>
        </w:tc>
      </w:tr>
      <w:tr>
        <w:trPr>
          <w:trHeight w:val="346" w:hRule="exact"/>
        </w:trPr>
        <w:tc>
          <w:tcPr>
            <w:tcW w:w="3983" w:type="dxa"/>
          </w:tcPr>
          <w:p>
            <w:pPr>
              <w:pStyle w:val="TableParagraph"/>
              <w:spacing w:line="227" w:lineRule="exact"/>
              <w:ind w:left="50"/>
              <w:jc w:val="left"/>
              <w:rPr>
                <w:sz w:val="20"/>
              </w:rPr>
            </w:pPr>
            <w:r>
              <w:rPr>
                <w:color w:val="008080"/>
                <w:sz w:val="20"/>
              </w:rPr>
              <w:t>Net income per share, diluted</w:t>
            </w:r>
          </w:p>
        </w:tc>
        <w:tc>
          <w:tcPr>
            <w:tcW w:w="1695" w:type="dxa"/>
          </w:tcPr>
          <w:p>
            <w:pPr>
              <w:pStyle w:val="TableParagraph"/>
              <w:spacing w:line="227" w:lineRule="exact"/>
              <w:ind w:right="135"/>
              <w:rPr>
                <w:sz w:val="20"/>
              </w:rPr>
            </w:pPr>
            <w:r>
              <w:rPr>
                <w:color w:val="008080"/>
                <w:sz w:val="20"/>
              </w:rPr>
              <w:t>.23</w:t>
            </w:r>
          </w:p>
        </w:tc>
        <w:tc>
          <w:tcPr>
            <w:tcW w:w="1157" w:type="dxa"/>
          </w:tcPr>
          <w:p>
            <w:pPr>
              <w:pStyle w:val="TableParagraph"/>
              <w:spacing w:line="227" w:lineRule="exact"/>
              <w:ind w:right="212"/>
              <w:rPr>
                <w:sz w:val="20"/>
              </w:rPr>
            </w:pPr>
            <w:r>
              <w:rPr>
                <w:color w:val="008080"/>
                <w:sz w:val="20"/>
              </w:rPr>
              <w:t>.42</w:t>
            </w:r>
          </w:p>
        </w:tc>
        <w:tc>
          <w:tcPr>
            <w:tcW w:w="1126" w:type="dxa"/>
          </w:tcPr>
          <w:p>
            <w:pPr>
              <w:pStyle w:val="TableParagraph"/>
              <w:spacing w:line="227" w:lineRule="exact"/>
              <w:ind w:right="81"/>
              <w:rPr>
                <w:sz w:val="20"/>
              </w:rPr>
            </w:pPr>
            <w:r>
              <w:rPr>
                <w:color w:val="008080"/>
                <w:sz w:val="20"/>
              </w:rPr>
              <w:t>.41</w:t>
            </w:r>
          </w:p>
        </w:tc>
        <w:tc>
          <w:tcPr>
            <w:tcW w:w="1009" w:type="dxa"/>
          </w:tcPr>
          <w:p>
            <w:pPr>
              <w:pStyle w:val="TableParagraph"/>
              <w:spacing w:line="227" w:lineRule="exact"/>
              <w:ind w:right="96"/>
              <w:rPr>
                <w:sz w:val="20"/>
              </w:rPr>
            </w:pPr>
            <w:r>
              <w:rPr>
                <w:color w:val="008080"/>
                <w:sz w:val="20"/>
              </w:rPr>
              <w:t>.35</w:t>
            </w:r>
          </w:p>
        </w:tc>
      </w:tr>
      <w:tr>
        <w:trPr>
          <w:trHeight w:val="576" w:hRule="exact"/>
        </w:trPr>
        <w:tc>
          <w:tcPr>
            <w:tcW w:w="3983" w:type="dxa"/>
          </w:tcPr>
          <w:p>
            <w:pPr>
              <w:pStyle w:val="TableParagraph"/>
              <w:spacing w:before="112"/>
              <w:ind w:left="50"/>
              <w:jc w:val="left"/>
              <w:rPr>
                <w:sz w:val="20"/>
              </w:rPr>
            </w:pPr>
            <w:r>
              <w:rPr>
                <w:sz w:val="20"/>
              </w:rPr>
              <w:t>1996</w:t>
            </w:r>
          </w:p>
          <w:p>
            <w:pPr>
              <w:pStyle w:val="TableParagraph"/>
              <w:ind w:left="50"/>
              <w:jc w:val="left"/>
              <w:rPr>
                <w:sz w:val="20"/>
              </w:rPr>
            </w:pPr>
            <w:r>
              <w:rPr>
                <w:sz w:val="20"/>
              </w:rPr>
              <w:t>Operating revenues</w:t>
            </w:r>
          </w:p>
        </w:tc>
        <w:tc>
          <w:tcPr>
            <w:tcW w:w="1695" w:type="dxa"/>
          </w:tcPr>
          <w:p>
            <w:pPr>
              <w:pStyle w:val="TableParagraph"/>
              <w:spacing w:before="9"/>
              <w:jc w:val="left"/>
              <w:rPr>
                <w:sz w:val="29"/>
              </w:rPr>
            </w:pPr>
          </w:p>
          <w:p>
            <w:pPr>
              <w:pStyle w:val="TableParagraph"/>
              <w:ind w:right="134"/>
              <w:rPr>
                <w:sz w:val="20"/>
              </w:rPr>
            </w:pPr>
            <w:r>
              <w:rPr>
                <w:sz w:val="20"/>
              </w:rPr>
              <w:t>$772,529</w:t>
            </w:r>
          </w:p>
        </w:tc>
        <w:tc>
          <w:tcPr>
            <w:tcW w:w="1157" w:type="dxa"/>
          </w:tcPr>
          <w:p>
            <w:pPr>
              <w:pStyle w:val="TableParagraph"/>
              <w:spacing w:before="9"/>
              <w:jc w:val="left"/>
              <w:rPr>
                <w:sz w:val="29"/>
              </w:rPr>
            </w:pPr>
          </w:p>
          <w:p>
            <w:pPr>
              <w:pStyle w:val="TableParagraph"/>
              <w:ind w:right="211"/>
              <w:rPr>
                <w:sz w:val="20"/>
              </w:rPr>
            </w:pPr>
            <w:r>
              <w:rPr>
                <w:sz w:val="20"/>
              </w:rPr>
              <w:t>$910,308</w:t>
            </w:r>
          </w:p>
        </w:tc>
        <w:tc>
          <w:tcPr>
            <w:tcW w:w="1126" w:type="dxa"/>
          </w:tcPr>
          <w:p>
            <w:pPr>
              <w:pStyle w:val="TableParagraph"/>
              <w:spacing w:before="9"/>
              <w:jc w:val="left"/>
              <w:rPr>
                <w:sz w:val="29"/>
              </w:rPr>
            </w:pPr>
          </w:p>
          <w:p>
            <w:pPr>
              <w:pStyle w:val="TableParagraph"/>
              <w:ind w:right="80"/>
              <w:rPr>
                <w:sz w:val="20"/>
              </w:rPr>
            </w:pPr>
            <w:r>
              <w:rPr>
                <w:sz w:val="20"/>
              </w:rPr>
              <w:t>$891,492</w:t>
            </w:r>
          </w:p>
        </w:tc>
        <w:tc>
          <w:tcPr>
            <w:tcW w:w="1009" w:type="dxa"/>
          </w:tcPr>
          <w:p>
            <w:pPr>
              <w:pStyle w:val="TableParagraph"/>
              <w:spacing w:before="9"/>
              <w:jc w:val="left"/>
              <w:rPr>
                <w:sz w:val="29"/>
              </w:rPr>
            </w:pPr>
          </w:p>
          <w:p>
            <w:pPr>
              <w:pStyle w:val="TableParagraph"/>
              <w:ind w:right="95"/>
              <w:rPr>
                <w:sz w:val="20"/>
              </w:rPr>
            </w:pPr>
            <w:r>
              <w:rPr>
                <w:sz w:val="20"/>
              </w:rPr>
              <w:t>$831,841</w:t>
            </w:r>
          </w:p>
        </w:tc>
      </w:tr>
      <w:tr>
        <w:trPr>
          <w:trHeight w:val="230" w:hRule="exact"/>
        </w:trPr>
        <w:tc>
          <w:tcPr>
            <w:tcW w:w="3983" w:type="dxa"/>
          </w:tcPr>
          <w:p>
            <w:pPr>
              <w:pStyle w:val="TableParagraph"/>
              <w:spacing w:line="227" w:lineRule="exact"/>
              <w:ind w:left="50"/>
              <w:jc w:val="left"/>
              <w:rPr>
                <w:sz w:val="20"/>
              </w:rPr>
            </w:pPr>
            <w:r>
              <w:rPr>
                <w:sz w:val="20"/>
              </w:rPr>
              <w:t>Operating income</w:t>
            </w:r>
          </w:p>
        </w:tc>
        <w:tc>
          <w:tcPr>
            <w:tcW w:w="1695" w:type="dxa"/>
          </w:tcPr>
          <w:p>
            <w:pPr>
              <w:pStyle w:val="TableParagraph"/>
              <w:spacing w:line="227" w:lineRule="exact"/>
              <w:ind w:right="134"/>
              <w:rPr>
                <w:sz w:val="20"/>
              </w:rPr>
            </w:pPr>
            <w:r>
              <w:rPr>
                <w:sz w:val="20"/>
              </w:rPr>
              <w:t>57,393</w:t>
            </w:r>
          </w:p>
        </w:tc>
        <w:tc>
          <w:tcPr>
            <w:tcW w:w="1157" w:type="dxa"/>
          </w:tcPr>
          <w:p>
            <w:pPr>
              <w:pStyle w:val="TableParagraph"/>
              <w:spacing w:line="227" w:lineRule="exact"/>
              <w:ind w:right="211"/>
              <w:rPr>
                <w:sz w:val="20"/>
              </w:rPr>
            </w:pPr>
            <w:r>
              <w:rPr>
                <w:sz w:val="20"/>
              </w:rPr>
              <w:t>142,206</w:t>
            </w:r>
          </w:p>
        </w:tc>
        <w:tc>
          <w:tcPr>
            <w:tcW w:w="1126" w:type="dxa"/>
          </w:tcPr>
          <w:p>
            <w:pPr>
              <w:pStyle w:val="TableParagraph"/>
              <w:spacing w:line="227" w:lineRule="exact"/>
              <w:ind w:right="80"/>
              <w:rPr>
                <w:sz w:val="20"/>
              </w:rPr>
            </w:pPr>
            <w:r>
              <w:rPr>
                <w:sz w:val="20"/>
              </w:rPr>
              <w:t>102,934</w:t>
            </w:r>
          </w:p>
        </w:tc>
        <w:tc>
          <w:tcPr>
            <w:tcW w:w="1009" w:type="dxa"/>
          </w:tcPr>
          <w:p>
            <w:pPr>
              <w:pStyle w:val="TableParagraph"/>
              <w:spacing w:line="227" w:lineRule="exact"/>
              <w:ind w:right="95"/>
              <w:rPr>
                <w:sz w:val="20"/>
              </w:rPr>
            </w:pPr>
            <w:r>
              <w:rPr>
                <w:sz w:val="20"/>
              </w:rPr>
              <w:t>48,302</w:t>
            </w:r>
          </w:p>
        </w:tc>
      </w:tr>
      <w:tr>
        <w:trPr>
          <w:trHeight w:val="230" w:hRule="exact"/>
        </w:trPr>
        <w:tc>
          <w:tcPr>
            <w:tcW w:w="3983" w:type="dxa"/>
          </w:tcPr>
          <w:p>
            <w:pPr>
              <w:pStyle w:val="TableParagraph"/>
              <w:spacing w:line="227" w:lineRule="exact"/>
              <w:ind w:left="50"/>
              <w:jc w:val="left"/>
              <w:rPr>
                <w:sz w:val="20"/>
              </w:rPr>
            </w:pPr>
            <w:r>
              <w:rPr>
                <w:sz w:val="20"/>
              </w:rPr>
              <w:t>Income before income taxes</w:t>
            </w:r>
          </w:p>
        </w:tc>
        <w:tc>
          <w:tcPr>
            <w:tcW w:w="1695" w:type="dxa"/>
          </w:tcPr>
          <w:p>
            <w:pPr>
              <w:pStyle w:val="TableParagraph"/>
              <w:spacing w:line="227" w:lineRule="exact"/>
              <w:ind w:right="134"/>
              <w:rPr>
                <w:sz w:val="20"/>
              </w:rPr>
            </w:pPr>
            <w:r>
              <w:rPr>
                <w:sz w:val="20"/>
              </w:rPr>
              <w:t>54,771</w:t>
            </w:r>
          </w:p>
        </w:tc>
        <w:tc>
          <w:tcPr>
            <w:tcW w:w="1157" w:type="dxa"/>
          </w:tcPr>
          <w:p>
            <w:pPr>
              <w:pStyle w:val="TableParagraph"/>
              <w:spacing w:line="227" w:lineRule="exact"/>
              <w:ind w:right="211"/>
              <w:rPr>
                <w:sz w:val="20"/>
              </w:rPr>
            </w:pPr>
            <w:r>
              <w:rPr>
                <w:sz w:val="20"/>
              </w:rPr>
              <w:t>139,989</w:t>
            </w:r>
          </w:p>
        </w:tc>
        <w:tc>
          <w:tcPr>
            <w:tcW w:w="1126" w:type="dxa"/>
          </w:tcPr>
          <w:p>
            <w:pPr>
              <w:pStyle w:val="TableParagraph"/>
              <w:spacing w:line="227" w:lineRule="exact"/>
              <w:ind w:right="80"/>
              <w:rPr>
                <w:sz w:val="20"/>
              </w:rPr>
            </w:pPr>
            <w:r>
              <w:rPr>
                <w:sz w:val="20"/>
              </w:rPr>
              <w:t>100,243</w:t>
            </w:r>
          </w:p>
        </w:tc>
        <w:tc>
          <w:tcPr>
            <w:tcW w:w="1009" w:type="dxa"/>
          </w:tcPr>
          <w:p>
            <w:pPr>
              <w:pStyle w:val="TableParagraph"/>
              <w:spacing w:line="227" w:lineRule="exact"/>
              <w:ind w:right="95"/>
              <w:rPr>
                <w:sz w:val="20"/>
              </w:rPr>
            </w:pPr>
            <w:r>
              <w:rPr>
                <w:sz w:val="20"/>
              </w:rPr>
              <w:t>46,359</w:t>
            </w:r>
          </w:p>
        </w:tc>
      </w:tr>
      <w:tr>
        <w:trPr>
          <w:trHeight w:val="230" w:hRule="exact"/>
        </w:trPr>
        <w:tc>
          <w:tcPr>
            <w:tcW w:w="3983" w:type="dxa"/>
          </w:tcPr>
          <w:p>
            <w:pPr>
              <w:pStyle w:val="TableParagraph"/>
              <w:spacing w:line="227" w:lineRule="exact"/>
              <w:ind w:left="50"/>
              <w:jc w:val="left"/>
              <w:rPr>
                <w:sz w:val="20"/>
              </w:rPr>
            </w:pPr>
            <w:r>
              <w:rPr>
                <w:sz w:val="20"/>
              </w:rPr>
              <w:t>Net income</w:t>
            </w:r>
          </w:p>
        </w:tc>
        <w:tc>
          <w:tcPr>
            <w:tcW w:w="1695" w:type="dxa"/>
          </w:tcPr>
          <w:p>
            <w:pPr>
              <w:pStyle w:val="TableParagraph"/>
              <w:spacing w:line="227" w:lineRule="exact"/>
              <w:ind w:right="134"/>
              <w:rPr>
                <w:sz w:val="20"/>
              </w:rPr>
            </w:pPr>
            <w:r>
              <w:rPr>
                <w:sz w:val="20"/>
              </w:rPr>
              <w:t>33,000</w:t>
            </w:r>
          </w:p>
        </w:tc>
        <w:tc>
          <w:tcPr>
            <w:tcW w:w="1157" w:type="dxa"/>
          </w:tcPr>
          <w:p>
            <w:pPr>
              <w:pStyle w:val="TableParagraph"/>
              <w:spacing w:line="227" w:lineRule="exact"/>
              <w:ind w:right="211"/>
              <w:rPr>
                <w:sz w:val="20"/>
              </w:rPr>
            </w:pPr>
            <w:r>
              <w:rPr>
                <w:sz w:val="20"/>
              </w:rPr>
              <w:t>85,316</w:t>
            </w:r>
          </w:p>
        </w:tc>
        <w:tc>
          <w:tcPr>
            <w:tcW w:w="1126" w:type="dxa"/>
          </w:tcPr>
          <w:p>
            <w:pPr>
              <w:pStyle w:val="TableParagraph"/>
              <w:spacing w:line="227" w:lineRule="exact"/>
              <w:ind w:right="78"/>
              <w:rPr>
                <w:sz w:val="20"/>
              </w:rPr>
            </w:pPr>
            <w:r>
              <w:rPr>
                <w:sz w:val="20"/>
              </w:rPr>
              <w:t>60,858</w:t>
            </w:r>
          </w:p>
        </w:tc>
        <w:tc>
          <w:tcPr>
            <w:tcW w:w="1009" w:type="dxa"/>
          </w:tcPr>
          <w:p>
            <w:pPr>
              <w:pStyle w:val="TableParagraph"/>
              <w:spacing w:line="227" w:lineRule="exact"/>
              <w:ind w:right="95"/>
              <w:rPr>
                <w:sz w:val="20"/>
              </w:rPr>
            </w:pPr>
            <w:r>
              <w:rPr>
                <w:sz w:val="20"/>
              </w:rPr>
              <w:t>28,163</w:t>
            </w:r>
          </w:p>
        </w:tc>
      </w:tr>
      <w:tr>
        <w:trPr>
          <w:trHeight w:val="230" w:hRule="exact"/>
        </w:trPr>
        <w:tc>
          <w:tcPr>
            <w:tcW w:w="3983" w:type="dxa"/>
          </w:tcPr>
          <w:p>
            <w:pPr>
              <w:pStyle w:val="TableParagraph"/>
              <w:spacing w:line="227" w:lineRule="exact"/>
              <w:ind w:left="50"/>
              <w:jc w:val="left"/>
              <w:rPr>
                <w:sz w:val="20"/>
              </w:rPr>
            </w:pPr>
            <w:r>
              <w:rPr>
                <w:sz w:val="20"/>
              </w:rPr>
              <w:t>Net income per share, basic</w:t>
            </w:r>
          </w:p>
        </w:tc>
        <w:tc>
          <w:tcPr>
            <w:tcW w:w="1695" w:type="dxa"/>
          </w:tcPr>
          <w:p>
            <w:pPr>
              <w:pStyle w:val="TableParagraph"/>
              <w:spacing w:line="227" w:lineRule="exact"/>
              <w:ind w:right="135"/>
              <w:rPr>
                <w:sz w:val="20"/>
              </w:rPr>
            </w:pPr>
            <w:r>
              <w:rPr>
                <w:sz w:val="20"/>
              </w:rPr>
              <w:t>.15</w:t>
            </w:r>
          </w:p>
        </w:tc>
        <w:tc>
          <w:tcPr>
            <w:tcW w:w="1157" w:type="dxa"/>
          </w:tcPr>
          <w:p>
            <w:pPr>
              <w:pStyle w:val="TableParagraph"/>
              <w:spacing w:line="227" w:lineRule="exact"/>
              <w:ind w:right="212"/>
              <w:rPr>
                <w:sz w:val="20"/>
              </w:rPr>
            </w:pPr>
            <w:r>
              <w:rPr>
                <w:sz w:val="20"/>
              </w:rPr>
              <w:t>.39</w:t>
            </w:r>
          </w:p>
        </w:tc>
        <w:tc>
          <w:tcPr>
            <w:tcW w:w="1126" w:type="dxa"/>
          </w:tcPr>
          <w:p>
            <w:pPr>
              <w:pStyle w:val="TableParagraph"/>
              <w:spacing w:line="227" w:lineRule="exact"/>
              <w:ind w:right="81"/>
              <w:rPr>
                <w:sz w:val="20"/>
              </w:rPr>
            </w:pPr>
            <w:r>
              <w:rPr>
                <w:sz w:val="20"/>
              </w:rPr>
              <w:t>.28</w:t>
            </w:r>
          </w:p>
        </w:tc>
        <w:tc>
          <w:tcPr>
            <w:tcW w:w="1009" w:type="dxa"/>
          </w:tcPr>
          <w:p>
            <w:pPr>
              <w:pStyle w:val="TableParagraph"/>
              <w:spacing w:line="227" w:lineRule="exact"/>
              <w:ind w:right="96"/>
              <w:rPr>
                <w:sz w:val="20"/>
              </w:rPr>
            </w:pPr>
            <w:r>
              <w:rPr>
                <w:sz w:val="20"/>
              </w:rPr>
              <w:t>.13</w:t>
            </w:r>
          </w:p>
        </w:tc>
      </w:tr>
      <w:tr>
        <w:trPr>
          <w:trHeight w:val="228" w:hRule="exact"/>
        </w:trPr>
        <w:tc>
          <w:tcPr>
            <w:tcW w:w="3983" w:type="dxa"/>
          </w:tcPr>
          <w:p>
            <w:pPr>
              <w:pStyle w:val="TableParagraph"/>
              <w:spacing w:line="227" w:lineRule="exact"/>
              <w:ind w:left="50"/>
              <w:jc w:val="left"/>
              <w:rPr>
                <w:sz w:val="20"/>
              </w:rPr>
            </w:pPr>
            <w:r>
              <w:rPr>
                <w:sz w:val="20"/>
              </w:rPr>
              <w:t>Net income per share, diluted</w:t>
            </w:r>
          </w:p>
        </w:tc>
        <w:tc>
          <w:tcPr>
            <w:tcW w:w="1695" w:type="dxa"/>
          </w:tcPr>
          <w:p>
            <w:pPr>
              <w:pStyle w:val="TableParagraph"/>
              <w:spacing w:line="227" w:lineRule="exact"/>
              <w:ind w:right="135"/>
              <w:rPr>
                <w:sz w:val="20"/>
              </w:rPr>
            </w:pPr>
            <w:r>
              <w:rPr>
                <w:sz w:val="20"/>
              </w:rPr>
              <w:t>.15</w:t>
            </w:r>
          </w:p>
        </w:tc>
        <w:tc>
          <w:tcPr>
            <w:tcW w:w="1157" w:type="dxa"/>
          </w:tcPr>
          <w:p>
            <w:pPr>
              <w:pStyle w:val="TableParagraph"/>
              <w:spacing w:line="227" w:lineRule="exact"/>
              <w:ind w:right="212"/>
              <w:rPr>
                <w:sz w:val="20"/>
              </w:rPr>
            </w:pPr>
            <w:r>
              <w:rPr>
                <w:sz w:val="20"/>
              </w:rPr>
              <w:t>.38</w:t>
            </w:r>
          </w:p>
        </w:tc>
        <w:tc>
          <w:tcPr>
            <w:tcW w:w="1126" w:type="dxa"/>
          </w:tcPr>
          <w:p>
            <w:pPr>
              <w:pStyle w:val="TableParagraph"/>
              <w:spacing w:line="227" w:lineRule="exact"/>
              <w:ind w:right="81"/>
              <w:rPr>
                <w:sz w:val="20"/>
              </w:rPr>
            </w:pPr>
            <w:r>
              <w:rPr>
                <w:sz w:val="20"/>
              </w:rPr>
              <w:t>.27</w:t>
            </w:r>
          </w:p>
        </w:tc>
        <w:tc>
          <w:tcPr>
            <w:tcW w:w="1009" w:type="dxa"/>
          </w:tcPr>
          <w:p>
            <w:pPr>
              <w:pStyle w:val="TableParagraph"/>
              <w:spacing w:line="227" w:lineRule="exact"/>
              <w:ind w:right="96"/>
              <w:rPr>
                <w:sz w:val="20"/>
              </w:rPr>
            </w:pPr>
            <w:r>
              <w:rPr>
                <w:sz w:val="20"/>
              </w:rPr>
              <w:t>.13</w:t>
            </w:r>
          </w:p>
        </w:tc>
      </w:tr>
    </w:tbl>
    <w:p>
      <w:pPr>
        <w:pStyle w:val="BodyText"/>
        <w:rPr>
          <w:sz w:val="22"/>
        </w:rPr>
      </w:pPr>
    </w:p>
    <w:p>
      <w:pPr>
        <w:pStyle w:val="Heading3"/>
        <w:spacing w:before="184"/>
        <w:ind w:left="159"/>
      </w:pPr>
      <w:bookmarkStart w:name="_TOC_250002" w:id="2"/>
      <w:bookmarkEnd w:id="2"/>
      <w:r>
        <w:rPr/>
        <w:t>COMMON STOCK PRICE RANGES AND DIVIDENDS</w:t>
      </w:r>
    </w:p>
    <w:p>
      <w:pPr>
        <w:pStyle w:val="BodyText"/>
        <w:spacing w:before="9"/>
        <w:rPr>
          <w:b/>
          <w:sz w:val="31"/>
        </w:rPr>
      </w:pPr>
    </w:p>
    <w:p>
      <w:pPr>
        <w:pStyle w:val="BodyText"/>
        <w:spacing w:line="240" w:lineRule="exact"/>
        <w:ind w:left="159" w:firstLine="182"/>
      </w:pPr>
      <w:r>
        <w:rPr/>
        <w:t>Southwest’s common stock is listed on the New York Stock Exchange and is traded under the symbol LUV. The high and low sales prices of the common stock on the Composite Tape and the quarterly dividends per share, as adjusted for the November 1997 three-for-two stock split, were:</w:t>
      </w:r>
    </w:p>
    <w:p>
      <w:pPr>
        <w:pStyle w:val="BodyText"/>
        <w:rPr>
          <w:sz w:val="20"/>
        </w:rPr>
      </w:pPr>
    </w:p>
    <w:p>
      <w:pPr>
        <w:pStyle w:val="BodyText"/>
        <w:spacing w:before="10" w:after="1"/>
        <w:rPr>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775"/>
        <w:gridCol w:w="1348"/>
        <w:gridCol w:w="1137"/>
      </w:tblGrid>
      <w:tr>
        <w:trPr>
          <w:trHeight w:val="225" w:hRule="exact"/>
        </w:trPr>
        <w:tc>
          <w:tcPr>
            <w:tcW w:w="2760" w:type="dxa"/>
            <w:tcBorders>
              <w:bottom w:val="single" w:sz="6" w:space="0" w:color="000000"/>
            </w:tcBorders>
          </w:tcPr>
          <w:p>
            <w:pPr>
              <w:pStyle w:val="TableParagraph"/>
              <w:spacing w:line="225" w:lineRule="exact"/>
              <w:ind w:left="50"/>
              <w:jc w:val="left"/>
              <w:rPr>
                <w:sz w:val="20"/>
              </w:rPr>
            </w:pPr>
            <w:r>
              <w:rPr>
                <w:sz w:val="20"/>
              </w:rPr>
              <w:t>PERIOD</w:t>
            </w:r>
          </w:p>
        </w:tc>
        <w:tc>
          <w:tcPr>
            <w:tcW w:w="2775" w:type="dxa"/>
            <w:tcBorders>
              <w:bottom w:val="single" w:sz="6" w:space="0" w:color="000000"/>
            </w:tcBorders>
          </w:tcPr>
          <w:p>
            <w:pPr>
              <w:pStyle w:val="TableParagraph"/>
              <w:spacing w:line="225" w:lineRule="exact"/>
              <w:ind w:left="1422"/>
              <w:jc w:val="left"/>
              <w:rPr>
                <w:sz w:val="20"/>
              </w:rPr>
            </w:pPr>
            <w:r>
              <w:rPr>
                <w:sz w:val="20"/>
              </w:rPr>
              <w:t>DIVIDENDS</w:t>
            </w:r>
          </w:p>
        </w:tc>
        <w:tc>
          <w:tcPr>
            <w:tcW w:w="1348" w:type="dxa"/>
            <w:tcBorders>
              <w:bottom w:val="single" w:sz="6" w:space="0" w:color="000000"/>
            </w:tcBorders>
          </w:tcPr>
          <w:p>
            <w:pPr>
              <w:pStyle w:val="TableParagraph"/>
              <w:spacing w:line="225" w:lineRule="exact"/>
              <w:ind w:left="380"/>
              <w:jc w:val="left"/>
              <w:rPr>
                <w:sz w:val="20"/>
              </w:rPr>
            </w:pPr>
            <w:r>
              <w:rPr>
                <w:sz w:val="20"/>
              </w:rPr>
              <w:t>HIGH</w:t>
            </w:r>
          </w:p>
        </w:tc>
        <w:tc>
          <w:tcPr>
            <w:tcW w:w="1137" w:type="dxa"/>
            <w:tcBorders>
              <w:bottom w:val="single" w:sz="6" w:space="0" w:color="000000"/>
            </w:tcBorders>
          </w:tcPr>
          <w:p>
            <w:pPr>
              <w:pStyle w:val="TableParagraph"/>
              <w:spacing w:line="225" w:lineRule="exact"/>
              <w:ind w:left="491"/>
              <w:jc w:val="left"/>
              <w:rPr>
                <w:sz w:val="20"/>
              </w:rPr>
            </w:pPr>
            <w:r>
              <w:rPr>
                <w:sz w:val="20"/>
              </w:rPr>
              <w:t>LOW</w:t>
            </w:r>
          </w:p>
        </w:tc>
      </w:tr>
      <w:tr>
        <w:trPr>
          <w:trHeight w:val="572" w:hRule="exact"/>
        </w:trPr>
        <w:tc>
          <w:tcPr>
            <w:tcW w:w="2760" w:type="dxa"/>
            <w:tcBorders>
              <w:top w:val="single" w:sz="6" w:space="0" w:color="000000"/>
            </w:tcBorders>
          </w:tcPr>
          <w:p>
            <w:pPr>
              <w:pStyle w:val="TableParagraph"/>
              <w:spacing w:before="15"/>
              <w:ind w:left="50"/>
              <w:jc w:val="left"/>
              <w:rPr>
                <w:sz w:val="24"/>
              </w:rPr>
            </w:pPr>
            <w:r>
              <w:rPr>
                <w:color w:val="008080"/>
                <w:sz w:val="24"/>
              </w:rPr>
              <w:t>1997</w:t>
            </w:r>
          </w:p>
          <w:p>
            <w:pPr>
              <w:pStyle w:val="TableParagraph"/>
              <w:spacing w:before="7"/>
              <w:ind w:left="50"/>
              <w:jc w:val="left"/>
              <w:rPr>
                <w:sz w:val="24"/>
              </w:rPr>
            </w:pPr>
            <w:r>
              <w:rPr>
                <w:color w:val="008080"/>
                <w:sz w:val="24"/>
              </w:rPr>
              <w:t>1st Quarter</w:t>
            </w:r>
          </w:p>
        </w:tc>
        <w:tc>
          <w:tcPr>
            <w:tcW w:w="2775" w:type="dxa"/>
            <w:tcBorders>
              <w:top w:val="single" w:sz="6" w:space="0" w:color="000000"/>
            </w:tcBorders>
          </w:tcPr>
          <w:p>
            <w:pPr>
              <w:pStyle w:val="TableParagraph"/>
              <w:spacing w:before="10"/>
              <w:jc w:val="left"/>
              <w:rPr>
                <w:sz w:val="25"/>
              </w:rPr>
            </w:pPr>
          </w:p>
          <w:p>
            <w:pPr>
              <w:pStyle w:val="TableParagraph"/>
              <w:ind w:left="1456"/>
              <w:jc w:val="left"/>
              <w:rPr>
                <w:sz w:val="24"/>
              </w:rPr>
            </w:pPr>
            <w:r>
              <w:rPr>
                <w:color w:val="008080"/>
                <w:sz w:val="24"/>
              </w:rPr>
              <w:t>$.00770</w:t>
            </w:r>
          </w:p>
        </w:tc>
        <w:tc>
          <w:tcPr>
            <w:tcW w:w="1348" w:type="dxa"/>
            <w:tcBorders>
              <w:top w:val="single" w:sz="6" w:space="0" w:color="000000"/>
            </w:tcBorders>
          </w:tcPr>
          <w:p>
            <w:pPr>
              <w:pStyle w:val="TableParagraph"/>
              <w:spacing w:before="10"/>
              <w:jc w:val="left"/>
              <w:rPr>
                <w:sz w:val="25"/>
              </w:rPr>
            </w:pPr>
          </w:p>
          <w:p>
            <w:pPr>
              <w:pStyle w:val="TableParagraph"/>
              <w:ind w:right="350"/>
              <w:rPr>
                <w:sz w:val="24"/>
              </w:rPr>
            </w:pPr>
            <w:r>
              <w:rPr>
                <w:color w:val="008080"/>
                <w:w w:val="95"/>
                <w:sz w:val="24"/>
              </w:rPr>
              <w:t>$16.67</w:t>
            </w:r>
          </w:p>
        </w:tc>
        <w:tc>
          <w:tcPr>
            <w:tcW w:w="1137" w:type="dxa"/>
            <w:tcBorders>
              <w:top w:val="single" w:sz="6" w:space="0" w:color="000000"/>
            </w:tcBorders>
          </w:tcPr>
          <w:p>
            <w:pPr>
              <w:pStyle w:val="TableParagraph"/>
              <w:spacing w:before="10"/>
              <w:jc w:val="left"/>
              <w:rPr>
                <w:sz w:val="25"/>
              </w:rPr>
            </w:pPr>
          </w:p>
          <w:p>
            <w:pPr>
              <w:pStyle w:val="TableParagraph"/>
              <w:ind w:right="48"/>
              <w:rPr>
                <w:sz w:val="24"/>
              </w:rPr>
            </w:pPr>
            <w:r>
              <w:rPr>
                <w:color w:val="008080"/>
                <w:w w:val="95"/>
                <w:sz w:val="24"/>
              </w:rPr>
              <w:t>$14.17</w:t>
            </w:r>
          </w:p>
        </w:tc>
      </w:tr>
      <w:tr>
        <w:trPr>
          <w:trHeight w:val="283" w:hRule="exact"/>
        </w:trPr>
        <w:tc>
          <w:tcPr>
            <w:tcW w:w="2760" w:type="dxa"/>
          </w:tcPr>
          <w:p>
            <w:pPr>
              <w:pStyle w:val="TableParagraph"/>
              <w:spacing w:line="276" w:lineRule="exact"/>
              <w:ind w:left="50"/>
              <w:jc w:val="left"/>
              <w:rPr>
                <w:sz w:val="24"/>
              </w:rPr>
            </w:pPr>
            <w:r>
              <w:rPr>
                <w:color w:val="008080"/>
                <w:sz w:val="24"/>
              </w:rPr>
              <w:t>2nd Quarter</w:t>
            </w:r>
          </w:p>
        </w:tc>
        <w:tc>
          <w:tcPr>
            <w:tcW w:w="2775" w:type="dxa"/>
          </w:tcPr>
          <w:p>
            <w:pPr>
              <w:pStyle w:val="TableParagraph"/>
              <w:spacing w:line="276" w:lineRule="exact"/>
              <w:ind w:left="1590"/>
              <w:jc w:val="left"/>
              <w:rPr>
                <w:sz w:val="24"/>
              </w:rPr>
            </w:pPr>
            <w:r>
              <w:rPr>
                <w:color w:val="008080"/>
                <w:sz w:val="24"/>
              </w:rPr>
              <w:t>.00770</w:t>
            </w:r>
          </w:p>
        </w:tc>
        <w:tc>
          <w:tcPr>
            <w:tcW w:w="1348" w:type="dxa"/>
          </w:tcPr>
          <w:p>
            <w:pPr>
              <w:pStyle w:val="TableParagraph"/>
              <w:spacing w:line="276" w:lineRule="exact"/>
              <w:ind w:right="350"/>
              <w:rPr>
                <w:sz w:val="24"/>
              </w:rPr>
            </w:pPr>
            <w:r>
              <w:rPr>
                <w:color w:val="008080"/>
                <w:w w:val="95"/>
                <w:sz w:val="24"/>
              </w:rPr>
              <w:t>18.67</w:t>
            </w:r>
          </w:p>
        </w:tc>
        <w:tc>
          <w:tcPr>
            <w:tcW w:w="1137" w:type="dxa"/>
          </w:tcPr>
          <w:p>
            <w:pPr>
              <w:pStyle w:val="TableParagraph"/>
              <w:spacing w:line="276" w:lineRule="exact"/>
              <w:ind w:right="48"/>
              <w:rPr>
                <w:sz w:val="24"/>
              </w:rPr>
            </w:pPr>
            <w:r>
              <w:rPr>
                <w:color w:val="008080"/>
                <w:w w:val="95"/>
                <w:sz w:val="24"/>
              </w:rPr>
              <w:t>14.33</w:t>
            </w:r>
          </w:p>
        </w:tc>
      </w:tr>
      <w:tr>
        <w:trPr>
          <w:trHeight w:val="283" w:hRule="exact"/>
        </w:trPr>
        <w:tc>
          <w:tcPr>
            <w:tcW w:w="2760" w:type="dxa"/>
          </w:tcPr>
          <w:p>
            <w:pPr>
              <w:pStyle w:val="TableParagraph"/>
              <w:spacing w:line="276" w:lineRule="exact"/>
              <w:ind w:left="50"/>
              <w:jc w:val="left"/>
              <w:rPr>
                <w:sz w:val="24"/>
              </w:rPr>
            </w:pPr>
            <w:r>
              <w:rPr>
                <w:color w:val="008080"/>
                <w:sz w:val="24"/>
              </w:rPr>
              <w:t>3rd Quarter</w:t>
            </w:r>
          </w:p>
        </w:tc>
        <w:tc>
          <w:tcPr>
            <w:tcW w:w="2775" w:type="dxa"/>
          </w:tcPr>
          <w:p>
            <w:pPr>
              <w:pStyle w:val="TableParagraph"/>
              <w:spacing w:line="276" w:lineRule="exact"/>
              <w:ind w:left="1590"/>
              <w:jc w:val="left"/>
              <w:rPr>
                <w:sz w:val="24"/>
              </w:rPr>
            </w:pPr>
            <w:r>
              <w:rPr>
                <w:color w:val="008080"/>
                <w:sz w:val="24"/>
              </w:rPr>
              <w:t>.00770</w:t>
            </w:r>
          </w:p>
        </w:tc>
        <w:tc>
          <w:tcPr>
            <w:tcW w:w="1348" w:type="dxa"/>
          </w:tcPr>
          <w:p>
            <w:pPr>
              <w:pStyle w:val="TableParagraph"/>
              <w:spacing w:line="276" w:lineRule="exact"/>
              <w:ind w:right="350"/>
              <w:rPr>
                <w:sz w:val="24"/>
              </w:rPr>
            </w:pPr>
            <w:r>
              <w:rPr>
                <w:color w:val="008080"/>
                <w:w w:val="95"/>
                <w:sz w:val="24"/>
              </w:rPr>
              <w:t>22.13</w:t>
            </w:r>
          </w:p>
        </w:tc>
        <w:tc>
          <w:tcPr>
            <w:tcW w:w="1137" w:type="dxa"/>
          </w:tcPr>
          <w:p>
            <w:pPr>
              <w:pStyle w:val="TableParagraph"/>
              <w:spacing w:line="276" w:lineRule="exact"/>
              <w:ind w:right="48"/>
              <w:rPr>
                <w:sz w:val="24"/>
              </w:rPr>
            </w:pPr>
            <w:r>
              <w:rPr>
                <w:color w:val="008080"/>
                <w:w w:val="95"/>
                <w:sz w:val="24"/>
              </w:rPr>
              <w:t>17.33</w:t>
            </w:r>
          </w:p>
        </w:tc>
      </w:tr>
      <w:tr>
        <w:trPr>
          <w:trHeight w:val="425" w:hRule="exact"/>
        </w:trPr>
        <w:tc>
          <w:tcPr>
            <w:tcW w:w="2760" w:type="dxa"/>
          </w:tcPr>
          <w:p>
            <w:pPr>
              <w:pStyle w:val="TableParagraph"/>
              <w:spacing w:line="276" w:lineRule="exact"/>
              <w:ind w:left="50"/>
              <w:jc w:val="left"/>
              <w:rPr>
                <w:sz w:val="24"/>
              </w:rPr>
            </w:pPr>
            <w:r>
              <w:rPr>
                <w:color w:val="008080"/>
                <w:sz w:val="24"/>
              </w:rPr>
              <w:t>4th Quarter</w:t>
            </w:r>
          </w:p>
        </w:tc>
        <w:tc>
          <w:tcPr>
            <w:tcW w:w="2775" w:type="dxa"/>
          </w:tcPr>
          <w:p>
            <w:pPr>
              <w:pStyle w:val="TableParagraph"/>
              <w:spacing w:line="276" w:lineRule="exact"/>
              <w:ind w:left="1590"/>
              <w:jc w:val="left"/>
              <w:rPr>
                <w:sz w:val="24"/>
              </w:rPr>
            </w:pPr>
            <w:r>
              <w:rPr>
                <w:color w:val="008080"/>
                <w:sz w:val="24"/>
              </w:rPr>
              <w:t>.01000</w:t>
            </w:r>
          </w:p>
        </w:tc>
        <w:tc>
          <w:tcPr>
            <w:tcW w:w="1348" w:type="dxa"/>
          </w:tcPr>
          <w:p>
            <w:pPr>
              <w:pStyle w:val="TableParagraph"/>
              <w:spacing w:line="276" w:lineRule="exact"/>
              <w:ind w:right="350"/>
              <w:rPr>
                <w:sz w:val="24"/>
              </w:rPr>
            </w:pPr>
            <w:r>
              <w:rPr>
                <w:color w:val="008080"/>
                <w:w w:val="95"/>
                <w:sz w:val="24"/>
              </w:rPr>
              <w:t>26.25</w:t>
            </w:r>
          </w:p>
        </w:tc>
        <w:tc>
          <w:tcPr>
            <w:tcW w:w="1137" w:type="dxa"/>
          </w:tcPr>
          <w:p>
            <w:pPr>
              <w:pStyle w:val="TableParagraph"/>
              <w:spacing w:line="276" w:lineRule="exact"/>
              <w:ind w:right="48"/>
              <w:rPr>
                <w:sz w:val="24"/>
              </w:rPr>
            </w:pPr>
            <w:r>
              <w:rPr>
                <w:color w:val="008080"/>
                <w:w w:val="95"/>
                <w:sz w:val="24"/>
              </w:rPr>
              <w:t>18.83</w:t>
            </w:r>
          </w:p>
        </w:tc>
      </w:tr>
      <w:tr>
        <w:trPr>
          <w:trHeight w:val="708" w:hRule="exact"/>
        </w:trPr>
        <w:tc>
          <w:tcPr>
            <w:tcW w:w="2760" w:type="dxa"/>
          </w:tcPr>
          <w:p>
            <w:pPr>
              <w:pStyle w:val="TableParagraph"/>
              <w:spacing w:before="141"/>
              <w:ind w:left="50"/>
              <w:jc w:val="left"/>
              <w:rPr>
                <w:sz w:val="24"/>
              </w:rPr>
            </w:pPr>
            <w:r>
              <w:rPr>
                <w:sz w:val="24"/>
              </w:rPr>
              <w:t>1996</w:t>
            </w:r>
          </w:p>
          <w:p>
            <w:pPr>
              <w:pStyle w:val="TableParagraph"/>
              <w:spacing w:before="7"/>
              <w:ind w:left="50"/>
              <w:jc w:val="left"/>
              <w:rPr>
                <w:sz w:val="24"/>
              </w:rPr>
            </w:pPr>
            <w:r>
              <w:rPr>
                <w:sz w:val="24"/>
              </w:rPr>
              <w:t>1st Quarter</w:t>
            </w:r>
          </w:p>
        </w:tc>
        <w:tc>
          <w:tcPr>
            <w:tcW w:w="2775" w:type="dxa"/>
          </w:tcPr>
          <w:p>
            <w:pPr>
              <w:pStyle w:val="TableParagraph"/>
              <w:spacing w:before="10"/>
              <w:jc w:val="left"/>
              <w:rPr>
                <w:sz w:val="36"/>
              </w:rPr>
            </w:pPr>
          </w:p>
          <w:p>
            <w:pPr>
              <w:pStyle w:val="TableParagraph"/>
              <w:ind w:left="1456"/>
              <w:jc w:val="left"/>
              <w:rPr>
                <w:sz w:val="24"/>
              </w:rPr>
            </w:pPr>
            <w:r>
              <w:rPr>
                <w:sz w:val="24"/>
              </w:rPr>
              <w:t>$.00733</w:t>
            </w:r>
          </w:p>
        </w:tc>
        <w:tc>
          <w:tcPr>
            <w:tcW w:w="1348" w:type="dxa"/>
          </w:tcPr>
          <w:p>
            <w:pPr>
              <w:pStyle w:val="TableParagraph"/>
              <w:spacing w:before="10"/>
              <w:jc w:val="left"/>
              <w:rPr>
                <w:sz w:val="36"/>
              </w:rPr>
            </w:pPr>
          </w:p>
          <w:p>
            <w:pPr>
              <w:pStyle w:val="TableParagraph"/>
              <w:ind w:right="350"/>
              <w:rPr>
                <w:sz w:val="24"/>
              </w:rPr>
            </w:pPr>
            <w:r>
              <w:rPr>
                <w:w w:val="95"/>
                <w:sz w:val="24"/>
              </w:rPr>
              <w:t>$22.00</w:t>
            </w:r>
          </w:p>
        </w:tc>
        <w:tc>
          <w:tcPr>
            <w:tcW w:w="1137" w:type="dxa"/>
          </w:tcPr>
          <w:p>
            <w:pPr>
              <w:pStyle w:val="TableParagraph"/>
              <w:spacing w:before="10"/>
              <w:jc w:val="left"/>
              <w:rPr>
                <w:sz w:val="36"/>
              </w:rPr>
            </w:pPr>
          </w:p>
          <w:p>
            <w:pPr>
              <w:pStyle w:val="TableParagraph"/>
              <w:ind w:right="48"/>
              <w:rPr>
                <w:sz w:val="24"/>
              </w:rPr>
            </w:pPr>
            <w:r>
              <w:rPr>
                <w:w w:val="95"/>
                <w:sz w:val="24"/>
              </w:rPr>
              <w:t>$14.75</w:t>
            </w:r>
          </w:p>
        </w:tc>
      </w:tr>
      <w:tr>
        <w:trPr>
          <w:trHeight w:val="283" w:hRule="exact"/>
        </w:trPr>
        <w:tc>
          <w:tcPr>
            <w:tcW w:w="2760" w:type="dxa"/>
          </w:tcPr>
          <w:p>
            <w:pPr>
              <w:pStyle w:val="TableParagraph"/>
              <w:spacing w:line="276" w:lineRule="exact"/>
              <w:ind w:left="50"/>
              <w:jc w:val="left"/>
              <w:rPr>
                <w:sz w:val="24"/>
              </w:rPr>
            </w:pPr>
            <w:r>
              <w:rPr>
                <w:sz w:val="24"/>
              </w:rPr>
              <w:t>2nd Quarter</w:t>
            </w:r>
          </w:p>
        </w:tc>
        <w:tc>
          <w:tcPr>
            <w:tcW w:w="2775" w:type="dxa"/>
          </w:tcPr>
          <w:p>
            <w:pPr>
              <w:pStyle w:val="TableParagraph"/>
              <w:spacing w:line="276" w:lineRule="exact"/>
              <w:ind w:left="1590"/>
              <w:jc w:val="left"/>
              <w:rPr>
                <w:sz w:val="24"/>
              </w:rPr>
            </w:pPr>
            <w:r>
              <w:rPr>
                <w:sz w:val="24"/>
              </w:rPr>
              <w:t>.00733</w:t>
            </w:r>
          </w:p>
        </w:tc>
        <w:tc>
          <w:tcPr>
            <w:tcW w:w="1348" w:type="dxa"/>
          </w:tcPr>
          <w:p>
            <w:pPr>
              <w:pStyle w:val="TableParagraph"/>
              <w:spacing w:line="276" w:lineRule="exact"/>
              <w:ind w:right="345"/>
              <w:rPr>
                <w:sz w:val="24"/>
              </w:rPr>
            </w:pPr>
            <w:r>
              <w:rPr>
                <w:sz w:val="24"/>
              </w:rPr>
              <w:t>22.17</w:t>
            </w:r>
          </w:p>
        </w:tc>
        <w:tc>
          <w:tcPr>
            <w:tcW w:w="1137" w:type="dxa"/>
          </w:tcPr>
          <w:p>
            <w:pPr>
              <w:pStyle w:val="TableParagraph"/>
              <w:spacing w:line="276" w:lineRule="exact"/>
              <w:ind w:right="48"/>
              <w:rPr>
                <w:sz w:val="24"/>
              </w:rPr>
            </w:pPr>
            <w:r>
              <w:rPr>
                <w:w w:val="95"/>
                <w:sz w:val="24"/>
              </w:rPr>
              <w:t>17.17</w:t>
            </w:r>
          </w:p>
        </w:tc>
      </w:tr>
      <w:tr>
        <w:trPr>
          <w:trHeight w:val="283" w:hRule="exact"/>
        </w:trPr>
        <w:tc>
          <w:tcPr>
            <w:tcW w:w="2760" w:type="dxa"/>
          </w:tcPr>
          <w:p>
            <w:pPr>
              <w:pStyle w:val="TableParagraph"/>
              <w:spacing w:line="276" w:lineRule="exact"/>
              <w:ind w:left="50"/>
              <w:jc w:val="left"/>
              <w:rPr>
                <w:sz w:val="24"/>
              </w:rPr>
            </w:pPr>
            <w:r>
              <w:rPr>
                <w:sz w:val="24"/>
              </w:rPr>
              <w:t>3rd Quarter</w:t>
            </w:r>
          </w:p>
        </w:tc>
        <w:tc>
          <w:tcPr>
            <w:tcW w:w="2775" w:type="dxa"/>
          </w:tcPr>
          <w:p>
            <w:pPr>
              <w:pStyle w:val="TableParagraph"/>
              <w:spacing w:line="276" w:lineRule="exact"/>
              <w:ind w:left="1590"/>
              <w:jc w:val="left"/>
              <w:rPr>
                <w:sz w:val="24"/>
              </w:rPr>
            </w:pPr>
            <w:r>
              <w:rPr>
                <w:sz w:val="24"/>
              </w:rPr>
              <w:t>.00733</w:t>
            </w:r>
          </w:p>
        </w:tc>
        <w:tc>
          <w:tcPr>
            <w:tcW w:w="1348" w:type="dxa"/>
          </w:tcPr>
          <w:p>
            <w:pPr>
              <w:pStyle w:val="TableParagraph"/>
              <w:spacing w:line="276" w:lineRule="exact"/>
              <w:ind w:right="350"/>
              <w:rPr>
                <w:sz w:val="24"/>
              </w:rPr>
            </w:pPr>
            <w:r>
              <w:rPr>
                <w:w w:val="95"/>
                <w:sz w:val="24"/>
              </w:rPr>
              <w:t>19.33</w:t>
            </w:r>
          </w:p>
        </w:tc>
        <w:tc>
          <w:tcPr>
            <w:tcW w:w="1137" w:type="dxa"/>
          </w:tcPr>
          <w:p>
            <w:pPr>
              <w:pStyle w:val="TableParagraph"/>
              <w:spacing w:line="276" w:lineRule="exact"/>
              <w:ind w:right="48"/>
              <w:rPr>
                <w:sz w:val="24"/>
              </w:rPr>
            </w:pPr>
            <w:r>
              <w:rPr>
                <w:w w:val="95"/>
                <w:sz w:val="24"/>
              </w:rPr>
              <w:t>14.25</w:t>
            </w:r>
          </w:p>
        </w:tc>
      </w:tr>
      <w:tr>
        <w:trPr>
          <w:trHeight w:val="276" w:hRule="exact"/>
        </w:trPr>
        <w:tc>
          <w:tcPr>
            <w:tcW w:w="2760" w:type="dxa"/>
          </w:tcPr>
          <w:p>
            <w:pPr>
              <w:pStyle w:val="TableParagraph"/>
              <w:spacing w:line="276" w:lineRule="exact"/>
              <w:ind w:left="50"/>
              <w:jc w:val="left"/>
              <w:rPr>
                <w:sz w:val="24"/>
              </w:rPr>
            </w:pPr>
            <w:r>
              <w:rPr>
                <w:sz w:val="24"/>
              </w:rPr>
              <w:t>4th Quarter</w:t>
            </w:r>
          </w:p>
        </w:tc>
        <w:tc>
          <w:tcPr>
            <w:tcW w:w="2775" w:type="dxa"/>
          </w:tcPr>
          <w:p>
            <w:pPr>
              <w:pStyle w:val="TableParagraph"/>
              <w:spacing w:line="276" w:lineRule="exact"/>
              <w:ind w:left="1590"/>
              <w:jc w:val="left"/>
              <w:rPr>
                <w:sz w:val="24"/>
              </w:rPr>
            </w:pPr>
            <w:r>
              <w:rPr>
                <w:sz w:val="24"/>
              </w:rPr>
              <w:t>.00733</w:t>
            </w:r>
          </w:p>
        </w:tc>
        <w:tc>
          <w:tcPr>
            <w:tcW w:w="1348" w:type="dxa"/>
          </w:tcPr>
          <w:p>
            <w:pPr>
              <w:pStyle w:val="TableParagraph"/>
              <w:spacing w:line="276" w:lineRule="exact"/>
              <w:ind w:right="350"/>
              <w:rPr>
                <w:sz w:val="24"/>
              </w:rPr>
            </w:pPr>
            <w:r>
              <w:rPr>
                <w:w w:val="95"/>
                <w:sz w:val="24"/>
              </w:rPr>
              <w:t>17.33</w:t>
            </w:r>
          </w:p>
        </w:tc>
        <w:tc>
          <w:tcPr>
            <w:tcW w:w="1137" w:type="dxa"/>
          </w:tcPr>
          <w:p>
            <w:pPr>
              <w:pStyle w:val="TableParagraph"/>
              <w:spacing w:line="276" w:lineRule="exact"/>
              <w:ind w:right="48"/>
              <w:rPr>
                <w:sz w:val="24"/>
              </w:rPr>
            </w:pPr>
            <w:r>
              <w:rPr>
                <w:w w:val="95"/>
                <w:sz w:val="24"/>
              </w:rPr>
              <w:t>13.75</w:t>
            </w:r>
          </w:p>
        </w:tc>
      </w:tr>
    </w:tbl>
    <w:p>
      <w:pPr>
        <w:spacing w:after="0" w:line="276" w:lineRule="exact"/>
        <w:rPr>
          <w:sz w:val="24"/>
        </w:rPr>
        <w:sectPr>
          <w:pgSz w:w="12240" w:h="15840"/>
          <w:pgMar w:header="1592" w:footer="790" w:top="2120" w:bottom="980" w:left="1280" w:right="1320"/>
        </w:sectPr>
      </w:pPr>
    </w:p>
    <w:p>
      <w:pPr>
        <w:pStyle w:val="BodyText"/>
        <w:spacing w:before="6"/>
        <w:rPr>
          <w:sz w:val="9"/>
        </w:rPr>
      </w:pPr>
    </w:p>
    <w:p>
      <w:pPr>
        <w:pStyle w:val="Heading3"/>
        <w:spacing w:before="92"/>
        <w:ind w:left="160"/>
      </w:pPr>
      <w:bookmarkStart w:name="_TOC_250001" w:id="3"/>
      <w:bookmarkEnd w:id="3"/>
      <w:r>
        <w:rPr/>
        <w:t>TEN-YEAR SUMMARY</w:t>
      </w:r>
    </w:p>
    <w:p>
      <w:pPr>
        <w:spacing w:before="203"/>
        <w:ind w:left="159" w:right="0" w:firstLine="0"/>
        <w:jc w:val="left"/>
        <w:rPr>
          <w:b/>
          <w:sz w:val="16"/>
        </w:rPr>
      </w:pPr>
      <w:r>
        <w:rPr>
          <w:b/>
          <w:color w:val="008080"/>
          <w:sz w:val="24"/>
        </w:rPr>
        <w:t>SELECTED CONSOLIDATED FINANCIAL DATA </w:t>
      </w:r>
      <w:r>
        <w:rPr>
          <w:b/>
          <w:color w:val="008080"/>
          <w:position w:val="6"/>
          <w:sz w:val="16"/>
        </w:rPr>
        <w:t>(1)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3"/>
        <w:gridCol w:w="1103"/>
        <w:gridCol w:w="1260"/>
        <w:gridCol w:w="1188"/>
        <w:gridCol w:w="1208"/>
      </w:tblGrid>
      <w:tr>
        <w:trPr>
          <w:trHeight w:val="204" w:hRule="exact"/>
        </w:trPr>
        <w:tc>
          <w:tcPr>
            <w:tcW w:w="3983" w:type="dxa"/>
            <w:tcBorders>
              <w:bottom w:val="single" w:sz="6" w:space="0" w:color="000000"/>
            </w:tcBorders>
          </w:tcPr>
          <w:p>
            <w:pPr>
              <w:pStyle w:val="TableParagraph"/>
              <w:spacing w:before="15"/>
              <w:ind w:left="50"/>
              <w:jc w:val="left"/>
              <w:rPr>
                <w:sz w:val="16"/>
              </w:rPr>
            </w:pPr>
            <w:r>
              <w:rPr>
                <w:sz w:val="16"/>
              </w:rPr>
              <w:t>(IN THOUSANDS EXCEPT PER SHARE AMOUNTS)</w:t>
            </w:r>
          </w:p>
        </w:tc>
        <w:tc>
          <w:tcPr>
            <w:tcW w:w="4760" w:type="dxa"/>
            <w:gridSpan w:val="4"/>
            <w:tcBorders>
              <w:bottom w:val="single" w:sz="6" w:space="0" w:color="000000"/>
            </w:tcBorders>
          </w:tcPr>
          <w:p>
            <w:pPr>
              <w:pStyle w:val="TableParagraph"/>
              <w:tabs>
                <w:tab w:pos="1783" w:val="left" w:leader="none"/>
                <w:tab w:pos="3046" w:val="left" w:leader="none"/>
                <w:tab w:pos="4303" w:val="left" w:leader="none"/>
              </w:tabs>
              <w:spacing w:line="203" w:lineRule="exact"/>
              <w:ind w:left="526"/>
              <w:jc w:val="left"/>
              <w:rPr>
                <w:sz w:val="18"/>
              </w:rPr>
            </w:pPr>
            <w:r>
              <w:rPr>
                <w:sz w:val="18"/>
              </w:rPr>
              <w:t>1997</w:t>
              <w:tab/>
              <w:t>1996</w:t>
              <w:tab/>
              <w:t>1995</w:t>
              <w:tab/>
              <w:t>1994</w:t>
            </w:r>
          </w:p>
        </w:tc>
      </w:tr>
      <w:tr>
        <w:trPr>
          <w:trHeight w:val="426" w:hRule="exact"/>
        </w:trPr>
        <w:tc>
          <w:tcPr>
            <w:tcW w:w="3983" w:type="dxa"/>
            <w:tcBorders>
              <w:top w:val="single" w:sz="6" w:space="0" w:color="000000"/>
            </w:tcBorders>
          </w:tcPr>
          <w:p>
            <w:pPr>
              <w:pStyle w:val="TableParagraph"/>
              <w:spacing w:line="244" w:lineRule="auto" w:before="8"/>
              <w:ind w:left="232" w:right="1462" w:hanging="183"/>
              <w:jc w:val="left"/>
              <w:rPr>
                <w:sz w:val="18"/>
              </w:rPr>
            </w:pPr>
            <w:r>
              <w:rPr>
                <w:sz w:val="18"/>
              </w:rPr>
              <w:t>Operating revenues: Passenger</w:t>
            </w:r>
          </w:p>
        </w:tc>
        <w:tc>
          <w:tcPr>
            <w:tcW w:w="4760" w:type="dxa"/>
            <w:gridSpan w:val="4"/>
            <w:tcBorders>
              <w:top w:val="single" w:sz="6" w:space="0" w:color="000000"/>
            </w:tcBorders>
          </w:tcPr>
          <w:p>
            <w:pPr>
              <w:pStyle w:val="TableParagraph"/>
              <w:spacing w:before="1"/>
              <w:jc w:val="left"/>
              <w:rPr>
                <w:b/>
                <w:sz w:val="19"/>
              </w:rPr>
            </w:pPr>
          </w:p>
          <w:p>
            <w:pPr>
              <w:pStyle w:val="TableParagraph"/>
              <w:tabs>
                <w:tab w:pos="1274" w:val="left" w:leader="none"/>
                <w:tab w:pos="2484" w:val="left" w:leader="none"/>
                <w:tab w:pos="3794" w:val="left" w:leader="none"/>
              </w:tabs>
              <w:ind w:left="17"/>
              <w:jc w:val="left"/>
              <w:rPr>
                <w:sz w:val="18"/>
              </w:rPr>
            </w:pPr>
            <w:r>
              <w:rPr>
                <w:sz w:val="18"/>
              </w:rPr>
              <w:t>$3,639,193</w:t>
              <w:tab/>
              <w:t>$3,269,238</w:t>
              <w:tab/>
              <w:t>$2</w:t>
            </w:r>
            <w:r>
              <w:rPr>
                <w:spacing w:val="3"/>
                <w:sz w:val="18"/>
              </w:rPr>
              <w:t> </w:t>
            </w:r>
            <w:r>
              <w:rPr>
                <w:sz w:val="18"/>
              </w:rPr>
              <w:t>,760,756</w:t>
              <w:tab/>
              <w:t>$2,497,765</w:t>
            </w:r>
          </w:p>
        </w:tc>
      </w:tr>
      <w:tr>
        <w:trPr>
          <w:trHeight w:val="211" w:hRule="exact"/>
        </w:trPr>
        <w:tc>
          <w:tcPr>
            <w:tcW w:w="3983" w:type="dxa"/>
          </w:tcPr>
          <w:p>
            <w:pPr>
              <w:pStyle w:val="TableParagraph"/>
              <w:ind w:left="232"/>
              <w:jc w:val="left"/>
              <w:rPr>
                <w:sz w:val="18"/>
              </w:rPr>
            </w:pPr>
            <w:r>
              <w:rPr>
                <w:sz w:val="18"/>
              </w:rPr>
              <w:t>Freight</w:t>
            </w:r>
          </w:p>
        </w:tc>
        <w:tc>
          <w:tcPr>
            <w:tcW w:w="4760" w:type="dxa"/>
            <w:gridSpan w:val="4"/>
          </w:tcPr>
          <w:p>
            <w:pPr>
              <w:pStyle w:val="TableParagraph"/>
              <w:tabs>
                <w:tab w:pos="1630" w:val="left" w:leader="none"/>
                <w:tab w:pos="2892" w:val="left" w:leader="none"/>
                <w:tab w:pos="4150" w:val="left" w:leader="none"/>
              </w:tabs>
              <w:ind w:left="372"/>
              <w:jc w:val="left"/>
              <w:rPr>
                <w:sz w:val="18"/>
              </w:rPr>
            </w:pPr>
            <w:r>
              <w:rPr>
                <w:sz w:val="18"/>
              </w:rPr>
              <w:t>94,758</w:t>
              <w:tab/>
              <w:t>80,005</w:t>
              <w:tab/>
              <w:t>65,825</w:t>
              <w:tab/>
              <w:t>54,419</w:t>
            </w:r>
          </w:p>
        </w:tc>
      </w:tr>
      <w:tr>
        <w:trPr>
          <w:trHeight w:val="211" w:hRule="exact"/>
        </w:trPr>
        <w:tc>
          <w:tcPr>
            <w:tcW w:w="3983" w:type="dxa"/>
          </w:tcPr>
          <w:p>
            <w:pPr>
              <w:pStyle w:val="TableParagraph"/>
              <w:ind w:left="232"/>
              <w:jc w:val="left"/>
              <w:rPr>
                <w:sz w:val="18"/>
              </w:rPr>
            </w:pPr>
            <w:r>
              <w:rPr>
                <w:sz w:val="18"/>
              </w:rPr>
              <w:t>Other</w:t>
            </w:r>
          </w:p>
        </w:tc>
        <w:tc>
          <w:tcPr>
            <w:tcW w:w="4760" w:type="dxa"/>
            <w:gridSpan w:val="4"/>
          </w:tcPr>
          <w:p>
            <w:pPr>
              <w:pStyle w:val="TableParagraph"/>
              <w:tabs>
                <w:tab w:pos="1630" w:val="left" w:leader="none"/>
                <w:tab w:pos="2892" w:val="left" w:leader="none"/>
                <w:tab w:pos="4150" w:val="left" w:leader="none"/>
              </w:tabs>
              <w:ind w:left="372"/>
              <w:jc w:val="left"/>
              <w:rPr>
                <w:sz w:val="18"/>
              </w:rPr>
            </w:pPr>
            <w:r>
              <w:rPr>
                <w:sz w:val="18"/>
                <w:u w:val="single"/>
              </w:rPr>
              <w:t>82,870</w:t>
              <w:tab/>
              <w:t>56,927</w:t>
              <w:tab/>
              <w:t>46,170</w:t>
              <w:tab/>
              <w:t>39,749</w:t>
            </w:r>
          </w:p>
        </w:tc>
      </w:tr>
      <w:tr>
        <w:trPr>
          <w:trHeight w:val="211" w:hRule="exact"/>
        </w:trPr>
        <w:tc>
          <w:tcPr>
            <w:tcW w:w="3983" w:type="dxa"/>
          </w:tcPr>
          <w:p>
            <w:pPr>
              <w:pStyle w:val="TableParagraph"/>
              <w:ind w:left="50"/>
              <w:jc w:val="left"/>
              <w:rPr>
                <w:sz w:val="18"/>
              </w:rPr>
            </w:pPr>
            <w:r>
              <w:rPr>
                <w:sz w:val="18"/>
              </w:rPr>
              <w:t>Total operating revenues</w:t>
            </w:r>
          </w:p>
        </w:tc>
        <w:tc>
          <w:tcPr>
            <w:tcW w:w="4760" w:type="dxa"/>
            <w:gridSpan w:val="4"/>
          </w:tcPr>
          <w:p>
            <w:pPr>
              <w:pStyle w:val="TableParagraph"/>
              <w:tabs>
                <w:tab w:pos="1375" w:val="left" w:leader="none"/>
                <w:tab w:pos="2638" w:val="left" w:leader="none"/>
                <w:tab w:pos="3895" w:val="left" w:leader="none"/>
              </w:tabs>
              <w:ind w:left="118"/>
              <w:jc w:val="left"/>
              <w:rPr>
                <w:sz w:val="18"/>
              </w:rPr>
            </w:pPr>
            <w:r>
              <w:rPr>
                <w:sz w:val="18"/>
              </w:rPr>
              <w:t>3,816,821</w:t>
              <w:tab/>
              <w:t>3,406,170</w:t>
              <w:tab/>
              <w:t>2,872,751</w:t>
              <w:tab/>
              <w:t>2,591,933</w:t>
            </w:r>
          </w:p>
        </w:tc>
      </w:tr>
      <w:tr>
        <w:trPr>
          <w:trHeight w:val="211" w:hRule="exact"/>
        </w:trPr>
        <w:tc>
          <w:tcPr>
            <w:tcW w:w="3983" w:type="dxa"/>
          </w:tcPr>
          <w:p>
            <w:pPr>
              <w:pStyle w:val="TableParagraph"/>
              <w:ind w:left="50"/>
              <w:jc w:val="left"/>
              <w:rPr>
                <w:sz w:val="18"/>
              </w:rPr>
            </w:pPr>
            <w:r>
              <w:rPr>
                <w:sz w:val="18"/>
              </w:rPr>
              <w:t>Operating expenses</w:t>
            </w:r>
          </w:p>
        </w:tc>
        <w:tc>
          <w:tcPr>
            <w:tcW w:w="4760" w:type="dxa"/>
            <w:gridSpan w:val="4"/>
          </w:tcPr>
          <w:p>
            <w:pPr>
              <w:pStyle w:val="TableParagraph"/>
              <w:tabs>
                <w:tab w:pos="1375" w:val="left" w:leader="none"/>
                <w:tab w:pos="2638" w:val="left" w:leader="none"/>
                <w:tab w:pos="3895" w:val="left" w:leader="none"/>
              </w:tabs>
              <w:ind w:left="118"/>
              <w:jc w:val="left"/>
              <w:rPr>
                <w:sz w:val="18"/>
              </w:rPr>
            </w:pPr>
            <w:r>
              <w:rPr>
                <w:sz w:val="18"/>
                <w:u w:val="single"/>
              </w:rPr>
              <w:t>3,292,585</w:t>
              <w:tab/>
              <w:t>3,055,335</w:t>
              <w:tab/>
              <w:t>2,559,220</w:t>
              <w:tab/>
              <w:t>2,275,224</w:t>
            </w:r>
          </w:p>
        </w:tc>
      </w:tr>
      <w:tr>
        <w:trPr>
          <w:trHeight w:val="211" w:hRule="exact"/>
        </w:trPr>
        <w:tc>
          <w:tcPr>
            <w:tcW w:w="3983" w:type="dxa"/>
          </w:tcPr>
          <w:p>
            <w:pPr>
              <w:pStyle w:val="TableParagraph"/>
              <w:ind w:left="50"/>
              <w:jc w:val="left"/>
              <w:rPr>
                <w:sz w:val="18"/>
              </w:rPr>
            </w:pPr>
            <w:r>
              <w:rPr>
                <w:sz w:val="18"/>
              </w:rPr>
              <w:t>Operating income</w:t>
            </w:r>
          </w:p>
        </w:tc>
        <w:tc>
          <w:tcPr>
            <w:tcW w:w="4760" w:type="dxa"/>
            <w:gridSpan w:val="4"/>
          </w:tcPr>
          <w:p>
            <w:pPr>
              <w:pStyle w:val="TableParagraph"/>
              <w:tabs>
                <w:tab w:pos="1529" w:val="left" w:leader="none"/>
                <w:tab w:pos="2791" w:val="left" w:leader="none"/>
                <w:tab w:pos="4049" w:val="left" w:leader="none"/>
              </w:tabs>
              <w:ind w:left="271"/>
              <w:jc w:val="left"/>
              <w:rPr>
                <w:sz w:val="18"/>
              </w:rPr>
            </w:pPr>
            <w:r>
              <w:rPr>
                <w:sz w:val="18"/>
              </w:rPr>
              <w:t>524,236</w:t>
              <w:tab/>
              <w:t>350,835</w:t>
              <w:tab/>
              <w:t>313,531</w:t>
              <w:tab/>
              <w:t>316,709</w:t>
            </w:r>
          </w:p>
        </w:tc>
      </w:tr>
      <w:tr>
        <w:trPr>
          <w:trHeight w:val="211" w:hRule="exact"/>
        </w:trPr>
        <w:tc>
          <w:tcPr>
            <w:tcW w:w="3983" w:type="dxa"/>
          </w:tcPr>
          <w:p>
            <w:pPr>
              <w:pStyle w:val="TableParagraph"/>
              <w:ind w:left="50"/>
              <w:jc w:val="left"/>
              <w:rPr>
                <w:sz w:val="18"/>
              </w:rPr>
            </w:pPr>
            <w:r>
              <w:rPr>
                <w:sz w:val="18"/>
              </w:rPr>
              <w:t>Other expenses (income), net</w:t>
            </w:r>
          </w:p>
        </w:tc>
        <w:tc>
          <w:tcPr>
            <w:tcW w:w="4760" w:type="dxa"/>
            <w:gridSpan w:val="4"/>
          </w:tcPr>
          <w:p>
            <w:pPr>
              <w:pStyle w:val="TableParagraph"/>
              <w:tabs>
                <w:tab w:pos="1730" w:val="left" w:leader="none"/>
                <w:tab w:pos="2993" w:val="left" w:leader="none"/>
                <w:tab w:pos="4150" w:val="left" w:leader="none"/>
              </w:tabs>
              <w:ind w:left="473"/>
              <w:jc w:val="left"/>
              <w:rPr>
                <w:sz w:val="18"/>
              </w:rPr>
            </w:pPr>
            <w:r>
              <w:rPr>
                <w:sz w:val="18"/>
                <w:u w:val="single"/>
              </w:rPr>
              <w:t>7,280</w:t>
              <w:tab/>
              <w:t>9,473</w:t>
              <w:tab/>
              <w:t>8,391</w:t>
              <w:tab/>
              <w:t>17,186</w:t>
            </w:r>
          </w:p>
        </w:tc>
      </w:tr>
      <w:tr>
        <w:trPr>
          <w:trHeight w:val="213" w:hRule="exact"/>
        </w:trPr>
        <w:tc>
          <w:tcPr>
            <w:tcW w:w="3983" w:type="dxa"/>
          </w:tcPr>
          <w:p>
            <w:pPr>
              <w:pStyle w:val="TableParagraph"/>
              <w:ind w:left="50"/>
              <w:jc w:val="left"/>
              <w:rPr>
                <w:sz w:val="18"/>
              </w:rPr>
            </w:pPr>
            <w:r>
              <w:rPr>
                <w:sz w:val="18"/>
              </w:rPr>
              <w:t>Income before income taxes</w:t>
            </w:r>
          </w:p>
        </w:tc>
        <w:tc>
          <w:tcPr>
            <w:tcW w:w="4760" w:type="dxa"/>
            <w:gridSpan w:val="4"/>
          </w:tcPr>
          <w:p>
            <w:pPr>
              <w:pStyle w:val="TableParagraph"/>
              <w:tabs>
                <w:tab w:pos="1529" w:val="left" w:leader="none"/>
                <w:tab w:pos="2791" w:val="left" w:leader="none"/>
                <w:tab w:pos="4049" w:val="left" w:leader="none"/>
              </w:tabs>
              <w:ind w:left="271"/>
              <w:jc w:val="left"/>
              <w:rPr>
                <w:sz w:val="18"/>
              </w:rPr>
            </w:pPr>
            <w:r>
              <w:rPr>
                <w:sz w:val="18"/>
              </w:rPr>
              <w:t>516,956</w:t>
              <w:tab/>
              <w:t>341,362</w:t>
              <w:tab/>
              <w:t>305,140</w:t>
              <w:tab/>
              <w:t>299,523</w:t>
            </w:r>
          </w:p>
        </w:tc>
      </w:tr>
      <w:tr>
        <w:trPr>
          <w:trHeight w:val="221" w:hRule="exact"/>
        </w:trPr>
        <w:tc>
          <w:tcPr>
            <w:tcW w:w="3983" w:type="dxa"/>
          </w:tcPr>
          <w:p>
            <w:pPr>
              <w:pStyle w:val="TableParagraph"/>
              <w:spacing w:before="4"/>
              <w:ind w:left="50"/>
              <w:jc w:val="left"/>
              <w:rPr>
                <w:sz w:val="12"/>
              </w:rPr>
            </w:pPr>
            <w:r>
              <w:rPr>
                <w:sz w:val="18"/>
              </w:rPr>
              <w:t>Provision for income taxes </w:t>
            </w:r>
            <w:r>
              <w:rPr>
                <w:position w:val="6"/>
                <w:sz w:val="12"/>
              </w:rPr>
              <w:t>(3)</w:t>
            </w:r>
          </w:p>
        </w:tc>
        <w:tc>
          <w:tcPr>
            <w:tcW w:w="4760" w:type="dxa"/>
            <w:gridSpan w:val="4"/>
          </w:tcPr>
          <w:p>
            <w:pPr>
              <w:pStyle w:val="TableParagraph"/>
              <w:tabs>
                <w:tab w:pos="1529" w:val="left" w:leader="none"/>
                <w:tab w:pos="2791" w:val="left" w:leader="none"/>
                <w:tab w:pos="4049" w:val="left" w:leader="none"/>
              </w:tabs>
              <w:spacing w:before="7"/>
              <w:ind w:left="271"/>
              <w:jc w:val="left"/>
              <w:rPr>
                <w:sz w:val="18"/>
              </w:rPr>
            </w:pPr>
            <w:r>
              <w:rPr>
                <w:sz w:val="18"/>
                <w:u w:val="single"/>
              </w:rPr>
              <w:t>199,184</w:t>
              <w:tab/>
              <w:t>134,025</w:t>
              <w:tab/>
              <w:t>122,514</w:t>
              <w:tab/>
              <w:t>120,192</w:t>
            </w:r>
          </w:p>
        </w:tc>
      </w:tr>
      <w:tr>
        <w:trPr>
          <w:trHeight w:val="215" w:hRule="exact"/>
        </w:trPr>
        <w:tc>
          <w:tcPr>
            <w:tcW w:w="3983" w:type="dxa"/>
          </w:tcPr>
          <w:p>
            <w:pPr>
              <w:pStyle w:val="TableParagraph"/>
              <w:spacing w:before="4"/>
              <w:ind w:left="232"/>
              <w:jc w:val="left"/>
              <w:rPr>
                <w:sz w:val="12"/>
              </w:rPr>
            </w:pPr>
            <w:r>
              <w:rPr>
                <w:sz w:val="18"/>
              </w:rPr>
              <w:t>Net income </w:t>
            </w:r>
            <w:r>
              <w:rPr>
                <w:position w:val="6"/>
                <w:sz w:val="12"/>
              </w:rPr>
              <w:t>(3)</w:t>
            </w:r>
          </w:p>
        </w:tc>
        <w:tc>
          <w:tcPr>
            <w:tcW w:w="4760" w:type="dxa"/>
            <w:gridSpan w:val="4"/>
          </w:tcPr>
          <w:p>
            <w:pPr>
              <w:pStyle w:val="TableParagraph"/>
              <w:tabs>
                <w:tab w:pos="1428" w:val="left" w:leader="none"/>
                <w:tab w:pos="2690" w:val="left" w:leader="none"/>
                <w:tab w:pos="3948" w:val="left" w:leader="none"/>
              </w:tabs>
              <w:spacing w:before="7"/>
              <w:ind w:left="170"/>
              <w:jc w:val="left"/>
              <w:rPr>
                <w:sz w:val="18"/>
              </w:rPr>
            </w:pPr>
            <w:r>
              <w:rPr>
                <w:sz w:val="18"/>
                <w:u w:val="thick"/>
              </w:rPr>
              <w:t>$317,772</w:t>
              <w:tab/>
              <w:t>$207,337</w:t>
              <w:tab/>
              <w:t>$182,626</w:t>
              <w:tab/>
              <w:t>$179,331</w:t>
            </w:r>
          </w:p>
        </w:tc>
      </w:tr>
      <w:tr>
        <w:trPr>
          <w:trHeight w:val="226" w:hRule="exact"/>
        </w:trPr>
        <w:tc>
          <w:tcPr>
            <w:tcW w:w="3983" w:type="dxa"/>
          </w:tcPr>
          <w:p>
            <w:pPr>
              <w:pStyle w:val="TableParagraph"/>
              <w:spacing w:line="209" w:lineRule="exact"/>
              <w:ind w:left="50"/>
              <w:jc w:val="left"/>
              <w:rPr>
                <w:sz w:val="12"/>
              </w:rPr>
            </w:pPr>
            <w:r>
              <w:rPr>
                <w:sz w:val="18"/>
              </w:rPr>
              <w:t>Net income per share, basic </w:t>
            </w:r>
            <w:r>
              <w:rPr>
                <w:position w:val="6"/>
                <w:sz w:val="12"/>
              </w:rPr>
              <w:t>(3)</w:t>
            </w:r>
          </w:p>
        </w:tc>
        <w:tc>
          <w:tcPr>
            <w:tcW w:w="1103" w:type="dxa"/>
          </w:tcPr>
          <w:p>
            <w:pPr>
              <w:pStyle w:val="TableParagraph"/>
              <w:spacing w:before="2"/>
              <w:ind w:right="171"/>
              <w:rPr>
                <w:sz w:val="18"/>
              </w:rPr>
            </w:pPr>
            <w:r>
              <w:rPr>
                <w:sz w:val="18"/>
              </w:rPr>
              <w:t>$1.45</w:t>
            </w:r>
          </w:p>
        </w:tc>
        <w:tc>
          <w:tcPr>
            <w:tcW w:w="1260" w:type="dxa"/>
          </w:tcPr>
          <w:p>
            <w:pPr>
              <w:pStyle w:val="TableParagraph"/>
              <w:spacing w:before="2"/>
              <w:ind w:right="174"/>
              <w:rPr>
                <w:sz w:val="18"/>
              </w:rPr>
            </w:pPr>
            <w:r>
              <w:rPr>
                <w:sz w:val="18"/>
              </w:rPr>
              <w:t>$.95</w:t>
            </w:r>
          </w:p>
        </w:tc>
        <w:tc>
          <w:tcPr>
            <w:tcW w:w="1188" w:type="dxa"/>
          </w:tcPr>
          <w:p>
            <w:pPr>
              <w:pStyle w:val="TableParagraph"/>
              <w:spacing w:before="2"/>
              <w:ind w:right="99"/>
              <w:rPr>
                <w:sz w:val="18"/>
              </w:rPr>
            </w:pPr>
            <w:r>
              <w:rPr>
                <w:sz w:val="18"/>
              </w:rPr>
              <w:t>$.85</w:t>
            </w:r>
          </w:p>
        </w:tc>
        <w:tc>
          <w:tcPr>
            <w:tcW w:w="1208" w:type="dxa"/>
          </w:tcPr>
          <w:p>
            <w:pPr>
              <w:pStyle w:val="TableParagraph"/>
              <w:spacing w:before="2"/>
              <w:ind w:right="50"/>
              <w:rPr>
                <w:sz w:val="18"/>
              </w:rPr>
            </w:pPr>
            <w:r>
              <w:rPr>
                <w:sz w:val="18"/>
              </w:rPr>
              <w:t>$.84</w:t>
            </w:r>
          </w:p>
        </w:tc>
      </w:tr>
      <w:tr>
        <w:trPr>
          <w:trHeight w:val="219" w:hRule="exact"/>
        </w:trPr>
        <w:tc>
          <w:tcPr>
            <w:tcW w:w="3983" w:type="dxa"/>
          </w:tcPr>
          <w:p>
            <w:pPr>
              <w:pStyle w:val="TableParagraph"/>
              <w:spacing w:before="4"/>
              <w:ind w:left="50"/>
              <w:jc w:val="left"/>
              <w:rPr>
                <w:sz w:val="12"/>
              </w:rPr>
            </w:pPr>
            <w:r>
              <w:rPr>
                <w:sz w:val="18"/>
              </w:rPr>
              <w:t>Net income per share, diluted </w:t>
            </w:r>
            <w:r>
              <w:rPr>
                <w:position w:val="6"/>
                <w:sz w:val="12"/>
              </w:rPr>
              <w:t>(3)</w:t>
            </w:r>
          </w:p>
        </w:tc>
        <w:tc>
          <w:tcPr>
            <w:tcW w:w="1103" w:type="dxa"/>
          </w:tcPr>
          <w:p>
            <w:pPr>
              <w:pStyle w:val="TableParagraph"/>
              <w:spacing w:before="7"/>
              <w:ind w:right="171"/>
              <w:rPr>
                <w:sz w:val="18"/>
              </w:rPr>
            </w:pPr>
            <w:r>
              <w:rPr>
                <w:sz w:val="18"/>
              </w:rPr>
              <w:t>$1.40</w:t>
            </w:r>
          </w:p>
        </w:tc>
        <w:tc>
          <w:tcPr>
            <w:tcW w:w="1260" w:type="dxa"/>
          </w:tcPr>
          <w:p>
            <w:pPr>
              <w:pStyle w:val="TableParagraph"/>
              <w:spacing w:before="7"/>
              <w:ind w:right="174"/>
              <w:rPr>
                <w:sz w:val="18"/>
              </w:rPr>
            </w:pPr>
            <w:r>
              <w:rPr>
                <w:sz w:val="18"/>
              </w:rPr>
              <w:t>$.92</w:t>
            </w:r>
          </w:p>
        </w:tc>
        <w:tc>
          <w:tcPr>
            <w:tcW w:w="1188" w:type="dxa"/>
          </w:tcPr>
          <w:p>
            <w:pPr>
              <w:pStyle w:val="TableParagraph"/>
              <w:spacing w:before="7"/>
              <w:ind w:right="100"/>
              <w:rPr>
                <w:sz w:val="18"/>
              </w:rPr>
            </w:pPr>
            <w:r>
              <w:rPr>
                <w:sz w:val="18"/>
              </w:rPr>
              <w:t>$.82</w:t>
            </w:r>
          </w:p>
        </w:tc>
        <w:tc>
          <w:tcPr>
            <w:tcW w:w="1208" w:type="dxa"/>
          </w:tcPr>
          <w:p>
            <w:pPr>
              <w:pStyle w:val="TableParagraph"/>
              <w:spacing w:before="7"/>
              <w:ind w:right="50"/>
              <w:rPr>
                <w:sz w:val="18"/>
              </w:rPr>
            </w:pPr>
            <w:r>
              <w:rPr>
                <w:sz w:val="18"/>
              </w:rPr>
              <w:t>$.82</w:t>
            </w:r>
          </w:p>
        </w:tc>
      </w:tr>
      <w:tr>
        <w:trPr>
          <w:trHeight w:val="211" w:hRule="exact"/>
        </w:trPr>
        <w:tc>
          <w:tcPr>
            <w:tcW w:w="3983" w:type="dxa"/>
          </w:tcPr>
          <w:p>
            <w:pPr>
              <w:pStyle w:val="TableParagraph"/>
              <w:ind w:left="50"/>
              <w:jc w:val="left"/>
              <w:rPr>
                <w:sz w:val="18"/>
              </w:rPr>
            </w:pPr>
            <w:r>
              <w:rPr>
                <w:sz w:val="18"/>
              </w:rPr>
              <w:t>Cash dividends per common share</w:t>
            </w:r>
          </w:p>
        </w:tc>
        <w:tc>
          <w:tcPr>
            <w:tcW w:w="1103" w:type="dxa"/>
          </w:tcPr>
          <w:p>
            <w:pPr>
              <w:pStyle w:val="TableParagraph"/>
              <w:ind w:right="171"/>
              <w:rPr>
                <w:sz w:val="18"/>
              </w:rPr>
            </w:pPr>
            <w:r>
              <w:rPr>
                <w:sz w:val="18"/>
              </w:rPr>
              <w:t>$.03310</w:t>
            </w:r>
          </w:p>
        </w:tc>
        <w:tc>
          <w:tcPr>
            <w:tcW w:w="1260" w:type="dxa"/>
          </w:tcPr>
          <w:p>
            <w:pPr>
              <w:pStyle w:val="TableParagraph"/>
              <w:ind w:right="174"/>
              <w:rPr>
                <w:sz w:val="18"/>
              </w:rPr>
            </w:pPr>
            <w:r>
              <w:rPr>
                <w:sz w:val="18"/>
              </w:rPr>
              <w:t>$.02932</w:t>
            </w:r>
          </w:p>
        </w:tc>
        <w:tc>
          <w:tcPr>
            <w:tcW w:w="1188" w:type="dxa"/>
          </w:tcPr>
          <w:p>
            <w:pPr>
              <w:pStyle w:val="TableParagraph"/>
              <w:ind w:right="99"/>
              <w:rPr>
                <w:sz w:val="18"/>
              </w:rPr>
            </w:pPr>
            <w:r>
              <w:rPr>
                <w:sz w:val="18"/>
              </w:rPr>
              <w:t>$.02667</w:t>
            </w:r>
          </w:p>
        </w:tc>
        <w:tc>
          <w:tcPr>
            <w:tcW w:w="1208" w:type="dxa"/>
          </w:tcPr>
          <w:p>
            <w:pPr>
              <w:pStyle w:val="TableParagraph"/>
              <w:ind w:right="50"/>
              <w:rPr>
                <w:sz w:val="18"/>
              </w:rPr>
            </w:pPr>
            <w:r>
              <w:rPr>
                <w:sz w:val="18"/>
              </w:rPr>
              <w:t>$.02667</w:t>
            </w:r>
          </w:p>
        </w:tc>
      </w:tr>
      <w:tr>
        <w:trPr>
          <w:trHeight w:val="211" w:hRule="exact"/>
        </w:trPr>
        <w:tc>
          <w:tcPr>
            <w:tcW w:w="3983" w:type="dxa"/>
          </w:tcPr>
          <w:p>
            <w:pPr>
              <w:pStyle w:val="TableParagraph"/>
              <w:ind w:left="50"/>
              <w:jc w:val="left"/>
              <w:rPr>
                <w:sz w:val="18"/>
              </w:rPr>
            </w:pPr>
            <w:r>
              <w:rPr>
                <w:sz w:val="18"/>
              </w:rPr>
              <w:t>Total assets</w:t>
            </w:r>
          </w:p>
        </w:tc>
        <w:tc>
          <w:tcPr>
            <w:tcW w:w="1103" w:type="dxa"/>
          </w:tcPr>
          <w:p>
            <w:pPr>
              <w:pStyle w:val="TableParagraph"/>
              <w:ind w:right="171"/>
              <w:rPr>
                <w:sz w:val="18"/>
              </w:rPr>
            </w:pPr>
            <w:r>
              <w:rPr>
                <w:sz w:val="18"/>
              </w:rPr>
              <w:t>$4,246,160</w:t>
            </w:r>
          </w:p>
        </w:tc>
        <w:tc>
          <w:tcPr>
            <w:tcW w:w="1260" w:type="dxa"/>
          </w:tcPr>
          <w:p>
            <w:pPr>
              <w:pStyle w:val="TableParagraph"/>
              <w:ind w:right="173"/>
              <w:rPr>
                <w:sz w:val="18"/>
              </w:rPr>
            </w:pPr>
            <w:r>
              <w:rPr>
                <w:sz w:val="18"/>
              </w:rPr>
              <w:t>$3,723,479</w:t>
            </w:r>
          </w:p>
        </w:tc>
        <w:tc>
          <w:tcPr>
            <w:tcW w:w="1188" w:type="dxa"/>
          </w:tcPr>
          <w:p>
            <w:pPr>
              <w:pStyle w:val="TableParagraph"/>
              <w:ind w:right="99"/>
              <w:rPr>
                <w:sz w:val="18"/>
              </w:rPr>
            </w:pPr>
            <w:r>
              <w:rPr>
                <w:sz w:val="18"/>
              </w:rPr>
              <w:t>$3,256,122</w:t>
            </w:r>
          </w:p>
        </w:tc>
        <w:tc>
          <w:tcPr>
            <w:tcW w:w="1208" w:type="dxa"/>
          </w:tcPr>
          <w:p>
            <w:pPr>
              <w:pStyle w:val="TableParagraph"/>
              <w:ind w:right="50"/>
              <w:rPr>
                <w:sz w:val="18"/>
              </w:rPr>
            </w:pPr>
            <w:r>
              <w:rPr>
                <w:sz w:val="18"/>
              </w:rPr>
              <w:t>$2,823,071</w:t>
            </w:r>
          </w:p>
        </w:tc>
      </w:tr>
      <w:tr>
        <w:trPr>
          <w:trHeight w:val="211" w:hRule="exact"/>
        </w:trPr>
        <w:tc>
          <w:tcPr>
            <w:tcW w:w="3983" w:type="dxa"/>
          </w:tcPr>
          <w:p>
            <w:pPr>
              <w:pStyle w:val="TableParagraph"/>
              <w:ind w:left="50"/>
              <w:jc w:val="left"/>
              <w:rPr>
                <w:sz w:val="18"/>
              </w:rPr>
            </w:pPr>
            <w:r>
              <w:rPr>
                <w:sz w:val="18"/>
              </w:rPr>
              <w:t>Long-term debt</w:t>
            </w:r>
          </w:p>
        </w:tc>
        <w:tc>
          <w:tcPr>
            <w:tcW w:w="1103" w:type="dxa"/>
          </w:tcPr>
          <w:p>
            <w:pPr>
              <w:pStyle w:val="TableParagraph"/>
              <w:ind w:right="171"/>
              <w:rPr>
                <w:sz w:val="18"/>
              </w:rPr>
            </w:pPr>
            <w:r>
              <w:rPr>
                <w:sz w:val="18"/>
              </w:rPr>
              <w:t>$628,106</w:t>
            </w:r>
          </w:p>
        </w:tc>
        <w:tc>
          <w:tcPr>
            <w:tcW w:w="1260" w:type="dxa"/>
          </w:tcPr>
          <w:p>
            <w:pPr>
              <w:pStyle w:val="TableParagraph"/>
              <w:ind w:right="174"/>
              <w:rPr>
                <w:sz w:val="18"/>
              </w:rPr>
            </w:pPr>
            <w:r>
              <w:rPr>
                <w:sz w:val="18"/>
              </w:rPr>
              <w:t>$650,226</w:t>
            </w:r>
          </w:p>
        </w:tc>
        <w:tc>
          <w:tcPr>
            <w:tcW w:w="1188" w:type="dxa"/>
          </w:tcPr>
          <w:p>
            <w:pPr>
              <w:pStyle w:val="TableParagraph"/>
              <w:ind w:right="99"/>
              <w:rPr>
                <w:sz w:val="18"/>
              </w:rPr>
            </w:pPr>
            <w:r>
              <w:rPr>
                <w:sz w:val="18"/>
              </w:rPr>
              <w:t>$661,010</w:t>
            </w:r>
          </w:p>
        </w:tc>
        <w:tc>
          <w:tcPr>
            <w:tcW w:w="1208" w:type="dxa"/>
          </w:tcPr>
          <w:p>
            <w:pPr>
              <w:pStyle w:val="TableParagraph"/>
              <w:ind w:right="50"/>
              <w:rPr>
                <w:sz w:val="18"/>
              </w:rPr>
            </w:pPr>
            <w:r>
              <w:rPr>
                <w:sz w:val="18"/>
              </w:rPr>
              <w:t>$583,071</w:t>
            </w:r>
          </w:p>
        </w:tc>
      </w:tr>
      <w:tr>
        <w:trPr>
          <w:trHeight w:val="320" w:hRule="exact"/>
        </w:trPr>
        <w:tc>
          <w:tcPr>
            <w:tcW w:w="3983" w:type="dxa"/>
          </w:tcPr>
          <w:p>
            <w:pPr>
              <w:pStyle w:val="TableParagraph"/>
              <w:ind w:left="50"/>
              <w:jc w:val="left"/>
              <w:rPr>
                <w:sz w:val="18"/>
              </w:rPr>
            </w:pPr>
            <w:r>
              <w:rPr>
                <w:sz w:val="18"/>
              </w:rPr>
              <w:t>Stockholders’ equity</w:t>
            </w:r>
          </w:p>
        </w:tc>
        <w:tc>
          <w:tcPr>
            <w:tcW w:w="1103" w:type="dxa"/>
          </w:tcPr>
          <w:p>
            <w:pPr>
              <w:pStyle w:val="TableParagraph"/>
              <w:ind w:right="171"/>
              <w:rPr>
                <w:sz w:val="18"/>
              </w:rPr>
            </w:pPr>
            <w:r>
              <w:rPr>
                <w:sz w:val="18"/>
              </w:rPr>
              <w:t>$2,009,018</w:t>
            </w:r>
          </w:p>
        </w:tc>
        <w:tc>
          <w:tcPr>
            <w:tcW w:w="1260" w:type="dxa"/>
          </w:tcPr>
          <w:p>
            <w:pPr>
              <w:pStyle w:val="TableParagraph"/>
              <w:ind w:right="173"/>
              <w:rPr>
                <w:sz w:val="18"/>
              </w:rPr>
            </w:pPr>
            <w:r>
              <w:rPr>
                <w:sz w:val="18"/>
              </w:rPr>
              <w:t>$1,648,312</w:t>
            </w:r>
          </w:p>
        </w:tc>
        <w:tc>
          <w:tcPr>
            <w:tcW w:w="1188" w:type="dxa"/>
          </w:tcPr>
          <w:p>
            <w:pPr>
              <w:pStyle w:val="TableParagraph"/>
              <w:ind w:right="99"/>
              <w:rPr>
                <w:sz w:val="18"/>
              </w:rPr>
            </w:pPr>
            <w:r>
              <w:rPr>
                <w:sz w:val="18"/>
              </w:rPr>
              <w:t>$1,427,318</w:t>
            </w:r>
          </w:p>
        </w:tc>
        <w:tc>
          <w:tcPr>
            <w:tcW w:w="1208" w:type="dxa"/>
          </w:tcPr>
          <w:p>
            <w:pPr>
              <w:pStyle w:val="TableParagraph"/>
              <w:ind w:right="50"/>
              <w:rPr>
                <w:sz w:val="18"/>
              </w:rPr>
            </w:pPr>
            <w:r>
              <w:rPr>
                <w:sz w:val="18"/>
              </w:rPr>
              <w:t>$1,238,706</w:t>
            </w:r>
          </w:p>
        </w:tc>
      </w:tr>
      <w:tr>
        <w:trPr>
          <w:trHeight w:val="554" w:hRule="exact"/>
        </w:trPr>
        <w:tc>
          <w:tcPr>
            <w:tcW w:w="3983" w:type="dxa"/>
          </w:tcPr>
          <w:p>
            <w:pPr>
              <w:pStyle w:val="TableParagraph"/>
              <w:spacing w:before="109"/>
              <w:ind w:left="50"/>
              <w:jc w:val="left"/>
              <w:rPr>
                <w:b/>
                <w:sz w:val="14"/>
              </w:rPr>
            </w:pPr>
            <w:r>
              <w:rPr>
                <w:b/>
                <w:color w:val="008080"/>
                <w:sz w:val="18"/>
              </w:rPr>
              <w:t>CONSOLIDATED FINANCIAL RATIOS </w:t>
            </w:r>
            <w:r>
              <w:rPr>
                <w:b/>
                <w:color w:val="008080"/>
                <w:position w:val="6"/>
                <w:sz w:val="14"/>
              </w:rPr>
              <w:t>(1)</w:t>
            </w:r>
          </w:p>
          <w:p>
            <w:pPr>
              <w:pStyle w:val="TableParagraph"/>
              <w:spacing w:before="4"/>
              <w:ind w:left="50"/>
              <w:jc w:val="left"/>
              <w:rPr>
                <w:sz w:val="18"/>
              </w:rPr>
            </w:pPr>
            <w:r>
              <w:rPr>
                <w:sz w:val="18"/>
              </w:rPr>
              <w:t>Return on average total assets</w:t>
            </w:r>
          </w:p>
        </w:tc>
        <w:tc>
          <w:tcPr>
            <w:tcW w:w="1103" w:type="dxa"/>
          </w:tcPr>
          <w:p>
            <w:pPr>
              <w:pStyle w:val="TableParagraph"/>
              <w:spacing w:before="9"/>
              <w:jc w:val="left"/>
              <w:rPr>
                <w:b/>
                <w:sz w:val="29"/>
              </w:rPr>
            </w:pPr>
          </w:p>
          <w:p>
            <w:pPr>
              <w:pStyle w:val="TableParagraph"/>
              <w:ind w:right="169"/>
              <w:rPr>
                <w:sz w:val="18"/>
              </w:rPr>
            </w:pPr>
            <w:r>
              <w:rPr>
                <w:sz w:val="18"/>
              </w:rPr>
              <w:t>8.0%</w:t>
            </w:r>
          </w:p>
        </w:tc>
        <w:tc>
          <w:tcPr>
            <w:tcW w:w="1260" w:type="dxa"/>
          </w:tcPr>
          <w:p>
            <w:pPr>
              <w:pStyle w:val="TableParagraph"/>
              <w:spacing w:before="9"/>
              <w:jc w:val="left"/>
              <w:rPr>
                <w:b/>
                <w:sz w:val="29"/>
              </w:rPr>
            </w:pPr>
          </w:p>
          <w:p>
            <w:pPr>
              <w:pStyle w:val="TableParagraph"/>
              <w:ind w:right="171"/>
              <w:rPr>
                <w:sz w:val="18"/>
              </w:rPr>
            </w:pPr>
            <w:r>
              <w:rPr>
                <w:sz w:val="18"/>
              </w:rPr>
              <w:t>5.9%</w:t>
            </w:r>
          </w:p>
        </w:tc>
        <w:tc>
          <w:tcPr>
            <w:tcW w:w="1188" w:type="dxa"/>
          </w:tcPr>
          <w:p>
            <w:pPr>
              <w:pStyle w:val="TableParagraph"/>
              <w:spacing w:before="9"/>
              <w:jc w:val="left"/>
              <w:rPr>
                <w:b/>
                <w:sz w:val="29"/>
              </w:rPr>
            </w:pPr>
          </w:p>
          <w:p>
            <w:pPr>
              <w:pStyle w:val="TableParagraph"/>
              <w:ind w:right="97"/>
              <w:rPr>
                <w:sz w:val="18"/>
              </w:rPr>
            </w:pPr>
            <w:r>
              <w:rPr>
                <w:sz w:val="18"/>
              </w:rPr>
              <w:t>6.0%</w:t>
            </w:r>
          </w:p>
        </w:tc>
        <w:tc>
          <w:tcPr>
            <w:tcW w:w="1208" w:type="dxa"/>
          </w:tcPr>
          <w:p>
            <w:pPr>
              <w:pStyle w:val="TableParagraph"/>
              <w:spacing w:before="9"/>
              <w:jc w:val="left"/>
              <w:rPr>
                <w:b/>
                <w:sz w:val="29"/>
              </w:rPr>
            </w:pPr>
          </w:p>
          <w:p>
            <w:pPr>
              <w:pStyle w:val="TableParagraph"/>
              <w:ind w:right="48"/>
              <w:rPr>
                <w:sz w:val="18"/>
              </w:rPr>
            </w:pPr>
            <w:r>
              <w:rPr>
                <w:sz w:val="18"/>
              </w:rPr>
              <w:t>6.6%</w:t>
            </w:r>
          </w:p>
        </w:tc>
      </w:tr>
      <w:tr>
        <w:trPr>
          <w:trHeight w:val="320" w:hRule="exact"/>
        </w:trPr>
        <w:tc>
          <w:tcPr>
            <w:tcW w:w="3983" w:type="dxa"/>
          </w:tcPr>
          <w:p>
            <w:pPr>
              <w:pStyle w:val="TableParagraph"/>
              <w:ind w:left="50"/>
              <w:jc w:val="left"/>
              <w:rPr>
                <w:sz w:val="18"/>
              </w:rPr>
            </w:pPr>
            <w:r>
              <w:rPr>
                <w:sz w:val="18"/>
              </w:rPr>
              <w:t>Return on average stockholders’ equity</w:t>
            </w:r>
          </w:p>
        </w:tc>
        <w:tc>
          <w:tcPr>
            <w:tcW w:w="1103" w:type="dxa"/>
          </w:tcPr>
          <w:p>
            <w:pPr>
              <w:pStyle w:val="TableParagraph"/>
              <w:ind w:right="169"/>
              <w:rPr>
                <w:sz w:val="18"/>
              </w:rPr>
            </w:pPr>
            <w:r>
              <w:rPr>
                <w:sz w:val="18"/>
              </w:rPr>
              <w:t>17.4%</w:t>
            </w:r>
          </w:p>
        </w:tc>
        <w:tc>
          <w:tcPr>
            <w:tcW w:w="1260" w:type="dxa"/>
          </w:tcPr>
          <w:p>
            <w:pPr>
              <w:pStyle w:val="TableParagraph"/>
              <w:ind w:right="171"/>
              <w:rPr>
                <w:sz w:val="18"/>
              </w:rPr>
            </w:pPr>
            <w:r>
              <w:rPr>
                <w:sz w:val="18"/>
              </w:rPr>
              <w:t>13.5%</w:t>
            </w:r>
          </w:p>
        </w:tc>
        <w:tc>
          <w:tcPr>
            <w:tcW w:w="1188" w:type="dxa"/>
          </w:tcPr>
          <w:p>
            <w:pPr>
              <w:pStyle w:val="TableParagraph"/>
              <w:ind w:right="97"/>
              <w:rPr>
                <w:sz w:val="18"/>
              </w:rPr>
            </w:pPr>
            <w:r>
              <w:rPr>
                <w:sz w:val="18"/>
              </w:rPr>
              <w:t>13.7%</w:t>
            </w:r>
          </w:p>
        </w:tc>
        <w:tc>
          <w:tcPr>
            <w:tcW w:w="1208" w:type="dxa"/>
          </w:tcPr>
          <w:p>
            <w:pPr>
              <w:pStyle w:val="TableParagraph"/>
              <w:ind w:right="48"/>
              <w:rPr>
                <w:sz w:val="18"/>
              </w:rPr>
            </w:pPr>
            <w:r>
              <w:rPr>
                <w:sz w:val="18"/>
              </w:rPr>
              <w:t>15.6%</w:t>
            </w:r>
          </w:p>
        </w:tc>
      </w:tr>
      <w:tr>
        <w:trPr>
          <w:trHeight w:val="564" w:hRule="exact"/>
        </w:trPr>
        <w:tc>
          <w:tcPr>
            <w:tcW w:w="3983" w:type="dxa"/>
          </w:tcPr>
          <w:p>
            <w:pPr>
              <w:pStyle w:val="TableParagraph"/>
              <w:spacing w:before="109"/>
              <w:ind w:left="50"/>
              <w:jc w:val="left"/>
              <w:rPr>
                <w:b/>
                <w:sz w:val="14"/>
              </w:rPr>
            </w:pPr>
            <w:r>
              <w:rPr>
                <w:b/>
                <w:color w:val="008080"/>
                <w:sz w:val="18"/>
              </w:rPr>
              <w:t>CONSOLIDATED OPERATING STATISTICS </w:t>
            </w:r>
            <w:r>
              <w:rPr>
                <w:b/>
                <w:color w:val="008080"/>
                <w:position w:val="6"/>
                <w:sz w:val="14"/>
              </w:rPr>
              <w:t>(2)</w:t>
            </w:r>
          </w:p>
          <w:p>
            <w:pPr>
              <w:pStyle w:val="TableParagraph"/>
              <w:spacing w:before="13"/>
              <w:ind w:left="50"/>
              <w:jc w:val="left"/>
              <w:rPr>
                <w:sz w:val="18"/>
              </w:rPr>
            </w:pPr>
            <w:r>
              <w:rPr>
                <w:sz w:val="18"/>
              </w:rPr>
              <w:t>Revenue passengers carried</w:t>
            </w:r>
          </w:p>
        </w:tc>
        <w:tc>
          <w:tcPr>
            <w:tcW w:w="1103" w:type="dxa"/>
          </w:tcPr>
          <w:p>
            <w:pPr>
              <w:pStyle w:val="TableParagraph"/>
              <w:jc w:val="left"/>
              <w:rPr>
                <w:b/>
                <w:sz w:val="20"/>
              </w:rPr>
            </w:pPr>
          </w:p>
          <w:p>
            <w:pPr>
              <w:pStyle w:val="TableParagraph"/>
              <w:spacing w:before="122"/>
              <w:ind w:right="171"/>
              <w:rPr>
                <w:sz w:val="18"/>
              </w:rPr>
            </w:pPr>
            <w:r>
              <w:rPr>
                <w:sz w:val="18"/>
              </w:rPr>
              <w:t>50,399,960</w:t>
            </w:r>
          </w:p>
        </w:tc>
        <w:tc>
          <w:tcPr>
            <w:tcW w:w="1260" w:type="dxa"/>
          </w:tcPr>
          <w:p>
            <w:pPr>
              <w:pStyle w:val="TableParagraph"/>
              <w:jc w:val="left"/>
              <w:rPr>
                <w:b/>
                <w:sz w:val="20"/>
              </w:rPr>
            </w:pPr>
          </w:p>
          <w:p>
            <w:pPr>
              <w:pStyle w:val="TableParagraph"/>
              <w:spacing w:before="122"/>
              <w:ind w:right="173"/>
              <w:rPr>
                <w:sz w:val="18"/>
              </w:rPr>
            </w:pPr>
            <w:r>
              <w:rPr>
                <w:sz w:val="18"/>
              </w:rPr>
              <w:t>49,621,504</w:t>
            </w:r>
          </w:p>
        </w:tc>
        <w:tc>
          <w:tcPr>
            <w:tcW w:w="1188" w:type="dxa"/>
          </w:tcPr>
          <w:p>
            <w:pPr>
              <w:pStyle w:val="TableParagraph"/>
              <w:jc w:val="left"/>
              <w:rPr>
                <w:b/>
                <w:sz w:val="20"/>
              </w:rPr>
            </w:pPr>
          </w:p>
          <w:p>
            <w:pPr>
              <w:pStyle w:val="TableParagraph"/>
              <w:spacing w:before="122"/>
              <w:ind w:right="99"/>
              <w:rPr>
                <w:sz w:val="18"/>
              </w:rPr>
            </w:pPr>
            <w:r>
              <w:rPr>
                <w:sz w:val="18"/>
              </w:rPr>
              <w:t>44,785,573</w:t>
            </w:r>
          </w:p>
        </w:tc>
        <w:tc>
          <w:tcPr>
            <w:tcW w:w="1208" w:type="dxa"/>
          </w:tcPr>
          <w:p>
            <w:pPr>
              <w:pStyle w:val="TableParagraph"/>
              <w:jc w:val="left"/>
              <w:rPr>
                <w:b/>
                <w:sz w:val="20"/>
              </w:rPr>
            </w:pPr>
          </w:p>
          <w:p>
            <w:pPr>
              <w:pStyle w:val="TableParagraph"/>
              <w:spacing w:before="118"/>
              <w:ind w:right="50"/>
              <w:rPr>
                <w:sz w:val="12"/>
              </w:rPr>
            </w:pPr>
            <w:r>
              <w:rPr>
                <w:sz w:val="18"/>
              </w:rPr>
              <w:t>42,742,602</w:t>
            </w:r>
            <w:r>
              <w:rPr>
                <w:position w:val="6"/>
                <w:sz w:val="12"/>
              </w:rPr>
              <w:t>(9)</w:t>
            </w:r>
          </w:p>
        </w:tc>
      </w:tr>
      <w:tr>
        <w:trPr>
          <w:trHeight w:val="211" w:hRule="exact"/>
        </w:trPr>
        <w:tc>
          <w:tcPr>
            <w:tcW w:w="3983" w:type="dxa"/>
          </w:tcPr>
          <w:p>
            <w:pPr>
              <w:pStyle w:val="TableParagraph"/>
              <w:ind w:left="50"/>
              <w:jc w:val="left"/>
              <w:rPr>
                <w:sz w:val="18"/>
              </w:rPr>
            </w:pPr>
            <w:r>
              <w:rPr>
                <w:sz w:val="18"/>
              </w:rPr>
              <w:t>RPMs (000s)</w:t>
            </w:r>
          </w:p>
        </w:tc>
        <w:tc>
          <w:tcPr>
            <w:tcW w:w="1103" w:type="dxa"/>
          </w:tcPr>
          <w:p>
            <w:pPr>
              <w:pStyle w:val="TableParagraph"/>
              <w:ind w:right="171"/>
              <w:rPr>
                <w:sz w:val="18"/>
              </w:rPr>
            </w:pPr>
            <w:r>
              <w:rPr>
                <w:sz w:val="18"/>
              </w:rPr>
              <w:t>28,355,169</w:t>
            </w:r>
          </w:p>
        </w:tc>
        <w:tc>
          <w:tcPr>
            <w:tcW w:w="1260" w:type="dxa"/>
          </w:tcPr>
          <w:p>
            <w:pPr>
              <w:pStyle w:val="TableParagraph"/>
              <w:ind w:right="173"/>
              <w:rPr>
                <w:sz w:val="18"/>
              </w:rPr>
            </w:pPr>
            <w:r>
              <w:rPr>
                <w:sz w:val="18"/>
              </w:rPr>
              <w:t>27,083,483</w:t>
            </w:r>
          </w:p>
        </w:tc>
        <w:tc>
          <w:tcPr>
            <w:tcW w:w="1188" w:type="dxa"/>
          </w:tcPr>
          <w:p>
            <w:pPr>
              <w:pStyle w:val="TableParagraph"/>
              <w:ind w:right="99"/>
              <w:rPr>
                <w:sz w:val="18"/>
              </w:rPr>
            </w:pPr>
            <w:r>
              <w:rPr>
                <w:sz w:val="18"/>
              </w:rPr>
              <w:t>23,327,804</w:t>
            </w:r>
          </w:p>
        </w:tc>
        <w:tc>
          <w:tcPr>
            <w:tcW w:w="1208" w:type="dxa"/>
          </w:tcPr>
          <w:p>
            <w:pPr>
              <w:pStyle w:val="TableParagraph"/>
              <w:ind w:right="50"/>
              <w:rPr>
                <w:sz w:val="18"/>
              </w:rPr>
            </w:pPr>
            <w:r>
              <w:rPr>
                <w:sz w:val="18"/>
              </w:rPr>
              <w:t>21,611,266</w:t>
            </w:r>
          </w:p>
        </w:tc>
      </w:tr>
      <w:tr>
        <w:trPr>
          <w:trHeight w:val="211" w:hRule="exact"/>
        </w:trPr>
        <w:tc>
          <w:tcPr>
            <w:tcW w:w="3983" w:type="dxa"/>
          </w:tcPr>
          <w:p>
            <w:pPr>
              <w:pStyle w:val="TableParagraph"/>
              <w:ind w:left="50"/>
              <w:jc w:val="left"/>
              <w:rPr>
                <w:sz w:val="18"/>
              </w:rPr>
            </w:pPr>
            <w:r>
              <w:rPr>
                <w:sz w:val="18"/>
              </w:rPr>
              <w:t>ASMs (000s)</w:t>
            </w:r>
          </w:p>
        </w:tc>
        <w:tc>
          <w:tcPr>
            <w:tcW w:w="1103" w:type="dxa"/>
          </w:tcPr>
          <w:p>
            <w:pPr>
              <w:pStyle w:val="TableParagraph"/>
              <w:ind w:right="171"/>
              <w:rPr>
                <w:sz w:val="18"/>
              </w:rPr>
            </w:pPr>
            <w:r>
              <w:rPr>
                <w:sz w:val="18"/>
              </w:rPr>
              <w:t>44,487,496</w:t>
            </w:r>
          </w:p>
        </w:tc>
        <w:tc>
          <w:tcPr>
            <w:tcW w:w="1260" w:type="dxa"/>
          </w:tcPr>
          <w:p>
            <w:pPr>
              <w:pStyle w:val="TableParagraph"/>
              <w:ind w:right="173"/>
              <w:rPr>
                <w:sz w:val="18"/>
              </w:rPr>
            </w:pPr>
            <w:r>
              <w:rPr>
                <w:sz w:val="18"/>
              </w:rPr>
              <w:t>40,727,495</w:t>
            </w:r>
          </w:p>
        </w:tc>
        <w:tc>
          <w:tcPr>
            <w:tcW w:w="1188" w:type="dxa"/>
          </w:tcPr>
          <w:p>
            <w:pPr>
              <w:pStyle w:val="TableParagraph"/>
              <w:ind w:right="99"/>
              <w:rPr>
                <w:sz w:val="18"/>
              </w:rPr>
            </w:pPr>
            <w:r>
              <w:rPr>
                <w:sz w:val="18"/>
              </w:rPr>
              <w:t>36,180,001</w:t>
            </w:r>
          </w:p>
        </w:tc>
        <w:tc>
          <w:tcPr>
            <w:tcW w:w="1208" w:type="dxa"/>
          </w:tcPr>
          <w:p>
            <w:pPr>
              <w:pStyle w:val="TableParagraph"/>
              <w:ind w:right="50"/>
              <w:rPr>
                <w:sz w:val="18"/>
              </w:rPr>
            </w:pPr>
            <w:r>
              <w:rPr>
                <w:sz w:val="18"/>
              </w:rPr>
              <w:t>32,123,974</w:t>
            </w:r>
          </w:p>
        </w:tc>
      </w:tr>
      <w:tr>
        <w:trPr>
          <w:trHeight w:val="211" w:hRule="exact"/>
        </w:trPr>
        <w:tc>
          <w:tcPr>
            <w:tcW w:w="3983" w:type="dxa"/>
          </w:tcPr>
          <w:p>
            <w:pPr>
              <w:pStyle w:val="TableParagraph"/>
              <w:ind w:left="50"/>
              <w:jc w:val="left"/>
              <w:rPr>
                <w:sz w:val="18"/>
              </w:rPr>
            </w:pPr>
            <w:r>
              <w:rPr>
                <w:sz w:val="18"/>
              </w:rPr>
              <w:t>Load factor</w:t>
            </w:r>
          </w:p>
        </w:tc>
        <w:tc>
          <w:tcPr>
            <w:tcW w:w="1103" w:type="dxa"/>
          </w:tcPr>
          <w:p>
            <w:pPr>
              <w:pStyle w:val="TableParagraph"/>
              <w:ind w:right="169"/>
              <w:rPr>
                <w:sz w:val="18"/>
              </w:rPr>
            </w:pPr>
            <w:r>
              <w:rPr>
                <w:sz w:val="18"/>
              </w:rPr>
              <w:t>63.7%</w:t>
            </w:r>
          </w:p>
        </w:tc>
        <w:tc>
          <w:tcPr>
            <w:tcW w:w="1260" w:type="dxa"/>
          </w:tcPr>
          <w:p>
            <w:pPr>
              <w:pStyle w:val="TableParagraph"/>
              <w:ind w:right="171"/>
              <w:rPr>
                <w:sz w:val="18"/>
              </w:rPr>
            </w:pPr>
            <w:r>
              <w:rPr>
                <w:sz w:val="18"/>
              </w:rPr>
              <w:t>66.5%</w:t>
            </w:r>
          </w:p>
        </w:tc>
        <w:tc>
          <w:tcPr>
            <w:tcW w:w="1188" w:type="dxa"/>
          </w:tcPr>
          <w:p>
            <w:pPr>
              <w:pStyle w:val="TableParagraph"/>
              <w:ind w:right="97"/>
              <w:rPr>
                <w:sz w:val="18"/>
              </w:rPr>
            </w:pPr>
            <w:r>
              <w:rPr>
                <w:sz w:val="18"/>
              </w:rPr>
              <w:t>64.5%</w:t>
            </w:r>
          </w:p>
        </w:tc>
        <w:tc>
          <w:tcPr>
            <w:tcW w:w="1208" w:type="dxa"/>
          </w:tcPr>
          <w:p>
            <w:pPr>
              <w:pStyle w:val="TableParagraph"/>
              <w:ind w:right="48"/>
              <w:rPr>
                <w:sz w:val="18"/>
              </w:rPr>
            </w:pPr>
            <w:r>
              <w:rPr>
                <w:sz w:val="18"/>
              </w:rPr>
              <w:t>67.3%</w:t>
            </w:r>
          </w:p>
        </w:tc>
      </w:tr>
      <w:tr>
        <w:trPr>
          <w:trHeight w:val="211" w:hRule="exact"/>
        </w:trPr>
        <w:tc>
          <w:tcPr>
            <w:tcW w:w="3983" w:type="dxa"/>
          </w:tcPr>
          <w:p>
            <w:pPr>
              <w:pStyle w:val="TableParagraph"/>
              <w:ind w:left="50"/>
              <w:jc w:val="left"/>
              <w:rPr>
                <w:sz w:val="18"/>
              </w:rPr>
            </w:pPr>
            <w:r>
              <w:rPr>
                <w:sz w:val="18"/>
              </w:rPr>
              <w:t>Average  length of passenger haul</w:t>
            </w:r>
          </w:p>
        </w:tc>
        <w:tc>
          <w:tcPr>
            <w:tcW w:w="1103" w:type="dxa"/>
          </w:tcPr>
          <w:p>
            <w:pPr>
              <w:pStyle w:val="TableParagraph"/>
              <w:ind w:right="172"/>
              <w:rPr>
                <w:sz w:val="18"/>
              </w:rPr>
            </w:pPr>
            <w:r>
              <w:rPr>
                <w:sz w:val="18"/>
              </w:rPr>
              <w:t>563</w:t>
            </w:r>
          </w:p>
        </w:tc>
        <w:tc>
          <w:tcPr>
            <w:tcW w:w="1260" w:type="dxa"/>
          </w:tcPr>
          <w:p>
            <w:pPr>
              <w:pStyle w:val="TableParagraph"/>
              <w:ind w:right="174"/>
              <w:rPr>
                <w:sz w:val="18"/>
              </w:rPr>
            </w:pPr>
            <w:r>
              <w:rPr>
                <w:sz w:val="18"/>
              </w:rPr>
              <w:t>546</w:t>
            </w:r>
          </w:p>
        </w:tc>
        <w:tc>
          <w:tcPr>
            <w:tcW w:w="1188" w:type="dxa"/>
          </w:tcPr>
          <w:p>
            <w:pPr>
              <w:pStyle w:val="TableParagraph"/>
              <w:ind w:right="100"/>
              <w:rPr>
                <w:sz w:val="18"/>
              </w:rPr>
            </w:pPr>
            <w:r>
              <w:rPr>
                <w:sz w:val="18"/>
              </w:rPr>
              <w:t>521</w:t>
            </w:r>
          </w:p>
        </w:tc>
        <w:tc>
          <w:tcPr>
            <w:tcW w:w="1208" w:type="dxa"/>
          </w:tcPr>
          <w:p>
            <w:pPr>
              <w:pStyle w:val="TableParagraph"/>
              <w:ind w:right="50"/>
              <w:rPr>
                <w:sz w:val="18"/>
              </w:rPr>
            </w:pPr>
            <w:r>
              <w:rPr>
                <w:sz w:val="18"/>
              </w:rPr>
              <w:t>506</w:t>
            </w:r>
          </w:p>
        </w:tc>
      </w:tr>
      <w:tr>
        <w:trPr>
          <w:trHeight w:val="211" w:hRule="exact"/>
        </w:trPr>
        <w:tc>
          <w:tcPr>
            <w:tcW w:w="3983" w:type="dxa"/>
          </w:tcPr>
          <w:p>
            <w:pPr>
              <w:pStyle w:val="TableParagraph"/>
              <w:ind w:left="50"/>
              <w:jc w:val="left"/>
              <w:rPr>
                <w:sz w:val="18"/>
              </w:rPr>
            </w:pPr>
            <w:r>
              <w:rPr>
                <w:sz w:val="18"/>
              </w:rPr>
              <w:t>Trips flown</w:t>
            </w:r>
          </w:p>
        </w:tc>
        <w:tc>
          <w:tcPr>
            <w:tcW w:w="1103" w:type="dxa"/>
          </w:tcPr>
          <w:p>
            <w:pPr>
              <w:pStyle w:val="TableParagraph"/>
              <w:ind w:right="171"/>
              <w:rPr>
                <w:sz w:val="18"/>
              </w:rPr>
            </w:pPr>
            <w:r>
              <w:rPr>
                <w:sz w:val="18"/>
              </w:rPr>
              <w:t>786,288</w:t>
            </w:r>
          </w:p>
        </w:tc>
        <w:tc>
          <w:tcPr>
            <w:tcW w:w="1260" w:type="dxa"/>
          </w:tcPr>
          <w:p>
            <w:pPr>
              <w:pStyle w:val="TableParagraph"/>
              <w:ind w:right="174"/>
              <w:rPr>
                <w:sz w:val="18"/>
              </w:rPr>
            </w:pPr>
            <w:r>
              <w:rPr>
                <w:sz w:val="18"/>
              </w:rPr>
              <w:t>748,634</w:t>
            </w:r>
          </w:p>
        </w:tc>
        <w:tc>
          <w:tcPr>
            <w:tcW w:w="1188" w:type="dxa"/>
          </w:tcPr>
          <w:p>
            <w:pPr>
              <w:pStyle w:val="TableParagraph"/>
              <w:ind w:right="99"/>
              <w:rPr>
                <w:sz w:val="18"/>
              </w:rPr>
            </w:pPr>
            <w:r>
              <w:rPr>
                <w:sz w:val="18"/>
              </w:rPr>
              <w:t>685,524</w:t>
            </w:r>
          </w:p>
        </w:tc>
        <w:tc>
          <w:tcPr>
            <w:tcW w:w="1208" w:type="dxa"/>
          </w:tcPr>
          <w:p>
            <w:pPr>
              <w:pStyle w:val="TableParagraph"/>
              <w:ind w:right="50"/>
              <w:rPr>
                <w:sz w:val="18"/>
              </w:rPr>
            </w:pPr>
            <w:r>
              <w:rPr>
                <w:sz w:val="18"/>
              </w:rPr>
              <w:t>624,476</w:t>
            </w:r>
          </w:p>
        </w:tc>
      </w:tr>
      <w:tr>
        <w:trPr>
          <w:trHeight w:val="211" w:hRule="exact"/>
        </w:trPr>
        <w:tc>
          <w:tcPr>
            <w:tcW w:w="3983" w:type="dxa"/>
          </w:tcPr>
          <w:p>
            <w:pPr>
              <w:pStyle w:val="TableParagraph"/>
              <w:ind w:left="50"/>
              <w:jc w:val="left"/>
              <w:rPr>
                <w:sz w:val="18"/>
              </w:rPr>
            </w:pPr>
            <w:r>
              <w:rPr>
                <w:sz w:val="18"/>
              </w:rPr>
              <w:t>Average  passenger fare</w:t>
            </w:r>
          </w:p>
        </w:tc>
        <w:tc>
          <w:tcPr>
            <w:tcW w:w="1103" w:type="dxa"/>
          </w:tcPr>
          <w:p>
            <w:pPr>
              <w:pStyle w:val="TableParagraph"/>
              <w:ind w:right="171"/>
              <w:rPr>
                <w:sz w:val="18"/>
              </w:rPr>
            </w:pPr>
            <w:r>
              <w:rPr>
                <w:sz w:val="18"/>
              </w:rPr>
              <w:t>$72.21</w:t>
            </w:r>
          </w:p>
        </w:tc>
        <w:tc>
          <w:tcPr>
            <w:tcW w:w="1260" w:type="dxa"/>
          </w:tcPr>
          <w:p>
            <w:pPr>
              <w:pStyle w:val="TableParagraph"/>
              <w:ind w:right="174"/>
              <w:rPr>
                <w:sz w:val="18"/>
              </w:rPr>
            </w:pPr>
            <w:r>
              <w:rPr>
                <w:sz w:val="18"/>
              </w:rPr>
              <w:t>$65.88</w:t>
            </w:r>
          </w:p>
        </w:tc>
        <w:tc>
          <w:tcPr>
            <w:tcW w:w="1188" w:type="dxa"/>
          </w:tcPr>
          <w:p>
            <w:pPr>
              <w:pStyle w:val="TableParagraph"/>
              <w:ind w:right="99"/>
              <w:rPr>
                <w:sz w:val="18"/>
              </w:rPr>
            </w:pPr>
            <w:r>
              <w:rPr>
                <w:sz w:val="18"/>
              </w:rPr>
              <w:t>$61.64</w:t>
            </w:r>
          </w:p>
        </w:tc>
        <w:tc>
          <w:tcPr>
            <w:tcW w:w="1208" w:type="dxa"/>
          </w:tcPr>
          <w:p>
            <w:pPr>
              <w:pStyle w:val="TableParagraph"/>
              <w:ind w:right="50"/>
              <w:rPr>
                <w:sz w:val="18"/>
              </w:rPr>
            </w:pPr>
            <w:r>
              <w:rPr>
                <w:sz w:val="18"/>
              </w:rPr>
              <w:t>$58.44</w:t>
            </w:r>
          </w:p>
        </w:tc>
      </w:tr>
      <w:tr>
        <w:trPr>
          <w:trHeight w:val="211" w:hRule="exact"/>
        </w:trPr>
        <w:tc>
          <w:tcPr>
            <w:tcW w:w="3983" w:type="dxa"/>
          </w:tcPr>
          <w:p>
            <w:pPr>
              <w:pStyle w:val="TableParagraph"/>
              <w:ind w:left="50"/>
              <w:jc w:val="left"/>
              <w:rPr>
                <w:sz w:val="18"/>
              </w:rPr>
            </w:pPr>
            <w:r>
              <w:rPr>
                <w:sz w:val="18"/>
              </w:rPr>
              <w:t>Passenger  revenue yield per RPM</w:t>
            </w:r>
          </w:p>
        </w:tc>
        <w:tc>
          <w:tcPr>
            <w:tcW w:w="1103" w:type="dxa"/>
          </w:tcPr>
          <w:p>
            <w:pPr>
              <w:pStyle w:val="TableParagraph"/>
              <w:ind w:right="171"/>
              <w:rPr>
                <w:sz w:val="18"/>
              </w:rPr>
            </w:pPr>
            <w:r>
              <w:rPr>
                <w:sz w:val="18"/>
              </w:rPr>
              <w:t>12.84¢</w:t>
            </w:r>
          </w:p>
        </w:tc>
        <w:tc>
          <w:tcPr>
            <w:tcW w:w="1260" w:type="dxa"/>
          </w:tcPr>
          <w:p>
            <w:pPr>
              <w:pStyle w:val="TableParagraph"/>
              <w:ind w:right="173"/>
              <w:rPr>
                <w:sz w:val="18"/>
              </w:rPr>
            </w:pPr>
            <w:r>
              <w:rPr>
                <w:sz w:val="18"/>
              </w:rPr>
              <w:t>12.07¢</w:t>
            </w:r>
          </w:p>
        </w:tc>
        <w:tc>
          <w:tcPr>
            <w:tcW w:w="1188" w:type="dxa"/>
          </w:tcPr>
          <w:p>
            <w:pPr>
              <w:pStyle w:val="TableParagraph"/>
              <w:ind w:right="99"/>
              <w:rPr>
                <w:sz w:val="18"/>
              </w:rPr>
            </w:pPr>
            <w:r>
              <w:rPr>
                <w:sz w:val="18"/>
              </w:rPr>
              <w:t>11.83¢</w:t>
            </w:r>
          </w:p>
        </w:tc>
        <w:tc>
          <w:tcPr>
            <w:tcW w:w="1208" w:type="dxa"/>
          </w:tcPr>
          <w:p>
            <w:pPr>
              <w:pStyle w:val="TableParagraph"/>
              <w:ind w:right="50"/>
              <w:rPr>
                <w:sz w:val="18"/>
              </w:rPr>
            </w:pPr>
            <w:r>
              <w:rPr>
                <w:sz w:val="18"/>
              </w:rPr>
              <w:t>11.56¢</w:t>
            </w:r>
          </w:p>
        </w:tc>
      </w:tr>
      <w:tr>
        <w:trPr>
          <w:trHeight w:val="211" w:hRule="exact"/>
        </w:trPr>
        <w:tc>
          <w:tcPr>
            <w:tcW w:w="3983" w:type="dxa"/>
          </w:tcPr>
          <w:p>
            <w:pPr>
              <w:pStyle w:val="TableParagraph"/>
              <w:ind w:left="50"/>
              <w:jc w:val="left"/>
              <w:rPr>
                <w:sz w:val="18"/>
              </w:rPr>
            </w:pPr>
            <w:r>
              <w:rPr>
                <w:sz w:val="18"/>
              </w:rPr>
              <w:t>Operating revenue yield per ASM</w:t>
            </w:r>
          </w:p>
        </w:tc>
        <w:tc>
          <w:tcPr>
            <w:tcW w:w="1103" w:type="dxa"/>
          </w:tcPr>
          <w:p>
            <w:pPr>
              <w:pStyle w:val="TableParagraph"/>
              <w:ind w:right="171"/>
              <w:rPr>
                <w:sz w:val="18"/>
              </w:rPr>
            </w:pPr>
            <w:r>
              <w:rPr>
                <w:sz w:val="18"/>
              </w:rPr>
              <w:t>8.58¢</w:t>
            </w:r>
          </w:p>
        </w:tc>
        <w:tc>
          <w:tcPr>
            <w:tcW w:w="1260" w:type="dxa"/>
          </w:tcPr>
          <w:p>
            <w:pPr>
              <w:pStyle w:val="TableParagraph"/>
              <w:ind w:right="173"/>
              <w:rPr>
                <w:sz w:val="18"/>
              </w:rPr>
            </w:pPr>
            <w:r>
              <w:rPr>
                <w:sz w:val="18"/>
              </w:rPr>
              <w:t>8.36¢</w:t>
            </w:r>
          </w:p>
        </w:tc>
        <w:tc>
          <w:tcPr>
            <w:tcW w:w="1188" w:type="dxa"/>
          </w:tcPr>
          <w:p>
            <w:pPr>
              <w:pStyle w:val="TableParagraph"/>
              <w:ind w:right="99"/>
              <w:rPr>
                <w:sz w:val="18"/>
              </w:rPr>
            </w:pPr>
            <w:r>
              <w:rPr>
                <w:sz w:val="18"/>
              </w:rPr>
              <w:t>7.94¢</w:t>
            </w:r>
          </w:p>
        </w:tc>
        <w:tc>
          <w:tcPr>
            <w:tcW w:w="1208" w:type="dxa"/>
          </w:tcPr>
          <w:p>
            <w:pPr>
              <w:pStyle w:val="TableParagraph"/>
              <w:ind w:right="50"/>
              <w:rPr>
                <w:sz w:val="18"/>
              </w:rPr>
            </w:pPr>
            <w:r>
              <w:rPr>
                <w:sz w:val="18"/>
              </w:rPr>
              <w:t>8.07¢</w:t>
            </w:r>
          </w:p>
        </w:tc>
      </w:tr>
      <w:tr>
        <w:trPr>
          <w:trHeight w:val="211" w:hRule="exact"/>
        </w:trPr>
        <w:tc>
          <w:tcPr>
            <w:tcW w:w="3983" w:type="dxa"/>
          </w:tcPr>
          <w:p>
            <w:pPr>
              <w:pStyle w:val="TableParagraph"/>
              <w:ind w:left="50"/>
              <w:jc w:val="left"/>
              <w:rPr>
                <w:sz w:val="18"/>
              </w:rPr>
            </w:pPr>
            <w:r>
              <w:rPr>
                <w:sz w:val="18"/>
              </w:rPr>
              <w:t>Operating expenses per ASM</w:t>
            </w:r>
          </w:p>
        </w:tc>
        <w:tc>
          <w:tcPr>
            <w:tcW w:w="1103" w:type="dxa"/>
          </w:tcPr>
          <w:p>
            <w:pPr>
              <w:pStyle w:val="TableParagraph"/>
              <w:ind w:right="171"/>
              <w:rPr>
                <w:sz w:val="18"/>
              </w:rPr>
            </w:pPr>
            <w:r>
              <w:rPr>
                <w:sz w:val="18"/>
              </w:rPr>
              <w:t>7.40¢</w:t>
            </w:r>
          </w:p>
        </w:tc>
        <w:tc>
          <w:tcPr>
            <w:tcW w:w="1260" w:type="dxa"/>
          </w:tcPr>
          <w:p>
            <w:pPr>
              <w:pStyle w:val="TableParagraph"/>
              <w:ind w:right="173"/>
              <w:rPr>
                <w:sz w:val="18"/>
              </w:rPr>
            </w:pPr>
            <w:r>
              <w:rPr>
                <w:sz w:val="18"/>
              </w:rPr>
              <w:t>7.50¢</w:t>
            </w:r>
          </w:p>
        </w:tc>
        <w:tc>
          <w:tcPr>
            <w:tcW w:w="1188" w:type="dxa"/>
          </w:tcPr>
          <w:p>
            <w:pPr>
              <w:pStyle w:val="TableParagraph"/>
              <w:ind w:right="99"/>
              <w:rPr>
                <w:sz w:val="18"/>
              </w:rPr>
            </w:pPr>
            <w:r>
              <w:rPr>
                <w:sz w:val="18"/>
              </w:rPr>
              <w:t>7.07¢</w:t>
            </w:r>
          </w:p>
        </w:tc>
        <w:tc>
          <w:tcPr>
            <w:tcW w:w="1208" w:type="dxa"/>
          </w:tcPr>
          <w:p>
            <w:pPr>
              <w:pStyle w:val="TableParagraph"/>
              <w:ind w:right="50"/>
              <w:rPr>
                <w:sz w:val="18"/>
              </w:rPr>
            </w:pPr>
            <w:r>
              <w:rPr>
                <w:sz w:val="18"/>
              </w:rPr>
              <w:t>7.08¢</w:t>
            </w:r>
          </w:p>
        </w:tc>
      </w:tr>
      <w:tr>
        <w:trPr>
          <w:trHeight w:val="211" w:hRule="exact"/>
        </w:trPr>
        <w:tc>
          <w:tcPr>
            <w:tcW w:w="3983" w:type="dxa"/>
          </w:tcPr>
          <w:p>
            <w:pPr>
              <w:pStyle w:val="TableParagraph"/>
              <w:ind w:left="50"/>
              <w:jc w:val="left"/>
              <w:rPr>
                <w:sz w:val="18"/>
              </w:rPr>
            </w:pPr>
            <w:r>
              <w:rPr>
                <w:sz w:val="18"/>
              </w:rPr>
              <w:t>Fuel cost per gallon (average)</w:t>
            </w:r>
          </w:p>
        </w:tc>
        <w:tc>
          <w:tcPr>
            <w:tcW w:w="1103" w:type="dxa"/>
          </w:tcPr>
          <w:p>
            <w:pPr>
              <w:pStyle w:val="TableParagraph"/>
              <w:ind w:right="171"/>
              <w:rPr>
                <w:sz w:val="18"/>
              </w:rPr>
            </w:pPr>
            <w:r>
              <w:rPr>
                <w:sz w:val="18"/>
              </w:rPr>
              <w:t>62.46¢</w:t>
            </w:r>
          </w:p>
        </w:tc>
        <w:tc>
          <w:tcPr>
            <w:tcW w:w="1260" w:type="dxa"/>
          </w:tcPr>
          <w:p>
            <w:pPr>
              <w:pStyle w:val="TableParagraph"/>
              <w:ind w:right="173"/>
              <w:rPr>
                <w:sz w:val="18"/>
              </w:rPr>
            </w:pPr>
            <w:r>
              <w:rPr>
                <w:sz w:val="18"/>
              </w:rPr>
              <w:t>65.47¢</w:t>
            </w:r>
          </w:p>
        </w:tc>
        <w:tc>
          <w:tcPr>
            <w:tcW w:w="1188" w:type="dxa"/>
          </w:tcPr>
          <w:p>
            <w:pPr>
              <w:pStyle w:val="TableParagraph"/>
              <w:ind w:right="99"/>
              <w:rPr>
                <w:sz w:val="18"/>
              </w:rPr>
            </w:pPr>
            <w:r>
              <w:rPr>
                <w:sz w:val="18"/>
              </w:rPr>
              <w:t>55.22¢</w:t>
            </w:r>
          </w:p>
        </w:tc>
        <w:tc>
          <w:tcPr>
            <w:tcW w:w="1208" w:type="dxa"/>
          </w:tcPr>
          <w:p>
            <w:pPr>
              <w:pStyle w:val="TableParagraph"/>
              <w:ind w:right="50"/>
              <w:rPr>
                <w:sz w:val="18"/>
              </w:rPr>
            </w:pPr>
            <w:r>
              <w:rPr>
                <w:sz w:val="18"/>
              </w:rPr>
              <w:t>53.92¢</w:t>
            </w:r>
          </w:p>
        </w:tc>
      </w:tr>
      <w:tr>
        <w:trPr>
          <w:trHeight w:val="213" w:hRule="exact"/>
        </w:trPr>
        <w:tc>
          <w:tcPr>
            <w:tcW w:w="3983" w:type="dxa"/>
          </w:tcPr>
          <w:p>
            <w:pPr>
              <w:pStyle w:val="TableParagraph"/>
              <w:ind w:left="50"/>
              <w:jc w:val="left"/>
              <w:rPr>
                <w:sz w:val="18"/>
              </w:rPr>
            </w:pPr>
            <w:r>
              <w:rPr>
                <w:sz w:val="18"/>
              </w:rPr>
              <w:t>Number of Employees at yearend</w:t>
            </w:r>
          </w:p>
        </w:tc>
        <w:tc>
          <w:tcPr>
            <w:tcW w:w="1103" w:type="dxa"/>
          </w:tcPr>
          <w:p>
            <w:pPr>
              <w:pStyle w:val="TableParagraph"/>
              <w:ind w:right="171"/>
              <w:rPr>
                <w:sz w:val="18"/>
              </w:rPr>
            </w:pPr>
            <w:r>
              <w:rPr>
                <w:sz w:val="18"/>
              </w:rPr>
              <w:t>23,974</w:t>
            </w:r>
          </w:p>
        </w:tc>
        <w:tc>
          <w:tcPr>
            <w:tcW w:w="1260" w:type="dxa"/>
          </w:tcPr>
          <w:p>
            <w:pPr>
              <w:pStyle w:val="TableParagraph"/>
              <w:ind w:right="174"/>
              <w:rPr>
                <w:sz w:val="18"/>
              </w:rPr>
            </w:pPr>
            <w:r>
              <w:rPr>
                <w:sz w:val="18"/>
              </w:rPr>
              <w:t>22,944</w:t>
            </w:r>
          </w:p>
        </w:tc>
        <w:tc>
          <w:tcPr>
            <w:tcW w:w="1188" w:type="dxa"/>
          </w:tcPr>
          <w:p>
            <w:pPr>
              <w:pStyle w:val="TableParagraph"/>
              <w:ind w:right="99"/>
              <w:rPr>
                <w:sz w:val="18"/>
              </w:rPr>
            </w:pPr>
            <w:r>
              <w:rPr>
                <w:sz w:val="18"/>
              </w:rPr>
              <w:t>19,933</w:t>
            </w:r>
          </w:p>
        </w:tc>
        <w:tc>
          <w:tcPr>
            <w:tcW w:w="1208" w:type="dxa"/>
          </w:tcPr>
          <w:p>
            <w:pPr>
              <w:pStyle w:val="TableParagraph"/>
              <w:ind w:right="50"/>
              <w:rPr>
                <w:sz w:val="18"/>
              </w:rPr>
            </w:pPr>
            <w:r>
              <w:rPr>
                <w:sz w:val="18"/>
              </w:rPr>
              <w:t>16,818</w:t>
            </w:r>
          </w:p>
        </w:tc>
      </w:tr>
      <w:tr>
        <w:trPr>
          <w:trHeight w:val="215" w:hRule="exact"/>
        </w:trPr>
        <w:tc>
          <w:tcPr>
            <w:tcW w:w="3983" w:type="dxa"/>
          </w:tcPr>
          <w:p>
            <w:pPr>
              <w:pStyle w:val="TableParagraph"/>
              <w:spacing w:before="4"/>
              <w:ind w:left="50"/>
              <w:jc w:val="left"/>
              <w:rPr>
                <w:sz w:val="12"/>
              </w:rPr>
            </w:pPr>
            <w:r>
              <w:rPr>
                <w:sz w:val="18"/>
              </w:rPr>
              <w:t>Size of fleet at yearend </w:t>
            </w:r>
            <w:r>
              <w:rPr>
                <w:position w:val="6"/>
                <w:sz w:val="12"/>
              </w:rPr>
              <w:t>(11)</w:t>
            </w:r>
          </w:p>
        </w:tc>
        <w:tc>
          <w:tcPr>
            <w:tcW w:w="1103" w:type="dxa"/>
          </w:tcPr>
          <w:p>
            <w:pPr>
              <w:pStyle w:val="TableParagraph"/>
              <w:spacing w:before="7"/>
              <w:ind w:right="172"/>
              <w:rPr>
                <w:sz w:val="18"/>
              </w:rPr>
            </w:pPr>
            <w:r>
              <w:rPr>
                <w:sz w:val="18"/>
              </w:rPr>
              <w:t>261</w:t>
            </w:r>
          </w:p>
        </w:tc>
        <w:tc>
          <w:tcPr>
            <w:tcW w:w="1260" w:type="dxa"/>
          </w:tcPr>
          <w:p>
            <w:pPr>
              <w:pStyle w:val="TableParagraph"/>
              <w:spacing w:before="7"/>
              <w:ind w:right="174"/>
              <w:rPr>
                <w:sz w:val="18"/>
              </w:rPr>
            </w:pPr>
            <w:r>
              <w:rPr>
                <w:sz w:val="18"/>
              </w:rPr>
              <w:t>243</w:t>
            </w:r>
          </w:p>
        </w:tc>
        <w:tc>
          <w:tcPr>
            <w:tcW w:w="1188" w:type="dxa"/>
          </w:tcPr>
          <w:p>
            <w:pPr>
              <w:pStyle w:val="TableParagraph"/>
              <w:spacing w:before="7"/>
              <w:ind w:right="100"/>
              <w:rPr>
                <w:sz w:val="18"/>
              </w:rPr>
            </w:pPr>
            <w:r>
              <w:rPr>
                <w:sz w:val="18"/>
              </w:rPr>
              <w:t>224</w:t>
            </w:r>
          </w:p>
        </w:tc>
        <w:tc>
          <w:tcPr>
            <w:tcW w:w="1208" w:type="dxa"/>
          </w:tcPr>
          <w:p>
            <w:pPr>
              <w:pStyle w:val="TableParagraph"/>
              <w:spacing w:before="7"/>
              <w:ind w:right="50"/>
              <w:rPr>
                <w:sz w:val="18"/>
              </w:rPr>
            </w:pPr>
            <w:r>
              <w:rPr>
                <w:sz w:val="18"/>
              </w:rPr>
              <w:t>199</w:t>
            </w:r>
          </w:p>
        </w:tc>
      </w:tr>
    </w:tbl>
    <w:p>
      <w:pPr>
        <w:pStyle w:val="BodyText"/>
        <w:rPr>
          <w:b/>
          <w:sz w:val="32"/>
        </w:rPr>
      </w:pPr>
    </w:p>
    <w:p>
      <w:pPr>
        <w:pStyle w:val="ListParagraph"/>
        <w:numPr>
          <w:ilvl w:val="0"/>
          <w:numId w:val="3"/>
        </w:numPr>
        <w:tabs>
          <w:tab w:pos="520" w:val="left" w:leader="none"/>
        </w:tabs>
        <w:spacing w:line="249" w:lineRule="auto" w:before="0" w:after="0"/>
        <w:ind w:left="520" w:right="228" w:hanging="360"/>
        <w:jc w:val="left"/>
        <w:rPr>
          <w:i/>
          <w:sz w:val="18"/>
        </w:rPr>
      </w:pPr>
      <w:r>
        <w:rPr>
          <w:i/>
          <w:sz w:val="18"/>
        </w:rPr>
        <w:t>The Selected Consolidated Financial Data and Consolidated Financial Ratios for 1992 through 1989 have been </w:t>
      </w:r>
      <w:r>
        <w:rPr>
          <w:i/>
          <w:sz w:val="18"/>
        </w:rPr>
        <w:t>restated to include the financial results of Morris Air Corporation (Morris). Years prior to 1989 were immaterial for restatement</w:t>
      </w:r>
      <w:r>
        <w:rPr>
          <w:i/>
          <w:spacing w:val="23"/>
          <w:sz w:val="18"/>
        </w:rPr>
        <w:t> </w:t>
      </w:r>
      <w:r>
        <w:rPr>
          <w:i/>
          <w:sz w:val="18"/>
        </w:rPr>
        <w:t>purposes</w:t>
      </w:r>
    </w:p>
    <w:p>
      <w:pPr>
        <w:pStyle w:val="ListParagraph"/>
        <w:numPr>
          <w:ilvl w:val="0"/>
          <w:numId w:val="3"/>
        </w:numPr>
        <w:tabs>
          <w:tab w:pos="520" w:val="left" w:leader="none"/>
        </w:tabs>
        <w:spacing w:line="240" w:lineRule="auto" w:before="0" w:after="0"/>
        <w:ind w:left="520" w:right="0" w:hanging="360"/>
        <w:jc w:val="left"/>
        <w:rPr>
          <w:i/>
          <w:sz w:val="18"/>
        </w:rPr>
      </w:pPr>
      <w:r>
        <w:rPr>
          <w:i/>
          <w:sz w:val="18"/>
        </w:rPr>
        <w:t>Prior to 1993, Morris operated as a charter carrier; therefore, no Morris statistics are included for these   years</w:t>
      </w:r>
    </w:p>
    <w:p>
      <w:pPr>
        <w:pStyle w:val="ListParagraph"/>
        <w:numPr>
          <w:ilvl w:val="0"/>
          <w:numId w:val="3"/>
        </w:numPr>
        <w:tabs>
          <w:tab w:pos="520" w:val="left" w:leader="none"/>
        </w:tabs>
        <w:spacing w:line="240" w:lineRule="auto" w:before="8" w:after="0"/>
        <w:ind w:left="520" w:right="0" w:hanging="360"/>
        <w:jc w:val="left"/>
        <w:rPr>
          <w:i/>
          <w:sz w:val="18"/>
        </w:rPr>
      </w:pPr>
      <w:r>
        <w:rPr>
          <w:i/>
          <w:sz w:val="18"/>
        </w:rPr>
        <w:t>Pro forma for 1992 through 1989 assuming Morris, an S-Corporation prior to 1993, was taxed at statutory  </w:t>
      </w:r>
      <w:r>
        <w:rPr>
          <w:i/>
          <w:spacing w:val="11"/>
          <w:sz w:val="18"/>
        </w:rPr>
        <w:t> </w:t>
      </w:r>
      <w:r>
        <w:rPr>
          <w:i/>
          <w:sz w:val="18"/>
        </w:rPr>
        <w:t>rates</w:t>
      </w:r>
    </w:p>
    <w:p>
      <w:pPr>
        <w:pStyle w:val="ListParagraph"/>
        <w:numPr>
          <w:ilvl w:val="0"/>
          <w:numId w:val="3"/>
        </w:numPr>
        <w:tabs>
          <w:tab w:pos="520" w:val="left" w:leader="none"/>
        </w:tabs>
        <w:spacing w:line="240" w:lineRule="auto" w:before="8" w:after="0"/>
        <w:ind w:left="520" w:right="0" w:hanging="360"/>
        <w:jc w:val="left"/>
        <w:rPr>
          <w:i/>
          <w:sz w:val="18"/>
        </w:rPr>
      </w:pPr>
      <w:r>
        <w:rPr>
          <w:i/>
          <w:sz w:val="18"/>
        </w:rPr>
        <w:t>Excludes cumulative effect of accounting changes of $15.3 million ($.07 per</w:t>
      </w:r>
      <w:r>
        <w:rPr>
          <w:i/>
          <w:spacing w:val="30"/>
          <w:sz w:val="18"/>
        </w:rPr>
        <w:t> </w:t>
      </w:r>
      <w:r>
        <w:rPr>
          <w:i/>
          <w:sz w:val="18"/>
        </w:rPr>
        <w:t>share)</w:t>
      </w:r>
    </w:p>
    <w:p>
      <w:pPr>
        <w:pStyle w:val="ListParagraph"/>
        <w:numPr>
          <w:ilvl w:val="0"/>
          <w:numId w:val="3"/>
        </w:numPr>
        <w:tabs>
          <w:tab w:pos="520" w:val="left" w:leader="none"/>
        </w:tabs>
        <w:spacing w:line="240" w:lineRule="auto" w:before="8" w:after="0"/>
        <w:ind w:left="520" w:right="0" w:hanging="360"/>
        <w:jc w:val="left"/>
        <w:rPr>
          <w:i/>
          <w:sz w:val="18"/>
        </w:rPr>
      </w:pPr>
      <w:r>
        <w:rPr>
          <w:i/>
          <w:sz w:val="18"/>
        </w:rPr>
        <w:t>Excludes cumulative effect of accounting change of $12.5 million ($.06 per</w:t>
      </w:r>
      <w:r>
        <w:rPr>
          <w:i/>
          <w:spacing w:val="29"/>
          <w:sz w:val="18"/>
        </w:rPr>
        <w:t> </w:t>
      </w:r>
      <w:r>
        <w:rPr>
          <w:i/>
          <w:sz w:val="18"/>
        </w:rPr>
        <w:t>share)</w:t>
      </w:r>
    </w:p>
    <w:p>
      <w:pPr>
        <w:spacing w:after="0" w:line="240" w:lineRule="auto"/>
        <w:jc w:val="left"/>
        <w:rPr>
          <w:sz w:val="18"/>
        </w:rPr>
        <w:sectPr>
          <w:pgSz w:w="12240" w:h="15840"/>
          <w:pgMar w:header="1592" w:footer="790" w:top="2120" w:bottom="980" w:left="1280" w:right="1320"/>
        </w:sectPr>
      </w:pPr>
    </w:p>
    <w:p>
      <w:pPr>
        <w:pStyle w:val="BodyText"/>
        <w:spacing w:before="5"/>
        <w:rPr>
          <w:i/>
        </w:rPr>
      </w:pPr>
    </w:p>
    <w:tbl>
      <w:tblPr>
        <w:tblW w:w="0" w:type="auto"/>
        <w:jc w:val="left"/>
        <w:tblInd w:w="1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70"/>
        <w:gridCol w:w="1440"/>
        <w:gridCol w:w="1351"/>
        <w:gridCol w:w="1392"/>
        <w:gridCol w:w="1428"/>
        <w:gridCol w:w="1149"/>
      </w:tblGrid>
      <w:tr>
        <w:trPr>
          <w:trHeight w:val="204" w:hRule="exact"/>
        </w:trPr>
        <w:tc>
          <w:tcPr>
            <w:tcW w:w="1270" w:type="dxa"/>
            <w:tcBorders>
              <w:bottom w:val="single" w:sz="6" w:space="0" w:color="000000"/>
            </w:tcBorders>
          </w:tcPr>
          <w:p>
            <w:pPr>
              <w:pStyle w:val="TableParagraph"/>
              <w:spacing w:line="203" w:lineRule="exact"/>
              <w:ind w:right="305"/>
              <w:rPr>
                <w:sz w:val="18"/>
              </w:rPr>
            </w:pPr>
            <w:r>
              <w:rPr>
                <w:sz w:val="18"/>
              </w:rPr>
              <w:t>1993</w:t>
            </w:r>
          </w:p>
        </w:tc>
        <w:tc>
          <w:tcPr>
            <w:tcW w:w="1440" w:type="dxa"/>
            <w:tcBorders>
              <w:bottom w:val="single" w:sz="6" w:space="0" w:color="000000"/>
            </w:tcBorders>
          </w:tcPr>
          <w:p>
            <w:pPr>
              <w:pStyle w:val="TableParagraph"/>
              <w:spacing w:line="203" w:lineRule="exact"/>
              <w:ind w:right="219"/>
              <w:rPr>
                <w:sz w:val="18"/>
              </w:rPr>
            </w:pPr>
            <w:r>
              <w:rPr>
                <w:sz w:val="18"/>
              </w:rPr>
              <w:t>1992</w:t>
            </w:r>
          </w:p>
        </w:tc>
        <w:tc>
          <w:tcPr>
            <w:tcW w:w="1351" w:type="dxa"/>
            <w:tcBorders>
              <w:bottom w:val="single" w:sz="6" w:space="0" w:color="000000"/>
            </w:tcBorders>
          </w:tcPr>
          <w:p>
            <w:pPr>
              <w:pStyle w:val="TableParagraph"/>
              <w:spacing w:line="203" w:lineRule="exact"/>
              <w:ind w:right="216"/>
              <w:rPr>
                <w:sz w:val="18"/>
              </w:rPr>
            </w:pPr>
            <w:r>
              <w:rPr>
                <w:sz w:val="18"/>
              </w:rPr>
              <w:t>1991</w:t>
            </w:r>
          </w:p>
        </w:tc>
        <w:tc>
          <w:tcPr>
            <w:tcW w:w="1392" w:type="dxa"/>
            <w:tcBorders>
              <w:bottom w:val="single" w:sz="6" w:space="0" w:color="000000"/>
            </w:tcBorders>
          </w:tcPr>
          <w:p>
            <w:pPr>
              <w:pStyle w:val="TableParagraph"/>
              <w:spacing w:line="203" w:lineRule="exact"/>
              <w:ind w:right="259"/>
              <w:rPr>
                <w:sz w:val="18"/>
              </w:rPr>
            </w:pPr>
            <w:r>
              <w:rPr>
                <w:sz w:val="18"/>
              </w:rPr>
              <w:t>1990</w:t>
            </w:r>
          </w:p>
        </w:tc>
        <w:tc>
          <w:tcPr>
            <w:tcW w:w="1428" w:type="dxa"/>
            <w:tcBorders>
              <w:bottom w:val="single" w:sz="6" w:space="0" w:color="000000"/>
            </w:tcBorders>
          </w:tcPr>
          <w:p>
            <w:pPr>
              <w:pStyle w:val="TableParagraph"/>
              <w:spacing w:line="203" w:lineRule="exact"/>
              <w:ind w:right="339"/>
              <w:rPr>
                <w:sz w:val="18"/>
              </w:rPr>
            </w:pPr>
            <w:r>
              <w:rPr>
                <w:sz w:val="18"/>
              </w:rPr>
              <w:t>1989</w:t>
            </w:r>
          </w:p>
        </w:tc>
        <w:tc>
          <w:tcPr>
            <w:tcW w:w="1149" w:type="dxa"/>
            <w:tcBorders>
              <w:bottom w:val="single" w:sz="6" w:space="0" w:color="000000"/>
            </w:tcBorders>
          </w:tcPr>
          <w:p>
            <w:pPr>
              <w:pStyle w:val="TableParagraph"/>
              <w:spacing w:line="203" w:lineRule="exact"/>
              <w:ind w:right="48"/>
              <w:rPr>
                <w:sz w:val="18"/>
              </w:rPr>
            </w:pPr>
            <w:r>
              <w:rPr>
                <w:sz w:val="18"/>
              </w:rPr>
              <w:t>1988</w:t>
            </w:r>
          </w:p>
        </w:tc>
      </w:tr>
      <w:tr>
        <w:trPr>
          <w:trHeight w:val="426" w:hRule="exact"/>
        </w:trPr>
        <w:tc>
          <w:tcPr>
            <w:tcW w:w="1270" w:type="dxa"/>
            <w:tcBorders>
              <w:top w:val="single" w:sz="6" w:space="0" w:color="000000"/>
            </w:tcBorders>
          </w:tcPr>
          <w:p>
            <w:pPr>
              <w:pStyle w:val="TableParagraph"/>
              <w:spacing w:before="1"/>
              <w:jc w:val="left"/>
              <w:rPr>
                <w:i/>
                <w:sz w:val="19"/>
              </w:rPr>
            </w:pPr>
          </w:p>
          <w:p>
            <w:pPr>
              <w:pStyle w:val="TableParagraph"/>
              <w:ind w:right="304"/>
              <w:rPr>
                <w:sz w:val="18"/>
              </w:rPr>
            </w:pPr>
            <w:r>
              <w:rPr>
                <w:sz w:val="18"/>
              </w:rPr>
              <w:t>$2,216,342</w:t>
            </w:r>
          </w:p>
        </w:tc>
        <w:tc>
          <w:tcPr>
            <w:tcW w:w="1440" w:type="dxa"/>
            <w:tcBorders>
              <w:top w:val="single" w:sz="6" w:space="0" w:color="000000"/>
            </w:tcBorders>
          </w:tcPr>
          <w:p>
            <w:pPr>
              <w:pStyle w:val="TableParagraph"/>
              <w:spacing w:before="1"/>
              <w:jc w:val="left"/>
              <w:rPr>
                <w:i/>
                <w:sz w:val="19"/>
              </w:rPr>
            </w:pPr>
          </w:p>
          <w:p>
            <w:pPr>
              <w:pStyle w:val="TableParagraph"/>
              <w:ind w:right="218"/>
              <w:rPr>
                <w:sz w:val="18"/>
              </w:rPr>
            </w:pPr>
            <w:r>
              <w:rPr>
                <w:sz w:val="18"/>
              </w:rPr>
              <w:t>$1,623,828</w:t>
            </w:r>
          </w:p>
        </w:tc>
        <w:tc>
          <w:tcPr>
            <w:tcW w:w="1351" w:type="dxa"/>
            <w:tcBorders>
              <w:top w:val="single" w:sz="6" w:space="0" w:color="000000"/>
            </w:tcBorders>
          </w:tcPr>
          <w:p>
            <w:pPr>
              <w:pStyle w:val="TableParagraph"/>
              <w:spacing w:before="1"/>
              <w:jc w:val="left"/>
              <w:rPr>
                <w:i/>
                <w:sz w:val="19"/>
              </w:rPr>
            </w:pPr>
          </w:p>
          <w:p>
            <w:pPr>
              <w:pStyle w:val="TableParagraph"/>
              <w:ind w:right="216"/>
              <w:rPr>
                <w:sz w:val="18"/>
              </w:rPr>
            </w:pPr>
            <w:r>
              <w:rPr>
                <w:sz w:val="18"/>
              </w:rPr>
              <w:t>$1,267,897</w:t>
            </w:r>
          </w:p>
        </w:tc>
        <w:tc>
          <w:tcPr>
            <w:tcW w:w="1392" w:type="dxa"/>
            <w:tcBorders>
              <w:top w:val="single" w:sz="6" w:space="0" w:color="000000"/>
            </w:tcBorders>
          </w:tcPr>
          <w:p>
            <w:pPr>
              <w:pStyle w:val="TableParagraph"/>
              <w:spacing w:before="1"/>
              <w:jc w:val="left"/>
              <w:rPr>
                <w:i/>
                <w:sz w:val="19"/>
              </w:rPr>
            </w:pPr>
          </w:p>
          <w:p>
            <w:pPr>
              <w:pStyle w:val="TableParagraph"/>
              <w:ind w:right="259"/>
              <w:rPr>
                <w:sz w:val="18"/>
              </w:rPr>
            </w:pPr>
            <w:r>
              <w:rPr>
                <w:sz w:val="18"/>
              </w:rPr>
              <w:t>$1,144,421</w:t>
            </w:r>
          </w:p>
        </w:tc>
        <w:tc>
          <w:tcPr>
            <w:tcW w:w="1428" w:type="dxa"/>
            <w:tcBorders>
              <w:top w:val="single" w:sz="6" w:space="0" w:color="000000"/>
            </w:tcBorders>
          </w:tcPr>
          <w:p>
            <w:pPr>
              <w:pStyle w:val="TableParagraph"/>
              <w:spacing w:before="1"/>
              <w:jc w:val="left"/>
              <w:rPr>
                <w:i/>
                <w:sz w:val="19"/>
              </w:rPr>
            </w:pPr>
          </w:p>
          <w:p>
            <w:pPr>
              <w:pStyle w:val="TableParagraph"/>
              <w:ind w:right="338"/>
              <w:rPr>
                <w:sz w:val="18"/>
              </w:rPr>
            </w:pPr>
            <w:r>
              <w:rPr>
                <w:sz w:val="18"/>
              </w:rPr>
              <w:t>$973,568</w:t>
            </w:r>
          </w:p>
        </w:tc>
        <w:tc>
          <w:tcPr>
            <w:tcW w:w="1149" w:type="dxa"/>
            <w:tcBorders>
              <w:top w:val="single" w:sz="6" w:space="0" w:color="000000"/>
            </w:tcBorders>
          </w:tcPr>
          <w:p>
            <w:pPr>
              <w:pStyle w:val="TableParagraph"/>
              <w:spacing w:before="1"/>
              <w:jc w:val="left"/>
              <w:rPr>
                <w:i/>
                <w:sz w:val="19"/>
              </w:rPr>
            </w:pPr>
          </w:p>
          <w:p>
            <w:pPr>
              <w:pStyle w:val="TableParagraph"/>
              <w:ind w:right="48"/>
              <w:rPr>
                <w:sz w:val="18"/>
              </w:rPr>
            </w:pPr>
            <w:r>
              <w:rPr>
                <w:sz w:val="18"/>
              </w:rPr>
              <w:t>$828,343</w:t>
            </w:r>
          </w:p>
        </w:tc>
      </w:tr>
      <w:tr>
        <w:trPr>
          <w:trHeight w:val="211" w:hRule="exact"/>
        </w:trPr>
        <w:tc>
          <w:tcPr>
            <w:tcW w:w="1270" w:type="dxa"/>
          </w:tcPr>
          <w:p>
            <w:pPr>
              <w:pStyle w:val="TableParagraph"/>
              <w:ind w:right="305"/>
              <w:rPr>
                <w:sz w:val="18"/>
              </w:rPr>
            </w:pPr>
            <w:r>
              <w:rPr>
                <w:sz w:val="18"/>
              </w:rPr>
              <w:t>42,897</w:t>
            </w:r>
          </w:p>
        </w:tc>
        <w:tc>
          <w:tcPr>
            <w:tcW w:w="1440" w:type="dxa"/>
          </w:tcPr>
          <w:p>
            <w:pPr>
              <w:pStyle w:val="TableParagraph"/>
              <w:ind w:right="218"/>
              <w:rPr>
                <w:sz w:val="18"/>
              </w:rPr>
            </w:pPr>
            <w:r>
              <w:rPr>
                <w:sz w:val="18"/>
              </w:rPr>
              <w:t>33,088</w:t>
            </w:r>
          </w:p>
        </w:tc>
        <w:tc>
          <w:tcPr>
            <w:tcW w:w="1351" w:type="dxa"/>
          </w:tcPr>
          <w:p>
            <w:pPr>
              <w:pStyle w:val="TableParagraph"/>
              <w:ind w:right="216"/>
              <w:rPr>
                <w:sz w:val="18"/>
              </w:rPr>
            </w:pPr>
            <w:r>
              <w:rPr>
                <w:sz w:val="18"/>
              </w:rPr>
              <w:t>26,428</w:t>
            </w:r>
          </w:p>
        </w:tc>
        <w:tc>
          <w:tcPr>
            <w:tcW w:w="1392" w:type="dxa"/>
          </w:tcPr>
          <w:p>
            <w:pPr>
              <w:pStyle w:val="TableParagraph"/>
              <w:ind w:right="259"/>
              <w:rPr>
                <w:sz w:val="18"/>
              </w:rPr>
            </w:pPr>
            <w:r>
              <w:rPr>
                <w:sz w:val="18"/>
              </w:rPr>
              <w:t>22,196</w:t>
            </w:r>
          </w:p>
        </w:tc>
        <w:tc>
          <w:tcPr>
            <w:tcW w:w="1428" w:type="dxa"/>
          </w:tcPr>
          <w:p>
            <w:pPr>
              <w:pStyle w:val="TableParagraph"/>
              <w:ind w:right="338"/>
              <w:rPr>
                <w:sz w:val="18"/>
              </w:rPr>
            </w:pPr>
            <w:r>
              <w:rPr>
                <w:sz w:val="18"/>
              </w:rPr>
              <w:t>18,771</w:t>
            </w:r>
          </w:p>
        </w:tc>
        <w:tc>
          <w:tcPr>
            <w:tcW w:w="1149" w:type="dxa"/>
          </w:tcPr>
          <w:p>
            <w:pPr>
              <w:pStyle w:val="TableParagraph"/>
              <w:ind w:right="48"/>
              <w:rPr>
                <w:sz w:val="18"/>
              </w:rPr>
            </w:pPr>
            <w:r>
              <w:rPr>
                <w:sz w:val="18"/>
              </w:rPr>
              <w:t>14,433</w:t>
            </w:r>
          </w:p>
        </w:tc>
      </w:tr>
      <w:tr>
        <w:trPr>
          <w:trHeight w:val="207" w:hRule="exact"/>
        </w:trPr>
        <w:tc>
          <w:tcPr>
            <w:tcW w:w="1270" w:type="dxa"/>
            <w:tcBorders>
              <w:bottom w:val="single" w:sz="6" w:space="0" w:color="000000"/>
            </w:tcBorders>
          </w:tcPr>
          <w:p>
            <w:pPr>
              <w:pStyle w:val="TableParagraph"/>
              <w:ind w:right="305"/>
              <w:rPr>
                <w:sz w:val="18"/>
              </w:rPr>
            </w:pPr>
            <w:r>
              <w:rPr>
                <w:sz w:val="18"/>
              </w:rPr>
              <w:t>37,434</w:t>
            </w:r>
          </w:p>
        </w:tc>
        <w:tc>
          <w:tcPr>
            <w:tcW w:w="1440" w:type="dxa"/>
            <w:tcBorders>
              <w:bottom w:val="single" w:sz="6" w:space="0" w:color="000000"/>
            </w:tcBorders>
          </w:tcPr>
          <w:p>
            <w:pPr>
              <w:pStyle w:val="TableParagraph"/>
              <w:ind w:right="218"/>
              <w:rPr>
                <w:sz w:val="18"/>
              </w:rPr>
            </w:pPr>
            <w:r>
              <w:rPr>
                <w:sz w:val="18"/>
              </w:rPr>
              <w:t>146,063</w:t>
            </w:r>
          </w:p>
        </w:tc>
        <w:tc>
          <w:tcPr>
            <w:tcW w:w="1351" w:type="dxa"/>
            <w:tcBorders>
              <w:bottom w:val="single" w:sz="6" w:space="0" w:color="000000"/>
            </w:tcBorders>
          </w:tcPr>
          <w:p>
            <w:pPr>
              <w:pStyle w:val="TableParagraph"/>
              <w:ind w:right="216"/>
              <w:rPr>
                <w:sz w:val="18"/>
              </w:rPr>
            </w:pPr>
            <w:r>
              <w:rPr>
                <w:sz w:val="18"/>
              </w:rPr>
              <w:t>84,961</w:t>
            </w:r>
          </w:p>
        </w:tc>
        <w:tc>
          <w:tcPr>
            <w:tcW w:w="1392" w:type="dxa"/>
            <w:tcBorders>
              <w:bottom w:val="single" w:sz="6" w:space="0" w:color="000000"/>
            </w:tcBorders>
          </w:tcPr>
          <w:p>
            <w:pPr>
              <w:pStyle w:val="TableParagraph"/>
              <w:ind w:right="259"/>
              <w:rPr>
                <w:sz w:val="18"/>
              </w:rPr>
            </w:pPr>
            <w:r>
              <w:rPr>
                <w:sz w:val="18"/>
              </w:rPr>
              <w:t>70,659</w:t>
            </w:r>
          </w:p>
        </w:tc>
        <w:tc>
          <w:tcPr>
            <w:tcW w:w="1428" w:type="dxa"/>
            <w:tcBorders>
              <w:bottom w:val="single" w:sz="6" w:space="0" w:color="000000"/>
            </w:tcBorders>
          </w:tcPr>
          <w:p>
            <w:pPr>
              <w:pStyle w:val="TableParagraph"/>
              <w:ind w:right="338"/>
              <w:rPr>
                <w:sz w:val="18"/>
              </w:rPr>
            </w:pPr>
            <w:r>
              <w:rPr>
                <w:sz w:val="18"/>
              </w:rPr>
              <w:t>65,390</w:t>
            </w:r>
          </w:p>
        </w:tc>
        <w:tc>
          <w:tcPr>
            <w:tcW w:w="1149" w:type="dxa"/>
            <w:tcBorders>
              <w:bottom w:val="single" w:sz="6" w:space="0" w:color="000000"/>
            </w:tcBorders>
          </w:tcPr>
          <w:p>
            <w:pPr>
              <w:pStyle w:val="TableParagraph"/>
              <w:ind w:right="48"/>
              <w:rPr>
                <w:sz w:val="18"/>
              </w:rPr>
            </w:pPr>
            <w:r>
              <w:rPr>
                <w:sz w:val="18"/>
              </w:rPr>
              <w:t>17,658</w:t>
            </w:r>
          </w:p>
        </w:tc>
      </w:tr>
      <w:tr>
        <w:trPr>
          <w:trHeight w:val="215" w:hRule="exact"/>
        </w:trPr>
        <w:tc>
          <w:tcPr>
            <w:tcW w:w="1270" w:type="dxa"/>
            <w:tcBorders>
              <w:top w:val="single" w:sz="6" w:space="0" w:color="000000"/>
            </w:tcBorders>
          </w:tcPr>
          <w:p>
            <w:pPr>
              <w:pStyle w:val="TableParagraph"/>
              <w:spacing w:before="8"/>
              <w:ind w:right="304"/>
              <w:rPr>
                <w:sz w:val="18"/>
              </w:rPr>
            </w:pPr>
            <w:r>
              <w:rPr>
                <w:sz w:val="18"/>
              </w:rPr>
              <w:t>2,296,673</w:t>
            </w:r>
          </w:p>
        </w:tc>
        <w:tc>
          <w:tcPr>
            <w:tcW w:w="1440" w:type="dxa"/>
            <w:tcBorders>
              <w:top w:val="single" w:sz="6" w:space="0" w:color="000000"/>
            </w:tcBorders>
          </w:tcPr>
          <w:p>
            <w:pPr>
              <w:pStyle w:val="TableParagraph"/>
              <w:spacing w:before="8"/>
              <w:ind w:right="218"/>
              <w:rPr>
                <w:sz w:val="18"/>
              </w:rPr>
            </w:pPr>
            <w:r>
              <w:rPr>
                <w:sz w:val="18"/>
              </w:rPr>
              <w:t>1,802,979</w:t>
            </w:r>
          </w:p>
        </w:tc>
        <w:tc>
          <w:tcPr>
            <w:tcW w:w="1351" w:type="dxa"/>
            <w:tcBorders>
              <w:top w:val="single" w:sz="6" w:space="0" w:color="000000"/>
            </w:tcBorders>
          </w:tcPr>
          <w:p>
            <w:pPr>
              <w:pStyle w:val="TableParagraph"/>
              <w:spacing w:before="8"/>
              <w:ind w:right="216"/>
              <w:rPr>
                <w:sz w:val="18"/>
              </w:rPr>
            </w:pPr>
            <w:r>
              <w:rPr>
                <w:sz w:val="18"/>
              </w:rPr>
              <w:t>1,379,286</w:t>
            </w:r>
          </w:p>
        </w:tc>
        <w:tc>
          <w:tcPr>
            <w:tcW w:w="1392" w:type="dxa"/>
            <w:tcBorders>
              <w:top w:val="single" w:sz="6" w:space="0" w:color="000000"/>
            </w:tcBorders>
          </w:tcPr>
          <w:p>
            <w:pPr>
              <w:pStyle w:val="TableParagraph"/>
              <w:spacing w:before="8"/>
              <w:ind w:right="259"/>
              <w:rPr>
                <w:sz w:val="18"/>
              </w:rPr>
            </w:pPr>
            <w:r>
              <w:rPr>
                <w:sz w:val="18"/>
              </w:rPr>
              <w:t>1,237,276</w:t>
            </w:r>
          </w:p>
        </w:tc>
        <w:tc>
          <w:tcPr>
            <w:tcW w:w="1428" w:type="dxa"/>
            <w:tcBorders>
              <w:top w:val="single" w:sz="6" w:space="0" w:color="000000"/>
            </w:tcBorders>
          </w:tcPr>
          <w:p>
            <w:pPr>
              <w:pStyle w:val="TableParagraph"/>
              <w:spacing w:before="8"/>
              <w:ind w:right="338"/>
              <w:rPr>
                <w:sz w:val="18"/>
              </w:rPr>
            </w:pPr>
            <w:r>
              <w:rPr>
                <w:sz w:val="18"/>
              </w:rPr>
              <w:t>1,057,729</w:t>
            </w:r>
          </w:p>
        </w:tc>
        <w:tc>
          <w:tcPr>
            <w:tcW w:w="1149" w:type="dxa"/>
            <w:tcBorders>
              <w:top w:val="single" w:sz="6" w:space="0" w:color="000000"/>
            </w:tcBorders>
          </w:tcPr>
          <w:p>
            <w:pPr>
              <w:pStyle w:val="TableParagraph"/>
              <w:spacing w:before="8"/>
              <w:ind w:right="48"/>
              <w:rPr>
                <w:sz w:val="18"/>
              </w:rPr>
            </w:pPr>
            <w:r>
              <w:rPr>
                <w:sz w:val="18"/>
              </w:rPr>
              <w:t>860,434</w:t>
            </w:r>
          </w:p>
        </w:tc>
      </w:tr>
      <w:tr>
        <w:trPr>
          <w:trHeight w:val="207" w:hRule="exact"/>
        </w:trPr>
        <w:tc>
          <w:tcPr>
            <w:tcW w:w="1270" w:type="dxa"/>
            <w:tcBorders>
              <w:bottom w:val="single" w:sz="6" w:space="0" w:color="000000"/>
            </w:tcBorders>
          </w:tcPr>
          <w:p>
            <w:pPr>
              <w:pStyle w:val="TableParagraph"/>
              <w:ind w:right="304"/>
              <w:rPr>
                <w:sz w:val="18"/>
              </w:rPr>
            </w:pPr>
            <w:r>
              <w:rPr>
                <w:sz w:val="18"/>
              </w:rPr>
              <w:t>2,004,700</w:t>
            </w:r>
          </w:p>
        </w:tc>
        <w:tc>
          <w:tcPr>
            <w:tcW w:w="1440" w:type="dxa"/>
            <w:tcBorders>
              <w:bottom w:val="single" w:sz="6" w:space="0" w:color="000000"/>
            </w:tcBorders>
          </w:tcPr>
          <w:p>
            <w:pPr>
              <w:pStyle w:val="TableParagraph"/>
              <w:ind w:right="218"/>
              <w:rPr>
                <w:sz w:val="18"/>
              </w:rPr>
            </w:pPr>
            <w:r>
              <w:rPr>
                <w:sz w:val="18"/>
              </w:rPr>
              <w:t>1,609,175</w:t>
            </w:r>
          </w:p>
        </w:tc>
        <w:tc>
          <w:tcPr>
            <w:tcW w:w="1351" w:type="dxa"/>
            <w:tcBorders>
              <w:bottom w:val="single" w:sz="6" w:space="0" w:color="000000"/>
            </w:tcBorders>
          </w:tcPr>
          <w:p>
            <w:pPr>
              <w:pStyle w:val="TableParagraph"/>
              <w:ind w:right="216"/>
              <w:rPr>
                <w:sz w:val="18"/>
              </w:rPr>
            </w:pPr>
            <w:r>
              <w:rPr>
                <w:sz w:val="18"/>
              </w:rPr>
              <w:t>1,306,675</w:t>
            </w:r>
          </w:p>
        </w:tc>
        <w:tc>
          <w:tcPr>
            <w:tcW w:w="1392" w:type="dxa"/>
            <w:tcBorders>
              <w:bottom w:val="single" w:sz="6" w:space="0" w:color="000000"/>
            </w:tcBorders>
          </w:tcPr>
          <w:p>
            <w:pPr>
              <w:pStyle w:val="TableParagraph"/>
              <w:ind w:right="259"/>
              <w:rPr>
                <w:sz w:val="18"/>
              </w:rPr>
            </w:pPr>
            <w:r>
              <w:rPr>
                <w:sz w:val="18"/>
              </w:rPr>
              <w:t>1,150,015</w:t>
            </w:r>
          </w:p>
        </w:tc>
        <w:tc>
          <w:tcPr>
            <w:tcW w:w="1428" w:type="dxa"/>
            <w:tcBorders>
              <w:bottom w:val="single" w:sz="6" w:space="0" w:color="000000"/>
            </w:tcBorders>
          </w:tcPr>
          <w:p>
            <w:pPr>
              <w:pStyle w:val="TableParagraph"/>
              <w:ind w:right="338"/>
              <w:rPr>
                <w:sz w:val="18"/>
              </w:rPr>
            </w:pPr>
            <w:r>
              <w:rPr>
                <w:sz w:val="18"/>
              </w:rPr>
              <w:t>955,689</w:t>
            </w:r>
          </w:p>
        </w:tc>
        <w:tc>
          <w:tcPr>
            <w:tcW w:w="1149" w:type="dxa"/>
            <w:tcBorders>
              <w:bottom w:val="single" w:sz="6" w:space="0" w:color="000000"/>
            </w:tcBorders>
          </w:tcPr>
          <w:p>
            <w:pPr>
              <w:pStyle w:val="TableParagraph"/>
              <w:ind w:right="48"/>
              <w:rPr>
                <w:sz w:val="18"/>
              </w:rPr>
            </w:pPr>
            <w:r>
              <w:rPr>
                <w:sz w:val="18"/>
              </w:rPr>
              <w:t>774,454</w:t>
            </w:r>
          </w:p>
        </w:tc>
      </w:tr>
      <w:tr>
        <w:trPr>
          <w:trHeight w:val="211" w:hRule="exact"/>
        </w:trPr>
        <w:tc>
          <w:tcPr>
            <w:tcW w:w="1270" w:type="dxa"/>
            <w:tcBorders>
              <w:top w:val="single" w:sz="6" w:space="0" w:color="000000"/>
            </w:tcBorders>
          </w:tcPr>
          <w:p>
            <w:pPr>
              <w:pStyle w:val="TableParagraph"/>
              <w:spacing w:before="8"/>
              <w:ind w:right="305"/>
              <w:rPr>
                <w:sz w:val="18"/>
              </w:rPr>
            </w:pPr>
            <w:r>
              <w:rPr>
                <w:sz w:val="18"/>
              </w:rPr>
              <w:t>291,973</w:t>
            </w:r>
          </w:p>
        </w:tc>
        <w:tc>
          <w:tcPr>
            <w:tcW w:w="1440" w:type="dxa"/>
            <w:tcBorders>
              <w:top w:val="single" w:sz="6" w:space="0" w:color="000000"/>
            </w:tcBorders>
          </w:tcPr>
          <w:p>
            <w:pPr>
              <w:pStyle w:val="TableParagraph"/>
              <w:spacing w:before="8"/>
              <w:ind w:right="218"/>
              <w:rPr>
                <w:sz w:val="18"/>
              </w:rPr>
            </w:pPr>
            <w:r>
              <w:rPr>
                <w:sz w:val="18"/>
              </w:rPr>
              <w:t>193,804</w:t>
            </w:r>
          </w:p>
        </w:tc>
        <w:tc>
          <w:tcPr>
            <w:tcW w:w="1351" w:type="dxa"/>
            <w:tcBorders>
              <w:top w:val="single" w:sz="6" w:space="0" w:color="000000"/>
            </w:tcBorders>
          </w:tcPr>
          <w:p>
            <w:pPr>
              <w:pStyle w:val="TableParagraph"/>
              <w:spacing w:before="8"/>
              <w:ind w:right="216"/>
              <w:rPr>
                <w:sz w:val="18"/>
              </w:rPr>
            </w:pPr>
            <w:r>
              <w:rPr>
                <w:sz w:val="18"/>
              </w:rPr>
              <w:t>72,611</w:t>
            </w:r>
          </w:p>
        </w:tc>
        <w:tc>
          <w:tcPr>
            <w:tcW w:w="1392" w:type="dxa"/>
            <w:tcBorders>
              <w:top w:val="single" w:sz="6" w:space="0" w:color="000000"/>
            </w:tcBorders>
          </w:tcPr>
          <w:p>
            <w:pPr>
              <w:pStyle w:val="TableParagraph"/>
              <w:spacing w:before="8"/>
              <w:ind w:right="259"/>
              <w:rPr>
                <w:sz w:val="18"/>
              </w:rPr>
            </w:pPr>
            <w:r>
              <w:rPr>
                <w:sz w:val="18"/>
              </w:rPr>
              <w:t>87,261</w:t>
            </w:r>
          </w:p>
        </w:tc>
        <w:tc>
          <w:tcPr>
            <w:tcW w:w="1428" w:type="dxa"/>
            <w:tcBorders>
              <w:top w:val="single" w:sz="6" w:space="0" w:color="000000"/>
            </w:tcBorders>
          </w:tcPr>
          <w:p>
            <w:pPr>
              <w:pStyle w:val="TableParagraph"/>
              <w:spacing w:before="8"/>
              <w:ind w:right="338"/>
              <w:rPr>
                <w:sz w:val="18"/>
              </w:rPr>
            </w:pPr>
            <w:r>
              <w:rPr>
                <w:sz w:val="18"/>
              </w:rPr>
              <w:t>102,040</w:t>
            </w:r>
          </w:p>
        </w:tc>
        <w:tc>
          <w:tcPr>
            <w:tcW w:w="1149" w:type="dxa"/>
            <w:tcBorders>
              <w:top w:val="single" w:sz="6" w:space="0" w:color="000000"/>
            </w:tcBorders>
          </w:tcPr>
          <w:p>
            <w:pPr>
              <w:pStyle w:val="TableParagraph"/>
              <w:spacing w:before="8"/>
              <w:ind w:right="48"/>
              <w:rPr>
                <w:sz w:val="18"/>
              </w:rPr>
            </w:pPr>
            <w:r>
              <w:rPr>
                <w:sz w:val="18"/>
              </w:rPr>
              <w:t>85,980</w:t>
            </w:r>
          </w:p>
        </w:tc>
      </w:tr>
    </w:tbl>
    <w:tbl>
      <w:tblPr>
        <w:tblW w:w="0" w:type="auto"/>
        <w:jc w:val="left"/>
        <w:tblInd w:w="97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15"/>
        <w:gridCol w:w="1440"/>
        <w:gridCol w:w="1351"/>
        <w:gridCol w:w="1349"/>
        <w:gridCol w:w="1394"/>
        <w:gridCol w:w="1227"/>
      </w:tblGrid>
      <w:tr>
        <w:trPr>
          <w:trHeight w:val="197" w:hRule="exact"/>
        </w:trPr>
        <w:tc>
          <w:tcPr>
            <w:tcW w:w="1415" w:type="dxa"/>
          </w:tcPr>
          <w:p>
            <w:pPr>
              <w:pStyle w:val="TableParagraph"/>
              <w:spacing w:before="2"/>
              <w:ind w:left="549"/>
              <w:jc w:val="left"/>
              <w:rPr>
                <w:sz w:val="18"/>
              </w:rPr>
            </w:pPr>
            <w:r>
              <w:rPr>
                <w:sz w:val="18"/>
              </w:rPr>
              <w:t>32,336</w:t>
            </w:r>
          </w:p>
        </w:tc>
        <w:tc>
          <w:tcPr>
            <w:tcW w:w="1440" w:type="dxa"/>
            <w:tcBorders>
              <w:bottom w:val="single" w:sz="6" w:space="0" w:color="000000"/>
            </w:tcBorders>
          </w:tcPr>
          <w:p>
            <w:pPr>
              <w:pStyle w:val="TableParagraph"/>
              <w:spacing w:before="2"/>
              <w:ind w:right="219"/>
              <w:rPr>
                <w:sz w:val="18"/>
              </w:rPr>
            </w:pPr>
            <w:r>
              <w:rPr>
                <w:sz w:val="18"/>
              </w:rPr>
              <w:t>36,361</w:t>
            </w:r>
          </w:p>
        </w:tc>
        <w:tc>
          <w:tcPr>
            <w:tcW w:w="1351" w:type="dxa"/>
            <w:tcBorders>
              <w:bottom w:val="single" w:sz="6" w:space="0" w:color="000000"/>
            </w:tcBorders>
          </w:tcPr>
          <w:p>
            <w:pPr>
              <w:pStyle w:val="TableParagraph"/>
              <w:spacing w:before="2"/>
              <w:ind w:right="217"/>
              <w:rPr>
                <w:sz w:val="18"/>
              </w:rPr>
            </w:pPr>
            <w:r>
              <w:rPr>
                <w:sz w:val="18"/>
              </w:rPr>
              <w:t>18,725</w:t>
            </w:r>
          </w:p>
        </w:tc>
        <w:tc>
          <w:tcPr>
            <w:tcW w:w="1349" w:type="dxa"/>
            <w:tcBorders>
              <w:bottom w:val="single" w:sz="6" w:space="0" w:color="000000"/>
            </w:tcBorders>
          </w:tcPr>
          <w:p>
            <w:pPr>
              <w:pStyle w:val="TableParagraph"/>
              <w:spacing w:line="209" w:lineRule="exact"/>
              <w:ind w:right="217"/>
              <w:rPr>
                <w:sz w:val="12"/>
              </w:rPr>
            </w:pPr>
            <w:r>
              <w:rPr>
                <w:sz w:val="18"/>
              </w:rPr>
              <w:t>6,827</w:t>
            </w:r>
            <w:r>
              <w:rPr>
                <w:position w:val="6"/>
                <w:sz w:val="12"/>
              </w:rPr>
              <w:t>(6)</w:t>
            </w:r>
          </w:p>
        </w:tc>
        <w:tc>
          <w:tcPr>
            <w:tcW w:w="2622" w:type="dxa"/>
            <w:gridSpan w:val="2"/>
            <w:tcBorders>
              <w:bottom w:val="single" w:sz="6" w:space="0" w:color="000000"/>
            </w:tcBorders>
          </w:tcPr>
          <w:p>
            <w:pPr>
              <w:pStyle w:val="TableParagraph"/>
              <w:tabs>
                <w:tab w:pos="2122" w:val="left" w:leader="none"/>
              </w:tabs>
              <w:spacing w:line="209" w:lineRule="exact"/>
              <w:ind w:left="303"/>
              <w:jc w:val="left"/>
              <w:rPr>
                <w:sz w:val="12"/>
              </w:rPr>
            </w:pPr>
            <w:r>
              <w:rPr>
                <w:sz w:val="18"/>
              </w:rPr>
              <w:t>(13,696)</w:t>
            </w:r>
            <w:r>
              <w:rPr>
                <w:position w:val="6"/>
                <w:sz w:val="12"/>
              </w:rPr>
              <w:t>(7)</w:t>
              <w:tab/>
            </w:r>
            <w:r>
              <w:rPr>
                <w:sz w:val="18"/>
              </w:rPr>
              <w:t>620</w:t>
            </w:r>
            <w:r>
              <w:rPr>
                <w:position w:val="6"/>
                <w:sz w:val="12"/>
              </w:rPr>
              <w:t>(8)</w:t>
            </w:r>
          </w:p>
        </w:tc>
      </w:tr>
      <w:tr>
        <w:trPr>
          <w:trHeight w:val="227" w:hRule="exact"/>
        </w:trPr>
        <w:tc>
          <w:tcPr>
            <w:tcW w:w="1415" w:type="dxa"/>
          </w:tcPr>
          <w:p>
            <w:pPr>
              <w:pStyle w:val="TableParagraph"/>
              <w:spacing w:before="3"/>
              <w:ind w:left="448"/>
              <w:jc w:val="left"/>
              <w:rPr>
                <w:sz w:val="18"/>
              </w:rPr>
            </w:pPr>
            <w:r>
              <w:rPr>
                <w:sz w:val="18"/>
              </w:rPr>
              <w:t>259,637</w:t>
            </w:r>
          </w:p>
        </w:tc>
        <w:tc>
          <w:tcPr>
            <w:tcW w:w="1440" w:type="dxa"/>
          </w:tcPr>
          <w:p>
            <w:pPr>
              <w:pStyle w:val="TableParagraph"/>
              <w:spacing w:before="3"/>
              <w:ind w:right="219"/>
              <w:rPr>
                <w:sz w:val="18"/>
              </w:rPr>
            </w:pPr>
            <w:r>
              <w:rPr>
                <w:sz w:val="18"/>
              </w:rPr>
              <w:t>157,443</w:t>
            </w:r>
          </w:p>
        </w:tc>
        <w:tc>
          <w:tcPr>
            <w:tcW w:w="1351" w:type="dxa"/>
          </w:tcPr>
          <w:p>
            <w:pPr>
              <w:pStyle w:val="TableParagraph"/>
              <w:spacing w:before="3"/>
              <w:ind w:right="217"/>
              <w:rPr>
                <w:sz w:val="18"/>
              </w:rPr>
            </w:pPr>
            <w:r>
              <w:rPr>
                <w:sz w:val="18"/>
              </w:rPr>
              <w:t>53,886</w:t>
            </w:r>
          </w:p>
        </w:tc>
        <w:tc>
          <w:tcPr>
            <w:tcW w:w="1349" w:type="dxa"/>
          </w:tcPr>
          <w:p>
            <w:pPr>
              <w:pStyle w:val="TableParagraph"/>
              <w:spacing w:before="3"/>
              <w:ind w:right="217"/>
              <w:rPr>
                <w:sz w:val="18"/>
              </w:rPr>
            </w:pPr>
            <w:r>
              <w:rPr>
                <w:sz w:val="18"/>
              </w:rPr>
              <w:t>80,434</w:t>
            </w:r>
          </w:p>
        </w:tc>
        <w:tc>
          <w:tcPr>
            <w:tcW w:w="1394" w:type="dxa"/>
          </w:tcPr>
          <w:p>
            <w:pPr>
              <w:pStyle w:val="TableParagraph"/>
              <w:spacing w:before="3"/>
              <w:ind w:right="263"/>
              <w:rPr>
                <w:sz w:val="18"/>
              </w:rPr>
            </w:pPr>
            <w:r>
              <w:rPr>
                <w:sz w:val="18"/>
              </w:rPr>
              <w:t>115,736</w:t>
            </w:r>
          </w:p>
        </w:tc>
        <w:tc>
          <w:tcPr>
            <w:tcW w:w="1227" w:type="dxa"/>
          </w:tcPr>
          <w:p>
            <w:pPr>
              <w:pStyle w:val="TableParagraph"/>
              <w:spacing w:before="3"/>
              <w:ind w:right="50"/>
              <w:rPr>
                <w:sz w:val="18"/>
              </w:rPr>
            </w:pPr>
            <w:r>
              <w:rPr>
                <w:sz w:val="18"/>
              </w:rPr>
              <w:t>85,360</w:t>
            </w:r>
          </w:p>
        </w:tc>
      </w:tr>
      <w:tr>
        <w:trPr>
          <w:trHeight w:val="207" w:hRule="exact"/>
        </w:trPr>
        <w:tc>
          <w:tcPr>
            <w:tcW w:w="1415" w:type="dxa"/>
          </w:tcPr>
          <w:p>
            <w:pPr>
              <w:pStyle w:val="TableParagraph"/>
              <w:ind w:left="448"/>
              <w:jc w:val="left"/>
              <w:rPr>
                <w:sz w:val="18"/>
              </w:rPr>
            </w:pPr>
            <w:r>
              <w:rPr>
                <w:sz w:val="18"/>
              </w:rPr>
              <w:t>105,353</w:t>
            </w:r>
          </w:p>
        </w:tc>
        <w:tc>
          <w:tcPr>
            <w:tcW w:w="1440" w:type="dxa"/>
            <w:tcBorders>
              <w:bottom w:val="single" w:sz="6" w:space="0" w:color="000000"/>
            </w:tcBorders>
          </w:tcPr>
          <w:p>
            <w:pPr>
              <w:pStyle w:val="TableParagraph"/>
              <w:ind w:right="219"/>
              <w:rPr>
                <w:sz w:val="18"/>
              </w:rPr>
            </w:pPr>
            <w:r>
              <w:rPr>
                <w:sz w:val="18"/>
              </w:rPr>
              <w:t>60,058</w:t>
            </w:r>
          </w:p>
        </w:tc>
        <w:tc>
          <w:tcPr>
            <w:tcW w:w="1351" w:type="dxa"/>
            <w:tcBorders>
              <w:bottom w:val="single" w:sz="6" w:space="0" w:color="000000"/>
            </w:tcBorders>
          </w:tcPr>
          <w:p>
            <w:pPr>
              <w:pStyle w:val="TableParagraph"/>
              <w:ind w:right="217"/>
              <w:rPr>
                <w:sz w:val="18"/>
              </w:rPr>
            </w:pPr>
            <w:r>
              <w:rPr>
                <w:sz w:val="18"/>
              </w:rPr>
              <w:t>20,738</w:t>
            </w:r>
          </w:p>
        </w:tc>
        <w:tc>
          <w:tcPr>
            <w:tcW w:w="1349" w:type="dxa"/>
            <w:tcBorders>
              <w:bottom w:val="single" w:sz="6" w:space="0" w:color="000000"/>
            </w:tcBorders>
          </w:tcPr>
          <w:p>
            <w:pPr>
              <w:pStyle w:val="TableParagraph"/>
              <w:ind w:right="217"/>
              <w:rPr>
                <w:sz w:val="18"/>
              </w:rPr>
            </w:pPr>
            <w:r>
              <w:rPr>
                <w:sz w:val="18"/>
              </w:rPr>
              <w:t>29,829</w:t>
            </w:r>
          </w:p>
        </w:tc>
        <w:tc>
          <w:tcPr>
            <w:tcW w:w="1394" w:type="dxa"/>
            <w:tcBorders>
              <w:bottom w:val="single" w:sz="6" w:space="0" w:color="000000"/>
            </w:tcBorders>
          </w:tcPr>
          <w:p>
            <w:pPr>
              <w:pStyle w:val="TableParagraph"/>
              <w:ind w:right="263"/>
              <w:rPr>
                <w:sz w:val="18"/>
              </w:rPr>
            </w:pPr>
            <w:r>
              <w:rPr>
                <w:sz w:val="18"/>
              </w:rPr>
              <w:t>41,231</w:t>
            </w:r>
          </w:p>
        </w:tc>
        <w:tc>
          <w:tcPr>
            <w:tcW w:w="1227" w:type="dxa"/>
            <w:tcBorders>
              <w:bottom w:val="single" w:sz="6" w:space="0" w:color="000000"/>
            </w:tcBorders>
          </w:tcPr>
          <w:p>
            <w:pPr>
              <w:pStyle w:val="TableParagraph"/>
              <w:ind w:right="50"/>
              <w:rPr>
                <w:sz w:val="18"/>
              </w:rPr>
            </w:pPr>
            <w:r>
              <w:rPr>
                <w:sz w:val="18"/>
              </w:rPr>
              <w:t>27,408</w:t>
            </w:r>
          </w:p>
        </w:tc>
      </w:tr>
      <w:tr>
        <w:trPr>
          <w:trHeight w:val="221" w:hRule="exact"/>
        </w:trPr>
        <w:tc>
          <w:tcPr>
            <w:tcW w:w="1415" w:type="dxa"/>
          </w:tcPr>
          <w:p>
            <w:pPr>
              <w:pStyle w:val="TableParagraph"/>
              <w:spacing w:before="22"/>
              <w:ind w:left="203"/>
              <w:jc w:val="left"/>
              <w:rPr>
                <w:sz w:val="12"/>
              </w:rPr>
            </w:pPr>
            <w:r>
              <w:rPr>
                <w:sz w:val="18"/>
              </w:rPr>
              <w:t>$154,284</w:t>
            </w:r>
            <w:r>
              <w:rPr>
                <w:position w:val="6"/>
                <w:sz w:val="12"/>
              </w:rPr>
              <w:t>(4)</w:t>
            </w:r>
          </w:p>
        </w:tc>
        <w:tc>
          <w:tcPr>
            <w:tcW w:w="1440" w:type="dxa"/>
            <w:tcBorders>
              <w:top w:val="single" w:sz="6" w:space="0" w:color="000000"/>
              <w:bottom w:val="double" w:sz="5" w:space="0" w:color="000000"/>
            </w:tcBorders>
          </w:tcPr>
          <w:p>
            <w:pPr>
              <w:pStyle w:val="TableParagraph"/>
              <w:spacing w:before="14"/>
              <w:ind w:right="219"/>
              <w:rPr>
                <w:sz w:val="12"/>
              </w:rPr>
            </w:pPr>
            <w:r>
              <w:rPr>
                <w:sz w:val="18"/>
              </w:rPr>
              <w:t>$97,385</w:t>
            </w:r>
            <w:r>
              <w:rPr>
                <w:position w:val="6"/>
                <w:sz w:val="12"/>
              </w:rPr>
              <w:t>(5)</w:t>
            </w:r>
          </w:p>
        </w:tc>
        <w:tc>
          <w:tcPr>
            <w:tcW w:w="1351" w:type="dxa"/>
            <w:tcBorders>
              <w:top w:val="single" w:sz="6" w:space="0" w:color="000000"/>
              <w:bottom w:val="double" w:sz="5" w:space="0" w:color="000000"/>
            </w:tcBorders>
          </w:tcPr>
          <w:p>
            <w:pPr>
              <w:pStyle w:val="TableParagraph"/>
              <w:spacing w:before="18"/>
              <w:ind w:right="217"/>
              <w:rPr>
                <w:sz w:val="18"/>
              </w:rPr>
            </w:pPr>
            <w:r>
              <w:rPr>
                <w:sz w:val="18"/>
              </w:rPr>
              <w:t>$33,148</w:t>
            </w:r>
          </w:p>
        </w:tc>
        <w:tc>
          <w:tcPr>
            <w:tcW w:w="1349" w:type="dxa"/>
            <w:tcBorders>
              <w:top w:val="single" w:sz="6" w:space="0" w:color="000000"/>
              <w:bottom w:val="double" w:sz="5" w:space="0" w:color="000000"/>
            </w:tcBorders>
          </w:tcPr>
          <w:p>
            <w:pPr>
              <w:pStyle w:val="TableParagraph"/>
              <w:spacing w:before="18"/>
              <w:ind w:right="217"/>
              <w:rPr>
                <w:sz w:val="18"/>
              </w:rPr>
            </w:pPr>
            <w:r>
              <w:rPr>
                <w:sz w:val="18"/>
              </w:rPr>
              <w:t>$50,605</w:t>
            </w:r>
          </w:p>
        </w:tc>
        <w:tc>
          <w:tcPr>
            <w:tcW w:w="1394" w:type="dxa"/>
            <w:tcBorders>
              <w:top w:val="single" w:sz="6" w:space="0" w:color="000000"/>
              <w:bottom w:val="double" w:sz="5" w:space="0" w:color="000000"/>
            </w:tcBorders>
          </w:tcPr>
          <w:p>
            <w:pPr>
              <w:pStyle w:val="TableParagraph"/>
              <w:spacing w:before="18"/>
              <w:ind w:right="263"/>
              <w:rPr>
                <w:sz w:val="18"/>
              </w:rPr>
            </w:pPr>
            <w:r>
              <w:rPr>
                <w:sz w:val="18"/>
              </w:rPr>
              <w:t>$74,505</w:t>
            </w:r>
          </w:p>
        </w:tc>
        <w:tc>
          <w:tcPr>
            <w:tcW w:w="1227" w:type="dxa"/>
            <w:tcBorders>
              <w:top w:val="single" w:sz="6" w:space="0" w:color="000000"/>
              <w:bottom w:val="double" w:sz="5" w:space="0" w:color="000000"/>
            </w:tcBorders>
          </w:tcPr>
          <w:p>
            <w:pPr>
              <w:pStyle w:val="TableParagraph"/>
              <w:spacing w:before="18"/>
              <w:ind w:right="50"/>
              <w:rPr>
                <w:sz w:val="18"/>
              </w:rPr>
            </w:pPr>
            <w:r>
              <w:rPr>
                <w:sz w:val="18"/>
              </w:rPr>
              <w:t>$57,952</w:t>
            </w:r>
          </w:p>
        </w:tc>
      </w:tr>
      <w:tr>
        <w:trPr>
          <w:trHeight w:val="226" w:hRule="exact"/>
        </w:trPr>
        <w:tc>
          <w:tcPr>
            <w:tcW w:w="1415" w:type="dxa"/>
          </w:tcPr>
          <w:p>
            <w:pPr>
              <w:pStyle w:val="TableParagraph"/>
              <w:spacing w:before="24"/>
              <w:ind w:left="606"/>
              <w:jc w:val="left"/>
              <w:rPr>
                <w:sz w:val="12"/>
              </w:rPr>
            </w:pPr>
            <w:r>
              <w:rPr>
                <w:sz w:val="18"/>
              </w:rPr>
              <w:t>$.72</w:t>
            </w:r>
            <w:r>
              <w:rPr>
                <w:position w:val="6"/>
                <w:sz w:val="12"/>
              </w:rPr>
              <w:t>(4)</w:t>
            </w:r>
          </w:p>
        </w:tc>
        <w:tc>
          <w:tcPr>
            <w:tcW w:w="1440" w:type="dxa"/>
            <w:tcBorders>
              <w:top w:val="double" w:sz="5" w:space="0" w:color="000000"/>
            </w:tcBorders>
          </w:tcPr>
          <w:p>
            <w:pPr>
              <w:pStyle w:val="TableParagraph"/>
              <w:spacing w:before="8"/>
              <w:ind w:right="219"/>
              <w:rPr>
                <w:sz w:val="10"/>
              </w:rPr>
            </w:pPr>
            <w:r>
              <w:rPr>
                <w:sz w:val="18"/>
              </w:rPr>
              <w:t>$.47</w:t>
            </w:r>
            <w:r>
              <w:rPr>
                <w:position w:val="6"/>
                <w:sz w:val="10"/>
              </w:rPr>
              <w:t>(5)</w:t>
            </w:r>
          </w:p>
        </w:tc>
        <w:tc>
          <w:tcPr>
            <w:tcW w:w="1351" w:type="dxa"/>
            <w:tcBorders>
              <w:top w:val="double" w:sz="5" w:space="0" w:color="000000"/>
            </w:tcBorders>
          </w:tcPr>
          <w:p>
            <w:pPr>
              <w:pStyle w:val="TableParagraph"/>
              <w:spacing w:before="8"/>
              <w:ind w:right="217"/>
              <w:rPr>
                <w:sz w:val="18"/>
              </w:rPr>
            </w:pPr>
            <w:r>
              <w:rPr>
                <w:sz w:val="18"/>
              </w:rPr>
              <w:t>$.17</w:t>
            </w:r>
          </w:p>
        </w:tc>
        <w:tc>
          <w:tcPr>
            <w:tcW w:w="1349" w:type="dxa"/>
            <w:tcBorders>
              <w:top w:val="double" w:sz="5" w:space="0" w:color="000000"/>
            </w:tcBorders>
          </w:tcPr>
          <w:p>
            <w:pPr>
              <w:pStyle w:val="TableParagraph"/>
              <w:spacing w:before="8"/>
              <w:ind w:right="217"/>
              <w:rPr>
                <w:sz w:val="18"/>
              </w:rPr>
            </w:pPr>
            <w:r>
              <w:rPr>
                <w:sz w:val="18"/>
              </w:rPr>
              <w:t>$.26</w:t>
            </w:r>
          </w:p>
        </w:tc>
        <w:tc>
          <w:tcPr>
            <w:tcW w:w="1394" w:type="dxa"/>
            <w:tcBorders>
              <w:top w:val="double" w:sz="5" w:space="0" w:color="000000"/>
            </w:tcBorders>
          </w:tcPr>
          <w:p>
            <w:pPr>
              <w:pStyle w:val="TableParagraph"/>
              <w:spacing w:before="8"/>
              <w:ind w:right="263"/>
              <w:rPr>
                <w:sz w:val="18"/>
              </w:rPr>
            </w:pPr>
            <w:r>
              <w:rPr>
                <w:sz w:val="18"/>
              </w:rPr>
              <w:t>$.36</w:t>
            </w:r>
          </w:p>
        </w:tc>
        <w:tc>
          <w:tcPr>
            <w:tcW w:w="1227" w:type="dxa"/>
            <w:tcBorders>
              <w:top w:val="double" w:sz="5" w:space="0" w:color="000000"/>
            </w:tcBorders>
          </w:tcPr>
          <w:p>
            <w:pPr>
              <w:pStyle w:val="TableParagraph"/>
              <w:spacing w:before="8"/>
              <w:ind w:right="50"/>
              <w:rPr>
                <w:sz w:val="18"/>
              </w:rPr>
            </w:pPr>
            <w:r>
              <w:rPr>
                <w:sz w:val="18"/>
              </w:rPr>
              <w:t>$.27</w:t>
            </w:r>
          </w:p>
        </w:tc>
      </w:tr>
      <w:tr>
        <w:trPr>
          <w:trHeight w:val="219" w:hRule="exact"/>
        </w:trPr>
        <w:tc>
          <w:tcPr>
            <w:tcW w:w="1415" w:type="dxa"/>
          </w:tcPr>
          <w:p>
            <w:pPr>
              <w:pStyle w:val="TableParagraph"/>
              <w:spacing w:before="4"/>
              <w:ind w:left="606"/>
              <w:jc w:val="left"/>
              <w:rPr>
                <w:sz w:val="12"/>
              </w:rPr>
            </w:pPr>
            <w:r>
              <w:rPr>
                <w:sz w:val="18"/>
              </w:rPr>
              <w:t>$.70</w:t>
            </w:r>
            <w:r>
              <w:rPr>
                <w:position w:val="6"/>
                <w:sz w:val="12"/>
              </w:rPr>
              <w:t>(4)</w:t>
            </w:r>
          </w:p>
        </w:tc>
        <w:tc>
          <w:tcPr>
            <w:tcW w:w="1440" w:type="dxa"/>
          </w:tcPr>
          <w:p>
            <w:pPr>
              <w:pStyle w:val="TableParagraph"/>
              <w:spacing w:before="7"/>
              <w:ind w:right="219"/>
              <w:rPr>
                <w:sz w:val="10"/>
              </w:rPr>
            </w:pPr>
            <w:r>
              <w:rPr>
                <w:sz w:val="18"/>
              </w:rPr>
              <w:t>$.46</w:t>
            </w:r>
            <w:r>
              <w:rPr>
                <w:position w:val="6"/>
                <w:sz w:val="10"/>
              </w:rPr>
              <w:t>(5)</w:t>
            </w:r>
          </w:p>
        </w:tc>
        <w:tc>
          <w:tcPr>
            <w:tcW w:w="1351" w:type="dxa"/>
          </w:tcPr>
          <w:p>
            <w:pPr>
              <w:pStyle w:val="TableParagraph"/>
              <w:spacing w:before="7"/>
              <w:ind w:right="217"/>
              <w:rPr>
                <w:sz w:val="18"/>
              </w:rPr>
            </w:pPr>
            <w:r>
              <w:rPr>
                <w:sz w:val="18"/>
              </w:rPr>
              <w:t>$.17</w:t>
            </w:r>
          </w:p>
        </w:tc>
        <w:tc>
          <w:tcPr>
            <w:tcW w:w="1349" w:type="dxa"/>
          </w:tcPr>
          <w:p>
            <w:pPr>
              <w:pStyle w:val="TableParagraph"/>
              <w:spacing w:before="7"/>
              <w:ind w:right="217"/>
              <w:rPr>
                <w:sz w:val="18"/>
              </w:rPr>
            </w:pPr>
            <w:r>
              <w:rPr>
                <w:sz w:val="18"/>
              </w:rPr>
              <w:t>$.26</w:t>
            </w:r>
          </w:p>
        </w:tc>
        <w:tc>
          <w:tcPr>
            <w:tcW w:w="1394" w:type="dxa"/>
          </w:tcPr>
          <w:p>
            <w:pPr>
              <w:pStyle w:val="TableParagraph"/>
              <w:spacing w:before="7"/>
              <w:ind w:right="263"/>
              <w:rPr>
                <w:sz w:val="18"/>
              </w:rPr>
            </w:pPr>
            <w:r>
              <w:rPr>
                <w:sz w:val="18"/>
              </w:rPr>
              <w:t>$.36</w:t>
            </w:r>
          </w:p>
        </w:tc>
        <w:tc>
          <w:tcPr>
            <w:tcW w:w="1227" w:type="dxa"/>
          </w:tcPr>
          <w:p>
            <w:pPr>
              <w:pStyle w:val="TableParagraph"/>
              <w:spacing w:before="7"/>
              <w:ind w:right="50"/>
              <w:rPr>
                <w:sz w:val="18"/>
              </w:rPr>
            </w:pPr>
            <w:r>
              <w:rPr>
                <w:sz w:val="18"/>
              </w:rPr>
              <w:t>$.27</w:t>
            </w:r>
          </w:p>
        </w:tc>
      </w:tr>
      <w:tr>
        <w:trPr>
          <w:trHeight w:val="211" w:hRule="exact"/>
        </w:trPr>
        <w:tc>
          <w:tcPr>
            <w:tcW w:w="1415" w:type="dxa"/>
          </w:tcPr>
          <w:p>
            <w:pPr>
              <w:pStyle w:val="TableParagraph"/>
              <w:ind w:left="448"/>
              <w:jc w:val="left"/>
              <w:rPr>
                <w:sz w:val="18"/>
              </w:rPr>
            </w:pPr>
            <w:r>
              <w:rPr>
                <w:sz w:val="18"/>
              </w:rPr>
              <w:t>$.02578</w:t>
            </w:r>
          </w:p>
        </w:tc>
        <w:tc>
          <w:tcPr>
            <w:tcW w:w="1440" w:type="dxa"/>
          </w:tcPr>
          <w:p>
            <w:pPr>
              <w:pStyle w:val="TableParagraph"/>
              <w:ind w:right="219"/>
              <w:rPr>
                <w:sz w:val="18"/>
              </w:rPr>
            </w:pPr>
            <w:r>
              <w:rPr>
                <w:sz w:val="18"/>
              </w:rPr>
              <w:t>$.02355</w:t>
            </w:r>
          </w:p>
        </w:tc>
        <w:tc>
          <w:tcPr>
            <w:tcW w:w="1351" w:type="dxa"/>
          </w:tcPr>
          <w:p>
            <w:pPr>
              <w:pStyle w:val="TableParagraph"/>
              <w:ind w:right="217"/>
              <w:rPr>
                <w:sz w:val="18"/>
              </w:rPr>
            </w:pPr>
            <w:r>
              <w:rPr>
                <w:sz w:val="18"/>
              </w:rPr>
              <w:t>$.02222</w:t>
            </w:r>
          </w:p>
        </w:tc>
        <w:tc>
          <w:tcPr>
            <w:tcW w:w="1349" w:type="dxa"/>
          </w:tcPr>
          <w:p>
            <w:pPr>
              <w:pStyle w:val="TableParagraph"/>
              <w:ind w:right="217"/>
              <w:rPr>
                <w:sz w:val="18"/>
              </w:rPr>
            </w:pPr>
            <w:r>
              <w:rPr>
                <w:sz w:val="18"/>
              </w:rPr>
              <w:t>$.02149</w:t>
            </w:r>
          </w:p>
        </w:tc>
        <w:tc>
          <w:tcPr>
            <w:tcW w:w="1394" w:type="dxa"/>
          </w:tcPr>
          <w:p>
            <w:pPr>
              <w:pStyle w:val="TableParagraph"/>
              <w:ind w:right="263"/>
              <w:rPr>
                <w:sz w:val="18"/>
              </w:rPr>
            </w:pPr>
            <w:r>
              <w:rPr>
                <w:sz w:val="18"/>
              </w:rPr>
              <w:t>$.02073</w:t>
            </w:r>
          </w:p>
        </w:tc>
        <w:tc>
          <w:tcPr>
            <w:tcW w:w="1227" w:type="dxa"/>
          </w:tcPr>
          <w:p>
            <w:pPr>
              <w:pStyle w:val="TableParagraph"/>
              <w:ind w:right="50"/>
              <w:rPr>
                <w:sz w:val="18"/>
              </w:rPr>
            </w:pPr>
            <w:r>
              <w:rPr>
                <w:sz w:val="18"/>
              </w:rPr>
              <w:t>$.01962</w:t>
            </w:r>
          </w:p>
        </w:tc>
      </w:tr>
      <w:tr>
        <w:trPr>
          <w:trHeight w:val="211" w:hRule="exact"/>
        </w:trPr>
        <w:tc>
          <w:tcPr>
            <w:tcW w:w="1415" w:type="dxa"/>
          </w:tcPr>
          <w:p>
            <w:pPr>
              <w:pStyle w:val="TableParagraph"/>
              <w:ind w:left="193"/>
              <w:jc w:val="left"/>
              <w:rPr>
                <w:sz w:val="18"/>
              </w:rPr>
            </w:pPr>
            <w:r>
              <w:rPr>
                <w:sz w:val="18"/>
              </w:rPr>
              <w:t>$2,576,037</w:t>
            </w:r>
          </w:p>
        </w:tc>
        <w:tc>
          <w:tcPr>
            <w:tcW w:w="1440" w:type="dxa"/>
          </w:tcPr>
          <w:p>
            <w:pPr>
              <w:pStyle w:val="TableParagraph"/>
              <w:ind w:right="219"/>
              <w:rPr>
                <w:sz w:val="18"/>
              </w:rPr>
            </w:pPr>
            <w:r>
              <w:rPr>
                <w:sz w:val="18"/>
              </w:rPr>
              <w:t>$2,368,856</w:t>
            </w:r>
          </w:p>
        </w:tc>
        <w:tc>
          <w:tcPr>
            <w:tcW w:w="1351" w:type="dxa"/>
          </w:tcPr>
          <w:p>
            <w:pPr>
              <w:pStyle w:val="TableParagraph"/>
              <w:ind w:right="217"/>
              <w:rPr>
                <w:sz w:val="18"/>
              </w:rPr>
            </w:pPr>
            <w:r>
              <w:rPr>
                <w:sz w:val="18"/>
              </w:rPr>
              <w:t>$1,854,331</w:t>
            </w:r>
          </w:p>
        </w:tc>
        <w:tc>
          <w:tcPr>
            <w:tcW w:w="1349" w:type="dxa"/>
          </w:tcPr>
          <w:p>
            <w:pPr>
              <w:pStyle w:val="TableParagraph"/>
              <w:ind w:right="217"/>
              <w:rPr>
                <w:sz w:val="18"/>
              </w:rPr>
            </w:pPr>
            <w:r>
              <w:rPr>
                <w:sz w:val="18"/>
              </w:rPr>
              <w:t>$1,480,813</w:t>
            </w:r>
          </w:p>
        </w:tc>
        <w:tc>
          <w:tcPr>
            <w:tcW w:w="1394" w:type="dxa"/>
          </w:tcPr>
          <w:p>
            <w:pPr>
              <w:pStyle w:val="TableParagraph"/>
              <w:ind w:right="262"/>
              <w:rPr>
                <w:sz w:val="18"/>
              </w:rPr>
            </w:pPr>
            <w:r>
              <w:rPr>
                <w:sz w:val="18"/>
              </w:rPr>
              <w:t>$1,423,298</w:t>
            </w:r>
          </w:p>
        </w:tc>
        <w:tc>
          <w:tcPr>
            <w:tcW w:w="1227" w:type="dxa"/>
          </w:tcPr>
          <w:p>
            <w:pPr>
              <w:pStyle w:val="TableParagraph"/>
              <w:ind w:right="50"/>
              <w:rPr>
                <w:sz w:val="18"/>
              </w:rPr>
            </w:pPr>
            <w:r>
              <w:rPr>
                <w:sz w:val="18"/>
              </w:rPr>
              <w:t>$1,308,389</w:t>
            </w:r>
          </w:p>
        </w:tc>
      </w:tr>
      <w:tr>
        <w:trPr>
          <w:trHeight w:val="211" w:hRule="exact"/>
        </w:trPr>
        <w:tc>
          <w:tcPr>
            <w:tcW w:w="1415" w:type="dxa"/>
          </w:tcPr>
          <w:p>
            <w:pPr>
              <w:pStyle w:val="TableParagraph"/>
              <w:ind w:left="347"/>
              <w:jc w:val="left"/>
              <w:rPr>
                <w:sz w:val="18"/>
              </w:rPr>
            </w:pPr>
            <w:r>
              <w:rPr>
                <w:sz w:val="18"/>
              </w:rPr>
              <w:t>$639,136</w:t>
            </w:r>
          </w:p>
        </w:tc>
        <w:tc>
          <w:tcPr>
            <w:tcW w:w="1440" w:type="dxa"/>
          </w:tcPr>
          <w:p>
            <w:pPr>
              <w:pStyle w:val="TableParagraph"/>
              <w:ind w:right="219"/>
              <w:rPr>
                <w:sz w:val="18"/>
              </w:rPr>
            </w:pPr>
            <w:r>
              <w:rPr>
                <w:sz w:val="18"/>
              </w:rPr>
              <w:t>$735,754</w:t>
            </w:r>
          </w:p>
        </w:tc>
        <w:tc>
          <w:tcPr>
            <w:tcW w:w="1351" w:type="dxa"/>
          </w:tcPr>
          <w:p>
            <w:pPr>
              <w:pStyle w:val="TableParagraph"/>
              <w:ind w:right="217"/>
              <w:rPr>
                <w:sz w:val="18"/>
              </w:rPr>
            </w:pPr>
            <w:r>
              <w:rPr>
                <w:sz w:val="18"/>
              </w:rPr>
              <w:t>$617,434</w:t>
            </w:r>
          </w:p>
        </w:tc>
        <w:tc>
          <w:tcPr>
            <w:tcW w:w="1349" w:type="dxa"/>
          </w:tcPr>
          <w:p>
            <w:pPr>
              <w:pStyle w:val="TableParagraph"/>
              <w:ind w:right="217"/>
              <w:rPr>
                <w:sz w:val="18"/>
              </w:rPr>
            </w:pPr>
            <w:r>
              <w:rPr>
                <w:sz w:val="18"/>
              </w:rPr>
              <w:t>$327,553</w:t>
            </w:r>
          </w:p>
        </w:tc>
        <w:tc>
          <w:tcPr>
            <w:tcW w:w="1394" w:type="dxa"/>
          </w:tcPr>
          <w:p>
            <w:pPr>
              <w:pStyle w:val="TableParagraph"/>
              <w:ind w:right="263"/>
              <w:rPr>
                <w:sz w:val="18"/>
              </w:rPr>
            </w:pPr>
            <w:r>
              <w:rPr>
                <w:sz w:val="18"/>
              </w:rPr>
              <w:t>$354,150</w:t>
            </w:r>
          </w:p>
        </w:tc>
        <w:tc>
          <w:tcPr>
            <w:tcW w:w="1227" w:type="dxa"/>
          </w:tcPr>
          <w:p>
            <w:pPr>
              <w:pStyle w:val="TableParagraph"/>
              <w:ind w:right="50"/>
              <w:rPr>
                <w:sz w:val="18"/>
              </w:rPr>
            </w:pPr>
            <w:r>
              <w:rPr>
                <w:sz w:val="18"/>
              </w:rPr>
              <w:t>$369,541</w:t>
            </w:r>
          </w:p>
        </w:tc>
      </w:tr>
      <w:tr>
        <w:trPr>
          <w:trHeight w:val="319" w:hRule="exact"/>
        </w:trPr>
        <w:tc>
          <w:tcPr>
            <w:tcW w:w="1415" w:type="dxa"/>
          </w:tcPr>
          <w:p>
            <w:pPr>
              <w:pStyle w:val="TableParagraph"/>
              <w:ind w:left="193"/>
              <w:jc w:val="left"/>
              <w:rPr>
                <w:sz w:val="18"/>
              </w:rPr>
            </w:pPr>
            <w:r>
              <w:rPr>
                <w:sz w:val="18"/>
              </w:rPr>
              <w:t>$1,054,019</w:t>
            </w:r>
          </w:p>
        </w:tc>
        <w:tc>
          <w:tcPr>
            <w:tcW w:w="1440" w:type="dxa"/>
          </w:tcPr>
          <w:p>
            <w:pPr>
              <w:pStyle w:val="TableParagraph"/>
              <w:ind w:right="219"/>
              <w:rPr>
                <w:sz w:val="18"/>
              </w:rPr>
            </w:pPr>
            <w:r>
              <w:rPr>
                <w:sz w:val="18"/>
              </w:rPr>
              <w:t>$879,536</w:t>
            </w:r>
          </w:p>
        </w:tc>
        <w:tc>
          <w:tcPr>
            <w:tcW w:w="1351" w:type="dxa"/>
          </w:tcPr>
          <w:p>
            <w:pPr>
              <w:pStyle w:val="TableParagraph"/>
              <w:ind w:right="217"/>
              <w:rPr>
                <w:sz w:val="18"/>
              </w:rPr>
            </w:pPr>
            <w:r>
              <w:rPr>
                <w:sz w:val="18"/>
              </w:rPr>
              <w:t>$635,793</w:t>
            </w:r>
          </w:p>
        </w:tc>
        <w:tc>
          <w:tcPr>
            <w:tcW w:w="1349" w:type="dxa"/>
          </w:tcPr>
          <w:p>
            <w:pPr>
              <w:pStyle w:val="TableParagraph"/>
              <w:ind w:right="217"/>
              <w:rPr>
                <w:sz w:val="18"/>
              </w:rPr>
            </w:pPr>
            <w:r>
              <w:rPr>
                <w:sz w:val="18"/>
              </w:rPr>
              <w:t>$607,294</w:t>
            </w:r>
          </w:p>
        </w:tc>
        <w:tc>
          <w:tcPr>
            <w:tcW w:w="1394" w:type="dxa"/>
          </w:tcPr>
          <w:p>
            <w:pPr>
              <w:pStyle w:val="TableParagraph"/>
              <w:ind w:right="263"/>
              <w:rPr>
                <w:sz w:val="18"/>
              </w:rPr>
            </w:pPr>
            <w:r>
              <w:rPr>
                <w:sz w:val="18"/>
              </w:rPr>
              <w:t>$591,794</w:t>
            </w:r>
          </w:p>
        </w:tc>
        <w:tc>
          <w:tcPr>
            <w:tcW w:w="1227" w:type="dxa"/>
          </w:tcPr>
          <w:p>
            <w:pPr>
              <w:pStyle w:val="TableParagraph"/>
              <w:ind w:right="50"/>
              <w:rPr>
                <w:sz w:val="18"/>
              </w:rPr>
            </w:pPr>
            <w:r>
              <w:rPr>
                <w:sz w:val="18"/>
              </w:rPr>
              <w:t>$567,375</w:t>
            </w:r>
          </w:p>
        </w:tc>
      </w:tr>
      <w:tr>
        <w:trPr>
          <w:trHeight w:val="326" w:hRule="exact"/>
        </w:trPr>
        <w:tc>
          <w:tcPr>
            <w:tcW w:w="1415" w:type="dxa"/>
          </w:tcPr>
          <w:p>
            <w:pPr>
              <w:pStyle w:val="TableParagraph"/>
              <w:spacing w:before="109"/>
              <w:ind w:left="544"/>
              <w:jc w:val="left"/>
              <w:rPr>
                <w:sz w:val="12"/>
              </w:rPr>
            </w:pPr>
            <w:r>
              <w:rPr>
                <w:sz w:val="18"/>
              </w:rPr>
              <w:t>6.2%</w:t>
            </w:r>
            <w:r>
              <w:rPr>
                <w:position w:val="6"/>
                <w:sz w:val="12"/>
              </w:rPr>
              <w:t>(4)</w:t>
            </w:r>
          </w:p>
        </w:tc>
        <w:tc>
          <w:tcPr>
            <w:tcW w:w="1440" w:type="dxa"/>
          </w:tcPr>
          <w:p>
            <w:pPr>
              <w:pStyle w:val="TableParagraph"/>
              <w:spacing w:before="113"/>
              <w:ind w:right="219"/>
              <w:rPr>
                <w:sz w:val="10"/>
              </w:rPr>
            </w:pPr>
            <w:r>
              <w:rPr>
                <w:sz w:val="18"/>
              </w:rPr>
              <w:t>4.6%</w:t>
            </w:r>
            <w:r>
              <w:rPr>
                <w:position w:val="6"/>
                <w:sz w:val="10"/>
              </w:rPr>
              <w:t>(5)</w:t>
            </w:r>
          </w:p>
        </w:tc>
        <w:tc>
          <w:tcPr>
            <w:tcW w:w="1351" w:type="dxa"/>
          </w:tcPr>
          <w:p>
            <w:pPr>
              <w:pStyle w:val="TableParagraph"/>
              <w:spacing w:before="113"/>
              <w:ind w:right="215"/>
              <w:rPr>
                <w:sz w:val="18"/>
              </w:rPr>
            </w:pPr>
            <w:r>
              <w:rPr>
                <w:sz w:val="18"/>
              </w:rPr>
              <w:t>2.0%</w:t>
            </w:r>
          </w:p>
        </w:tc>
        <w:tc>
          <w:tcPr>
            <w:tcW w:w="1349" w:type="dxa"/>
          </w:tcPr>
          <w:p>
            <w:pPr>
              <w:pStyle w:val="TableParagraph"/>
              <w:spacing w:before="113"/>
              <w:ind w:right="215"/>
              <w:rPr>
                <w:sz w:val="18"/>
              </w:rPr>
            </w:pPr>
            <w:r>
              <w:rPr>
                <w:sz w:val="18"/>
              </w:rPr>
              <w:t>3.5%</w:t>
            </w:r>
          </w:p>
        </w:tc>
        <w:tc>
          <w:tcPr>
            <w:tcW w:w="1394" w:type="dxa"/>
          </w:tcPr>
          <w:p>
            <w:pPr>
              <w:pStyle w:val="TableParagraph"/>
              <w:spacing w:before="113"/>
              <w:ind w:right="260"/>
              <w:rPr>
                <w:sz w:val="18"/>
              </w:rPr>
            </w:pPr>
            <w:r>
              <w:rPr>
                <w:sz w:val="18"/>
              </w:rPr>
              <w:t>5.5%</w:t>
            </w:r>
          </w:p>
        </w:tc>
        <w:tc>
          <w:tcPr>
            <w:tcW w:w="1227" w:type="dxa"/>
          </w:tcPr>
          <w:p>
            <w:pPr>
              <w:pStyle w:val="TableParagraph"/>
              <w:spacing w:before="113"/>
              <w:ind w:right="48"/>
              <w:rPr>
                <w:sz w:val="18"/>
              </w:rPr>
            </w:pPr>
            <w:r>
              <w:rPr>
                <w:sz w:val="18"/>
              </w:rPr>
              <w:t>5.1%</w:t>
            </w:r>
          </w:p>
        </w:tc>
      </w:tr>
      <w:tr>
        <w:trPr>
          <w:trHeight w:val="326" w:hRule="exact"/>
        </w:trPr>
        <w:tc>
          <w:tcPr>
            <w:tcW w:w="1415" w:type="dxa"/>
          </w:tcPr>
          <w:p>
            <w:pPr>
              <w:pStyle w:val="TableParagraph"/>
              <w:spacing w:before="4"/>
              <w:ind w:left="443"/>
              <w:jc w:val="left"/>
              <w:rPr>
                <w:sz w:val="12"/>
              </w:rPr>
            </w:pPr>
            <w:r>
              <w:rPr>
                <w:sz w:val="18"/>
              </w:rPr>
              <w:t>16.0%</w:t>
            </w:r>
            <w:r>
              <w:rPr>
                <w:position w:val="6"/>
                <w:sz w:val="12"/>
              </w:rPr>
              <w:t>(4)</w:t>
            </w:r>
          </w:p>
        </w:tc>
        <w:tc>
          <w:tcPr>
            <w:tcW w:w="1440" w:type="dxa"/>
          </w:tcPr>
          <w:p>
            <w:pPr>
              <w:pStyle w:val="TableParagraph"/>
              <w:spacing w:before="7"/>
              <w:ind w:right="219"/>
              <w:rPr>
                <w:sz w:val="10"/>
              </w:rPr>
            </w:pPr>
            <w:r>
              <w:rPr>
                <w:sz w:val="18"/>
              </w:rPr>
              <w:t>12.9%</w:t>
            </w:r>
            <w:r>
              <w:rPr>
                <w:position w:val="6"/>
                <w:sz w:val="10"/>
              </w:rPr>
              <w:t>(5)</w:t>
            </w:r>
          </w:p>
        </w:tc>
        <w:tc>
          <w:tcPr>
            <w:tcW w:w="1351" w:type="dxa"/>
          </w:tcPr>
          <w:p>
            <w:pPr>
              <w:pStyle w:val="TableParagraph"/>
              <w:spacing w:before="7"/>
              <w:ind w:right="215"/>
              <w:rPr>
                <w:sz w:val="18"/>
              </w:rPr>
            </w:pPr>
            <w:r>
              <w:rPr>
                <w:sz w:val="18"/>
              </w:rPr>
              <w:t>5.3%</w:t>
            </w:r>
          </w:p>
        </w:tc>
        <w:tc>
          <w:tcPr>
            <w:tcW w:w="1349" w:type="dxa"/>
          </w:tcPr>
          <w:p>
            <w:pPr>
              <w:pStyle w:val="TableParagraph"/>
              <w:spacing w:before="7"/>
              <w:ind w:right="215"/>
              <w:rPr>
                <w:sz w:val="18"/>
              </w:rPr>
            </w:pPr>
            <w:r>
              <w:rPr>
                <w:sz w:val="18"/>
              </w:rPr>
              <w:t>8.4%</w:t>
            </w:r>
          </w:p>
        </w:tc>
        <w:tc>
          <w:tcPr>
            <w:tcW w:w="1394" w:type="dxa"/>
          </w:tcPr>
          <w:p>
            <w:pPr>
              <w:pStyle w:val="TableParagraph"/>
              <w:spacing w:before="7"/>
              <w:ind w:right="260"/>
              <w:rPr>
                <w:sz w:val="18"/>
              </w:rPr>
            </w:pPr>
            <w:r>
              <w:rPr>
                <w:sz w:val="18"/>
              </w:rPr>
              <w:t>12.9%</w:t>
            </w:r>
          </w:p>
        </w:tc>
        <w:tc>
          <w:tcPr>
            <w:tcW w:w="1227" w:type="dxa"/>
          </w:tcPr>
          <w:p>
            <w:pPr>
              <w:pStyle w:val="TableParagraph"/>
              <w:spacing w:before="7"/>
              <w:ind w:right="48"/>
              <w:rPr>
                <w:sz w:val="18"/>
              </w:rPr>
            </w:pPr>
            <w:r>
              <w:rPr>
                <w:sz w:val="18"/>
              </w:rPr>
              <w:t>10.8%</w:t>
            </w:r>
          </w:p>
        </w:tc>
      </w:tr>
      <w:tr>
        <w:trPr>
          <w:trHeight w:val="325" w:hRule="exact"/>
        </w:trPr>
        <w:tc>
          <w:tcPr>
            <w:tcW w:w="1415" w:type="dxa"/>
          </w:tcPr>
          <w:p>
            <w:pPr>
              <w:pStyle w:val="TableParagraph"/>
              <w:spacing w:before="109"/>
              <w:ind w:left="50"/>
              <w:jc w:val="left"/>
              <w:rPr>
                <w:sz w:val="12"/>
              </w:rPr>
            </w:pPr>
            <w:r>
              <w:rPr>
                <w:sz w:val="18"/>
              </w:rPr>
              <w:t>36,955,221</w:t>
            </w:r>
            <w:r>
              <w:rPr>
                <w:position w:val="6"/>
                <w:sz w:val="12"/>
              </w:rPr>
              <w:t>(9)</w:t>
            </w:r>
          </w:p>
        </w:tc>
        <w:tc>
          <w:tcPr>
            <w:tcW w:w="1440" w:type="dxa"/>
          </w:tcPr>
          <w:p>
            <w:pPr>
              <w:pStyle w:val="TableParagraph"/>
              <w:spacing w:before="113"/>
              <w:ind w:right="219"/>
              <w:rPr>
                <w:sz w:val="18"/>
              </w:rPr>
            </w:pPr>
            <w:r>
              <w:rPr>
                <w:sz w:val="18"/>
              </w:rPr>
              <w:t>27,839,284</w:t>
            </w:r>
          </w:p>
        </w:tc>
        <w:tc>
          <w:tcPr>
            <w:tcW w:w="1351" w:type="dxa"/>
          </w:tcPr>
          <w:p>
            <w:pPr>
              <w:pStyle w:val="TableParagraph"/>
              <w:spacing w:before="113"/>
              <w:ind w:right="217"/>
              <w:rPr>
                <w:sz w:val="18"/>
              </w:rPr>
            </w:pPr>
            <w:r>
              <w:rPr>
                <w:sz w:val="18"/>
              </w:rPr>
              <w:t>22,669,942</w:t>
            </w:r>
          </w:p>
        </w:tc>
        <w:tc>
          <w:tcPr>
            <w:tcW w:w="1349" w:type="dxa"/>
          </w:tcPr>
          <w:p>
            <w:pPr>
              <w:pStyle w:val="TableParagraph"/>
              <w:spacing w:before="113"/>
              <w:ind w:right="217"/>
              <w:rPr>
                <w:sz w:val="18"/>
              </w:rPr>
            </w:pPr>
            <w:r>
              <w:rPr>
                <w:sz w:val="18"/>
              </w:rPr>
              <w:t>19,830,941</w:t>
            </w:r>
          </w:p>
        </w:tc>
        <w:tc>
          <w:tcPr>
            <w:tcW w:w="1394" w:type="dxa"/>
          </w:tcPr>
          <w:p>
            <w:pPr>
              <w:pStyle w:val="TableParagraph"/>
              <w:spacing w:before="113"/>
              <w:ind w:right="262"/>
              <w:rPr>
                <w:sz w:val="18"/>
              </w:rPr>
            </w:pPr>
            <w:r>
              <w:rPr>
                <w:sz w:val="18"/>
              </w:rPr>
              <w:t>17,958,263</w:t>
            </w:r>
          </w:p>
        </w:tc>
        <w:tc>
          <w:tcPr>
            <w:tcW w:w="1227" w:type="dxa"/>
          </w:tcPr>
          <w:p>
            <w:pPr>
              <w:pStyle w:val="TableParagraph"/>
              <w:spacing w:before="113"/>
              <w:ind w:right="50"/>
              <w:rPr>
                <w:sz w:val="18"/>
              </w:rPr>
            </w:pPr>
            <w:r>
              <w:rPr>
                <w:sz w:val="18"/>
              </w:rPr>
              <w:t>14,876,582</w:t>
            </w:r>
          </w:p>
        </w:tc>
      </w:tr>
      <w:tr>
        <w:trPr>
          <w:trHeight w:val="211" w:hRule="exact"/>
        </w:trPr>
        <w:tc>
          <w:tcPr>
            <w:tcW w:w="1415" w:type="dxa"/>
          </w:tcPr>
          <w:p>
            <w:pPr>
              <w:pStyle w:val="TableParagraph"/>
              <w:ind w:left="193"/>
              <w:jc w:val="left"/>
              <w:rPr>
                <w:sz w:val="18"/>
              </w:rPr>
            </w:pPr>
            <w:r>
              <w:rPr>
                <w:sz w:val="18"/>
              </w:rPr>
              <w:t>18,827,288</w:t>
            </w:r>
          </w:p>
        </w:tc>
        <w:tc>
          <w:tcPr>
            <w:tcW w:w="1440" w:type="dxa"/>
          </w:tcPr>
          <w:p>
            <w:pPr>
              <w:pStyle w:val="TableParagraph"/>
              <w:ind w:right="219"/>
              <w:rPr>
                <w:sz w:val="18"/>
              </w:rPr>
            </w:pPr>
            <w:r>
              <w:rPr>
                <w:sz w:val="18"/>
              </w:rPr>
              <w:t>13,787,005</w:t>
            </w:r>
          </w:p>
        </w:tc>
        <w:tc>
          <w:tcPr>
            <w:tcW w:w="1351" w:type="dxa"/>
          </w:tcPr>
          <w:p>
            <w:pPr>
              <w:pStyle w:val="TableParagraph"/>
              <w:ind w:right="217"/>
              <w:rPr>
                <w:sz w:val="18"/>
              </w:rPr>
            </w:pPr>
            <w:r>
              <w:rPr>
                <w:sz w:val="18"/>
              </w:rPr>
              <w:t>11,296,183</w:t>
            </w:r>
          </w:p>
        </w:tc>
        <w:tc>
          <w:tcPr>
            <w:tcW w:w="1349" w:type="dxa"/>
          </w:tcPr>
          <w:p>
            <w:pPr>
              <w:pStyle w:val="TableParagraph"/>
              <w:ind w:right="217"/>
              <w:rPr>
                <w:sz w:val="18"/>
              </w:rPr>
            </w:pPr>
            <w:r>
              <w:rPr>
                <w:sz w:val="18"/>
              </w:rPr>
              <w:t>9,958,940</w:t>
            </w:r>
          </w:p>
        </w:tc>
        <w:tc>
          <w:tcPr>
            <w:tcW w:w="1394" w:type="dxa"/>
          </w:tcPr>
          <w:p>
            <w:pPr>
              <w:pStyle w:val="TableParagraph"/>
              <w:ind w:right="262"/>
              <w:rPr>
                <w:sz w:val="18"/>
              </w:rPr>
            </w:pPr>
            <w:r>
              <w:rPr>
                <w:sz w:val="18"/>
              </w:rPr>
              <w:t>9,281,992</w:t>
            </w:r>
          </w:p>
        </w:tc>
        <w:tc>
          <w:tcPr>
            <w:tcW w:w="1227" w:type="dxa"/>
          </w:tcPr>
          <w:p>
            <w:pPr>
              <w:pStyle w:val="TableParagraph"/>
              <w:ind w:right="50"/>
              <w:rPr>
                <w:sz w:val="18"/>
              </w:rPr>
            </w:pPr>
            <w:r>
              <w:rPr>
                <w:sz w:val="18"/>
              </w:rPr>
              <w:t>7,676,257</w:t>
            </w:r>
          </w:p>
        </w:tc>
      </w:tr>
      <w:tr>
        <w:trPr>
          <w:trHeight w:val="211" w:hRule="exact"/>
        </w:trPr>
        <w:tc>
          <w:tcPr>
            <w:tcW w:w="1415" w:type="dxa"/>
          </w:tcPr>
          <w:p>
            <w:pPr>
              <w:pStyle w:val="TableParagraph"/>
              <w:ind w:left="193"/>
              <w:jc w:val="left"/>
              <w:rPr>
                <w:sz w:val="18"/>
              </w:rPr>
            </w:pPr>
            <w:r>
              <w:rPr>
                <w:sz w:val="18"/>
              </w:rPr>
              <w:t>27,511,000</w:t>
            </w:r>
          </w:p>
        </w:tc>
        <w:tc>
          <w:tcPr>
            <w:tcW w:w="1440" w:type="dxa"/>
          </w:tcPr>
          <w:p>
            <w:pPr>
              <w:pStyle w:val="TableParagraph"/>
              <w:ind w:right="219"/>
              <w:rPr>
                <w:sz w:val="18"/>
              </w:rPr>
            </w:pPr>
            <w:r>
              <w:rPr>
                <w:sz w:val="18"/>
              </w:rPr>
              <w:t>21,366,642</w:t>
            </w:r>
          </w:p>
        </w:tc>
        <w:tc>
          <w:tcPr>
            <w:tcW w:w="1351" w:type="dxa"/>
          </w:tcPr>
          <w:p>
            <w:pPr>
              <w:pStyle w:val="TableParagraph"/>
              <w:ind w:right="217"/>
              <w:rPr>
                <w:sz w:val="18"/>
              </w:rPr>
            </w:pPr>
            <w:r>
              <w:rPr>
                <w:sz w:val="18"/>
              </w:rPr>
              <w:t>18,491,003</w:t>
            </w:r>
          </w:p>
        </w:tc>
        <w:tc>
          <w:tcPr>
            <w:tcW w:w="1349" w:type="dxa"/>
          </w:tcPr>
          <w:p>
            <w:pPr>
              <w:pStyle w:val="TableParagraph"/>
              <w:ind w:right="217"/>
              <w:rPr>
                <w:sz w:val="18"/>
              </w:rPr>
            </w:pPr>
            <w:r>
              <w:rPr>
                <w:sz w:val="18"/>
              </w:rPr>
              <w:t>16,411,115</w:t>
            </w:r>
          </w:p>
        </w:tc>
        <w:tc>
          <w:tcPr>
            <w:tcW w:w="1394" w:type="dxa"/>
          </w:tcPr>
          <w:p>
            <w:pPr>
              <w:pStyle w:val="TableParagraph"/>
              <w:ind w:right="262"/>
              <w:rPr>
                <w:sz w:val="18"/>
              </w:rPr>
            </w:pPr>
            <w:r>
              <w:rPr>
                <w:sz w:val="18"/>
              </w:rPr>
              <w:t>14,796,732</w:t>
            </w:r>
          </w:p>
        </w:tc>
        <w:tc>
          <w:tcPr>
            <w:tcW w:w="1227" w:type="dxa"/>
          </w:tcPr>
          <w:p>
            <w:pPr>
              <w:pStyle w:val="TableParagraph"/>
              <w:ind w:right="50"/>
              <w:rPr>
                <w:sz w:val="18"/>
              </w:rPr>
            </w:pPr>
            <w:r>
              <w:rPr>
                <w:sz w:val="18"/>
              </w:rPr>
              <w:t>13,309,044</w:t>
            </w:r>
          </w:p>
        </w:tc>
      </w:tr>
      <w:tr>
        <w:trPr>
          <w:trHeight w:val="211" w:hRule="exact"/>
        </w:trPr>
        <w:tc>
          <w:tcPr>
            <w:tcW w:w="1415" w:type="dxa"/>
          </w:tcPr>
          <w:p>
            <w:pPr>
              <w:pStyle w:val="TableParagraph"/>
              <w:ind w:left="587"/>
              <w:jc w:val="left"/>
              <w:rPr>
                <w:sz w:val="18"/>
              </w:rPr>
            </w:pPr>
            <w:r>
              <w:rPr>
                <w:sz w:val="18"/>
              </w:rPr>
              <w:t>68.4%</w:t>
            </w:r>
          </w:p>
        </w:tc>
        <w:tc>
          <w:tcPr>
            <w:tcW w:w="1440" w:type="dxa"/>
          </w:tcPr>
          <w:p>
            <w:pPr>
              <w:pStyle w:val="TableParagraph"/>
              <w:ind w:right="217"/>
              <w:rPr>
                <w:sz w:val="18"/>
              </w:rPr>
            </w:pPr>
            <w:r>
              <w:rPr>
                <w:sz w:val="18"/>
              </w:rPr>
              <w:t>64.5%</w:t>
            </w:r>
          </w:p>
        </w:tc>
        <w:tc>
          <w:tcPr>
            <w:tcW w:w="1351" w:type="dxa"/>
          </w:tcPr>
          <w:p>
            <w:pPr>
              <w:pStyle w:val="TableParagraph"/>
              <w:ind w:right="215"/>
              <w:rPr>
                <w:sz w:val="18"/>
              </w:rPr>
            </w:pPr>
            <w:r>
              <w:rPr>
                <w:sz w:val="18"/>
              </w:rPr>
              <w:t>61.1%</w:t>
            </w:r>
          </w:p>
        </w:tc>
        <w:tc>
          <w:tcPr>
            <w:tcW w:w="1349" w:type="dxa"/>
          </w:tcPr>
          <w:p>
            <w:pPr>
              <w:pStyle w:val="TableParagraph"/>
              <w:ind w:right="215"/>
              <w:rPr>
                <w:sz w:val="18"/>
              </w:rPr>
            </w:pPr>
            <w:r>
              <w:rPr>
                <w:sz w:val="18"/>
              </w:rPr>
              <w:t>60.7%</w:t>
            </w:r>
          </w:p>
        </w:tc>
        <w:tc>
          <w:tcPr>
            <w:tcW w:w="1394" w:type="dxa"/>
          </w:tcPr>
          <w:p>
            <w:pPr>
              <w:pStyle w:val="TableParagraph"/>
              <w:ind w:right="260"/>
              <w:rPr>
                <w:sz w:val="18"/>
              </w:rPr>
            </w:pPr>
            <w:r>
              <w:rPr>
                <w:sz w:val="18"/>
              </w:rPr>
              <w:t>62.7%</w:t>
            </w:r>
          </w:p>
        </w:tc>
        <w:tc>
          <w:tcPr>
            <w:tcW w:w="1227" w:type="dxa"/>
          </w:tcPr>
          <w:p>
            <w:pPr>
              <w:pStyle w:val="TableParagraph"/>
              <w:ind w:right="48"/>
              <w:rPr>
                <w:sz w:val="18"/>
              </w:rPr>
            </w:pPr>
            <w:r>
              <w:rPr>
                <w:sz w:val="18"/>
              </w:rPr>
              <w:t>57.7%</w:t>
            </w:r>
          </w:p>
        </w:tc>
      </w:tr>
      <w:tr>
        <w:trPr>
          <w:trHeight w:val="211" w:hRule="exact"/>
        </w:trPr>
        <w:tc>
          <w:tcPr>
            <w:tcW w:w="1415" w:type="dxa"/>
          </w:tcPr>
          <w:p>
            <w:pPr>
              <w:pStyle w:val="TableParagraph"/>
              <w:ind w:left="803"/>
              <w:jc w:val="left"/>
              <w:rPr>
                <w:sz w:val="18"/>
              </w:rPr>
            </w:pPr>
            <w:r>
              <w:rPr>
                <w:sz w:val="18"/>
              </w:rPr>
              <w:t>509</w:t>
            </w:r>
          </w:p>
        </w:tc>
        <w:tc>
          <w:tcPr>
            <w:tcW w:w="1440" w:type="dxa"/>
          </w:tcPr>
          <w:p>
            <w:pPr>
              <w:pStyle w:val="TableParagraph"/>
              <w:ind w:right="220"/>
              <w:rPr>
                <w:sz w:val="18"/>
              </w:rPr>
            </w:pPr>
            <w:r>
              <w:rPr>
                <w:sz w:val="18"/>
              </w:rPr>
              <w:t>495</w:t>
            </w:r>
          </w:p>
        </w:tc>
        <w:tc>
          <w:tcPr>
            <w:tcW w:w="1351" w:type="dxa"/>
          </w:tcPr>
          <w:p>
            <w:pPr>
              <w:pStyle w:val="TableParagraph"/>
              <w:ind w:right="217"/>
              <w:rPr>
                <w:sz w:val="18"/>
              </w:rPr>
            </w:pPr>
            <w:r>
              <w:rPr>
                <w:sz w:val="18"/>
              </w:rPr>
              <w:t>498</w:t>
            </w:r>
          </w:p>
        </w:tc>
        <w:tc>
          <w:tcPr>
            <w:tcW w:w="1349" w:type="dxa"/>
          </w:tcPr>
          <w:p>
            <w:pPr>
              <w:pStyle w:val="TableParagraph"/>
              <w:ind w:right="217"/>
              <w:rPr>
                <w:sz w:val="18"/>
              </w:rPr>
            </w:pPr>
            <w:r>
              <w:rPr>
                <w:sz w:val="18"/>
              </w:rPr>
              <w:t>502</w:t>
            </w:r>
          </w:p>
        </w:tc>
        <w:tc>
          <w:tcPr>
            <w:tcW w:w="1394" w:type="dxa"/>
          </w:tcPr>
          <w:p>
            <w:pPr>
              <w:pStyle w:val="TableParagraph"/>
              <w:ind w:right="263"/>
              <w:rPr>
                <w:sz w:val="18"/>
              </w:rPr>
            </w:pPr>
            <w:r>
              <w:rPr>
                <w:sz w:val="18"/>
              </w:rPr>
              <w:t>517</w:t>
            </w:r>
          </w:p>
        </w:tc>
        <w:tc>
          <w:tcPr>
            <w:tcW w:w="1227" w:type="dxa"/>
          </w:tcPr>
          <w:p>
            <w:pPr>
              <w:pStyle w:val="TableParagraph"/>
              <w:ind w:right="50"/>
              <w:rPr>
                <w:sz w:val="18"/>
              </w:rPr>
            </w:pPr>
            <w:r>
              <w:rPr>
                <w:sz w:val="18"/>
              </w:rPr>
              <w:t>516</w:t>
            </w:r>
          </w:p>
        </w:tc>
      </w:tr>
      <w:tr>
        <w:trPr>
          <w:trHeight w:val="211" w:hRule="exact"/>
        </w:trPr>
        <w:tc>
          <w:tcPr>
            <w:tcW w:w="1415" w:type="dxa"/>
          </w:tcPr>
          <w:p>
            <w:pPr>
              <w:pStyle w:val="TableParagraph"/>
              <w:ind w:left="448"/>
              <w:jc w:val="left"/>
              <w:rPr>
                <w:sz w:val="18"/>
              </w:rPr>
            </w:pPr>
            <w:r>
              <w:rPr>
                <w:sz w:val="18"/>
              </w:rPr>
              <w:t>546,297</w:t>
            </w:r>
          </w:p>
        </w:tc>
        <w:tc>
          <w:tcPr>
            <w:tcW w:w="1440" w:type="dxa"/>
          </w:tcPr>
          <w:p>
            <w:pPr>
              <w:pStyle w:val="TableParagraph"/>
              <w:ind w:right="219"/>
              <w:rPr>
                <w:sz w:val="18"/>
              </w:rPr>
            </w:pPr>
            <w:r>
              <w:rPr>
                <w:sz w:val="18"/>
              </w:rPr>
              <w:t>438,184</w:t>
            </w:r>
          </w:p>
        </w:tc>
        <w:tc>
          <w:tcPr>
            <w:tcW w:w="1351" w:type="dxa"/>
          </w:tcPr>
          <w:p>
            <w:pPr>
              <w:pStyle w:val="TableParagraph"/>
              <w:ind w:right="217"/>
              <w:rPr>
                <w:sz w:val="18"/>
              </w:rPr>
            </w:pPr>
            <w:r>
              <w:rPr>
                <w:sz w:val="18"/>
              </w:rPr>
              <w:t>382,752</w:t>
            </w:r>
          </w:p>
        </w:tc>
        <w:tc>
          <w:tcPr>
            <w:tcW w:w="1349" w:type="dxa"/>
          </w:tcPr>
          <w:p>
            <w:pPr>
              <w:pStyle w:val="TableParagraph"/>
              <w:ind w:right="217"/>
              <w:rPr>
                <w:sz w:val="18"/>
              </w:rPr>
            </w:pPr>
            <w:r>
              <w:rPr>
                <w:sz w:val="18"/>
              </w:rPr>
              <w:t>338,108</w:t>
            </w:r>
          </w:p>
        </w:tc>
        <w:tc>
          <w:tcPr>
            <w:tcW w:w="1394" w:type="dxa"/>
          </w:tcPr>
          <w:p>
            <w:pPr>
              <w:pStyle w:val="TableParagraph"/>
              <w:ind w:right="263"/>
              <w:rPr>
                <w:sz w:val="18"/>
              </w:rPr>
            </w:pPr>
            <w:r>
              <w:rPr>
                <w:sz w:val="18"/>
              </w:rPr>
              <w:t>304,673</w:t>
            </w:r>
          </w:p>
        </w:tc>
        <w:tc>
          <w:tcPr>
            <w:tcW w:w="1227" w:type="dxa"/>
          </w:tcPr>
          <w:p>
            <w:pPr>
              <w:pStyle w:val="TableParagraph"/>
              <w:ind w:right="50"/>
              <w:rPr>
                <w:sz w:val="18"/>
              </w:rPr>
            </w:pPr>
            <w:r>
              <w:rPr>
                <w:sz w:val="18"/>
              </w:rPr>
              <w:t>274,859</w:t>
            </w:r>
          </w:p>
        </w:tc>
      </w:tr>
      <w:tr>
        <w:trPr>
          <w:trHeight w:val="211" w:hRule="exact"/>
        </w:trPr>
        <w:tc>
          <w:tcPr>
            <w:tcW w:w="1415" w:type="dxa"/>
          </w:tcPr>
          <w:p>
            <w:pPr>
              <w:pStyle w:val="TableParagraph"/>
              <w:ind w:left="549"/>
              <w:jc w:val="left"/>
              <w:rPr>
                <w:sz w:val="18"/>
              </w:rPr>
            </w:pPr>
            <w:r>
              <w:rPr>
                <w:sz w:val="18"/>
              </w:rPr>
              <w:t>$59.97</w:t>
            </w:r>
          </w:p>
        </w:tc>
        <w:tc>
          <w:tcPr>
            <w:tcW w:w="1440" w:type="dxa"/>
          </w:tcPr>
          <w:p>
            <w:pPr>
              <w:pStyle w:val="TableParagraph"/>
              <w:ind w:right="219"/>
              <w:rPr>
                <w:sz w:val="18"/>
              </w:rPr>
            </w:pPr>
            <w:r>
              <w:rPr>
                <w:sz w:val="18"/>
              </w:rPr>
              <w:t>$58.33</w:t>
            </w:r>
          </w:p>
        </w:tc>
        <w:tc>
          <w:tcPr>
            <w:tcW w:w="1351" w:type="dxa"/>
          </w:tcPr>
          <w:p>
            <w:pPr>
              <w:pStyle w:val="TableParagraph"/>
              <w:ind w:right="217"/>
              <w:rPr>
                <w:sz w:val="18"/>
              </w:rPr>
            </w:pPr>
            <w:r>
              <w:rPr>
                <w:sz w:val="18"/>
              </w:rPr>
              <w:t>$55.93</w:t>
            </w:r>
          </w:p>
        </w:tc>
        <w:tc>
          <w:tcPr>
            <w:tcW w:w="1349" w:type="dxa"/>
          </w:tcPr>
          <w:p>
            <w:pPr>
              <w:pStyle w:val="TableParagraph"/>
              <w:ind w:right="217"/>
              <w:rPr>
                <w:sz w:val="18"/>
              </w:rPr>
            </w:pPr>
            <w:r>
              <w:rPr>
                <w:sz w:val="18"/>
              </w:rPr>
              <w:t>$57.71</w:t>
            </w:r>
          </w:p>
        </w:tc>
        <w:tc>
          <w:tcPr>
            <w:tcW w:w="1394" w:type="dxa"/>
          </w:tcPr>
          <w:p>
            <w:pPr>
              <w:pStyle w:val="TableParagraph"/>
              <w:ind w:right="263"/>
              <w:rPr>
                <w:sz w:val="18"/>
              </w:rPr>
            </w:pPr>
            <w:r>
              <w:rPr>
                <w:sz w:val="18"/>
              </w:rPr>
              <w:t>$54.21</w:t>
            </w:r>
          </w:p>
        </w:tc>
        <w:tc>
          <w:tcPr>
            <w:tcW w:w="1227" w:type="dxa"/>
          </w:tcPr>
          <w:p>
            <w:pPr>
              <w:pStyle w:val="TableParagraph"/>
              <w:ind w:right="50"/>
              <w:rPr>
                <w:sz w:val="18"/>
              </w:rPr>
            </w:pPr>
            <w:r>
              <w:rPr>
                <w:sz w:val="18"/>
              </w:rPr>
              <w:t>$55.68</w:t>
            </w:r>
          </w:p>
        </w:tc>
      </w:tr>
      <w:tr>
        <w:trPr>
          <w:trHeight w:val="211" w:hRule="exact"/>
        </w:trPr>
        <w:tc>
          <w:tcPr>
            <w:tcW w:w="1415" w:type="dxa"/>
          </w:tcPr>
          <w:p>
            <w:pPr>
              <w:pStyle w:val="TableParagraph"/>
              <w:ind w:left="549"/>
              <w:jc w:val="left"/>
              <w:rPr>
                <w:sz w:val="18"/>
              </w:rPr>
            </w:pPr>
            <w:r>
              <w:rPr>
                <w:sz w:val="18"/>
              </w:rPr>
              <w:t>11.77¢</w:t>
            </w:r>
          </w:p>
        </w:tc>
        <w:tc>
          <w:tcPr>
            <w:tcW w:w="1440" w:type="dxa"/>
          </w:tcPr>
          <w:p>
            <w:pPr>
              <w:pStyle w:val="TableParagraph"/>
              <w:ind w:right="219"/>
              <w:rPr>
                <w:sz w:val="18"/>
              </w:rPr>
            </w:pPr>
            <w:r>
              <w:rPr>
                <w:sz w:val="18"/>
              </w:rPr>
              <w:t>11.78¢</w:t>
            </w:r>
          </w:p>
        </w:tc>
        <w:tc>
          <w:tcPr>
            <w:tcW w:w="1351" w:type="dxa"/>
          </w:tcPr>
          <w:p>
            <w:pPr>
              <w:pStyle w:val="TableParagraph"/>
              <w:ind w:right="217"/>
              <w:rPr>
                <w:sz w:val="18"/>
              </w:rPr>
            </w:pPr>
            <w:r>
              <w:rPr>
                <w:sz w:val="18"/>
              </w:rPr>
              <w:t>11.22¢</w:t>
            </w:r>
          </w:p>
        </w:tc>
        <w:tc>
          <w:tcPr>
            <w:tcW w:w="1349" w:type="dxa"/>
          </w:tcPr>
          <w:p>
            <w:pPr>
              <w:pStyle w:val="TableParagraph"/>
              <w:ind w:right="217"/>
              <w:rPr>
                <w:sz w:val="18"/>
              </w:rPr>
            </w:pPr>
            <w:r>
              <w:rPr>
                <w:sz w:val="18"/>
              </w:rPr>
              <w:t>11.49¢</w:t>
            </w:r>
          </w:p>
        </w:tc>
        <w:tc>
          <w:tcPr>
            <w:tcW w:w="1394" w:type="dxa"/>
          </w:tcPr>
          <w:p>
            <w:pPr>
              <w:pStyle w:val="TableParagraph"/>
              <w:ind w:right="262"/>
              <w:rPr>
                <w:sz w:val="18"/>
              </w:rPr>
            </w:pPr>
            <w:r>
              <w:rPr>
                <w:sz w:val="18"/>
              </w:rPr>
              <w:t>10.49¢</w:t>
            </w:r>
          </w:p>
        </w:tc>
        <w:tc>
          <w:tcPr>
            <w:tcW w:w="1227" w:type="dxa"/>
          </w:tcPr>
          <w:p>
            <w:pPr>
              <w:pStyle w:val="TableParagraph"/>
              <w:ind w:right="50"/>
              <w:rPr>
                <w:sz w:val="18"/>
              </w:rPr>
            </w:pPr>
            <w:r>
              <w:rPr>
                <w:sz w:val="18"/>
              </w:rPr>
              <w:t>10.79¢</w:t>
            </w:r>
          </w:p>
        </w:tc>
      </w:tr>
      <w:tr>
        <w:trPr>
          <w:trHeight w:val="213" w:hRule="exact"/>
        </w:trPr>
        <w:tc>
          <w:tcPr>
            <w:tcW w:w="1415" w:type="dxa"/>
          </w:tcPr>
          <w:p>
            <w:pPr>
              <w:pStyle w:val="TableParagraph"/>
              <w:ind w:left="650"/>
              <w:jc w:val="left"/>
              <w:rPr>
                <w:sz w:val="18"/>
              </w:rPr>
            </w:pPr>
            <w:r>
              <w:rPr>
                <w:sz w:val="18"/>
              </w:rPr>
              <w:t>8.35¢</w:t>
            </w:r>
          </w:p>
        </w:tc>
        <w:tc>
          <w:tcPr>
            <w:tcW w:w="1440" w:type="dxa"/>
          </w:tcPr>
          <w:p>
            <w:pPr>
              <w:pStyle w:val="TableParagraph"/>
              <w:ind w:right="219"/>
              <w:rPr>
                <w:sz w:val="18"/>
              </w:rPr>
            </w:pPr>
            <w:r>
              <w:rPr>
                <w:sz w:val="18"/>
              </w:rPr>
              <w:t>7.89¢</w:t>
            </w:r>
          </w:p>
        </w:tc>
        <w:tc>
          <w:tcPr>
            <w:tcW w:w="1351" w:type="dxa"/>
          </w:tcPr>
          <w:p>
            <w:pPr>
              <w:pStyle w:val="TableParagraph"/>
              <w:ind w:right="217"/>
              <w:rPr>
                <w:sz w:val="18"/>
              </w:rPr>
            </w:pPr>
            <w:r>
              <w:rPr>
                <w:sz w:val="18"/>
              </w:rPr>
              <w:t>7.10¢</w:t>
            </w:r>
          </w:p>
        </w:tc>
        <w:tc>
          <w:tcPr>
            <w:tcW w:w="1349" w:type="dxa"/>
          </w:tcPr>
          <w:p>
            <w:pPr>
              <w:pStyle w:val="TableParagraph"/>
              <w:ind w:right="217"/>
              <w:rPr>
                <w:sz w:val="18"/>
              </w:rPr>
            </w:pPr>
            <w:r>
              <w:rPr>
                <w:sz w:val="18"/>
              </w:rPr>
              <w:t>7.23¢</w:t>
            </w:r>
          </w:p>
        </w:tc>
        <w:tc>
          <w:tcPr>
            <w:tcW w:w="1394" w:type="dxa"/>
          </w:tcPr>
          <w:p>
            <w:pPr>
              <w:pStyle w:val="TableParagraph"/>
              <w:ind w:right="262"/>
              <w:rPr>
                <w:sz w:val="18"/>
              </w:rPr>
            </w:pPr>
            <w:r>
              <w:rPr>
                <w:sz w:val="18"/>
              </w:rPr>
              <w:t>6.86¢</w:t>
            </w:r>
          </w:p>
        </w:tc>
        <w:tc>
          <w:tcPr>
            <w:tcW w:w="1227" w:type="dxa"/>
          </w:tcPr>
          <w:p>
            <w:pPr>
              <w:pStyle w:val="TableParagraph"/>
              <w:ind w:right="50"/>
              <w:rPr>
                <w:sz w:val="18"/>
              </w:rPr>
            </w:pPr>
            <w:r>
              <w:rPr>
                <w:sz w:val="18"/>
              </w:rPr>
              <w:t>6.47¢</w:t>
            </w:r>
          </w:p>
        </w:tc>
      </w:tr>
      <w:tr>
        <w:trPr>
          <w:trHeight w:val="219" w:hRule="exact"/>
        </w:trPr>
        <w:tc>
          <w:tcPr>
            <w:tcW w:w="1415" w:type="dxa"/>
          </w:tcPr>
          <w:p>
            <w:pPr>
              <w:pStyle w:val="TableParagraph"/>
              <w:spacing w:before="4"/>
              <w:ind w:left="438"/>
              <w:jc w:val="left"/>
              <w:rPr>
                <w:sz w:val="12"/>
              </w:rPr>
            </w:pPr>
            <w:r>
              <w:rPr>
                <w:sz w:val="18"/>
              </w:rPr>
              <w:t>7.25¢</w:t>
            </w:r>
            <w:r>
              <w:rPr>
                <w:position w:val="6"/>
                <w:sz w:val="12"/>
              </w:rPr>
              <w:t>(10)</w:t>
            </w:r>
          </w:p>
        </w:tc>
        <w:tc>
          <w:tcPr>
            <w:tcW w:w="1440" w:type="dxa"/>
          </w:tcPr>
          <w:p>
            <w:pPr>
              <w:pStyle w:val="TableParagraph"/>
              <w:spacing w:before="7"/>
              <w:ind w:right="219"/>
              <w:rPr>
                <w:sz w:val="18"/>
              </w:rPr>
            </w:pPr>
            <w:r>
              <w:rPr>
                <w:sz w:val="18"/>
              </w:rPr>
              <w:t>7.03¢</w:t>
            </w:r>
          </w:p>
        </w:tc>
        <w:tc>
          <w:tcPr>
            <w:tcW w:w="1351" w:type="dxa"/>
          </w:tcPr>
          <w:p>
            <w:pPr>
              <w:pStyle w:val="TableParagraph"/>
              <w:spacing w:before="7"/>
              <w:ind w:right="217"/>
              <w:rPr>
                <w:sz w:val="18"/>
              </w:rPr>
            </w:pPr>
            <w:r>
              <w:rPr>
                <w:sz w:val="18"/>
              </w:rPr>
              <w:t>6.76¢</w:t>
            </w:r>
          </w:p>
        </w:tc>
        <w:tc>
          <w:tcPr>
            <w:tcW w:w="1349" w:type="dxa"/>
          </w:tcPr>
          <w:p>
            <w:pPr>
              <w:pStyle w:val="TableParagraph"/>
              <w:spacing w:before="7"/>
              <w:ind w:right="217"/>
              <w:rPr>
                <w:sz w:val="18"/>
              </w:rPr>
            </w:pPr>
            <w:r>
              <w:rPr>
                <w:sz w:val="18"/>
              </w:rPr>
              <w:t>6.73¢</w:t>
            </w:r>
          </w:p>
        </w:tc>
        <w:tc>
          <w:tcPr>
            <w:tcW w:w="1394" w:type="dxa"/>
          </w:tcPr>
          <w:p>
            <w:pPr>
              <w:pStyle w:val="TableParagraph"/>
              <w:spacing w:before="7"/>
              <w:ind w:right="262"/>
              <w:rPr>
                <w:sz w:val="18"/>
              </w:rPr>
            </w:pPr>
            <w:r>
              <w:rPr>
                <w:sz w:val="18"/>
              </w:rPr>
              <w:t>6.20¢</w:t>
            </w:r>
          </w:p>
        </w:tc>
        <w:tc>
          <w:tcPr>
            <w:tcW w:w="1227" w:type="dxa"/>
          </w:tcPr>
          <w:p>
            <w:pPr>
              <w:pStyle w:val="TableParagraph"/>
              <w:spacing w:before="7"/>
              <w:ind w:right="50"/>
              <w:rPr>
                <w:sz w:val="18"/>
              </w:rPr>
            </w:pPr>
            <w:r>
              <w:rPr>
                <w:sz w:val="18"/>
              </w:rPr>
              <w:t>5.82¢</w:t>
            </w:r>
          </w:p>
        </w:tc>
      </w:tr>
      <w:tr>
        <w:trPr>
          <w:trHeight w:val="211" w:hRule="exact"/>
        </w:trPr>
        <w:tc>
          <w:tcPr>
            <w:tcW w:w="1415" w:type="dxa"/>
          </w:tcPr>
          <w:p>
            <w:pPr>
              <w:pStyle w:val="TableParagraph"/>
              <w:ind w:left="549"/>
              <w:jc w:val="left"/>
              <w:rPr>
                <w:sz w:val="18"/>
              </w:rPr>
            </w:pPr>
            <w:r>
              <w:rPr>
                <w:sz w:val="18"/>
              </w:rPr>
              <w:t>59.15¢</w:t>
            </w:r>
          </w:p>
        </w:tc>
        <w:tc>
          <w:tcPr>
            <w:tcW w:w="1440" w:type="dxa"/>
          </w:tcPr>
          <w:p>
            <w:pPr>
              <w:pStyle w:val="TableParagraph"/>
              <w:ind w:right="219"/>
              <w:rPr>
                <w:sz w:val="18"/>
              </w:rPr>
            </w:pPr>
            <w:r>
              <w:rPr>
                <w:sz w:val="18"/>
              </w:rPr>
              <w:t>60.82¢</w:t>
            </w:r>
          </w:p>
        </w:tc>
        <w:tc>
          <w:tcPr>
            <w:tcW w:w="1351" w:type="dxa"/>
          </w:tcPr>
          <w:p>
            <w:pPr>
              <w:pStyle w:val="TableParagraph"/>
              <w:ind w:right="217"/>
              <w:rPr>
                <w:sz w:val="18"/>
              </w:rPr>
            </w:pPr>
            <w:r>
              <w:rPr>
                <w:sz w:val="18"/>
              </w:rPr>
              <w:t>65.69¢</w:t>
            </w:r>
          </w:p>
        </w:tc>
        <w:tc>
          <w:tcPr>
            <w:tcW w:w="1349" w:type="dxa"/>
          </w:tcPr>
          <w:p>
            <w:pPr>
              <w:pStyle w:val="TableParagraph"/>
              <w:ind w:right="217"/>
              <w:rPr>
                <w:sz w:val="18"/>
              </w:rPr>
            </w:pPr>
            <w:r>
              <w:rPr>
                <w:sz w:val="18"/>
              </w:rPr>
              <w:t>77.89¢</w:t>
            </w:r>
          </w:p>
        </w:tc>
        <w:tc>
          <w:tcPr>
            <w:tcW w:w="1394" w:type="dxa"/>
          </w:tcPr>
          <w:p>
            <w:pPr>
              <w:pStyle w:val="TableParagraph"/>
              <w:ind w:right="262"/>
              <w:rPr>
                <w:sz w:val="18"/>
              </w:rPr>
            </w:pPr>
            <w:r>
              <w:rPr>
                <w:sz w:val="18"/>
              </w:rPr>
              <w:t>59.46¢</w:t>
            </w:r>
          </w:p>
        </w:tc>
        <w:tc>
          <w:tcPr>
            <w:tcW w:w="1227" w:type="dxa"/>
          </w:tcPr>
          <w:p>
            <w:pPr>
              <w:pStyle w:val="TableParagraph"/>
              <w:ind w:right="50"/>
              <w:rPr>
                <w:sz w:val="18"/>
              </w:rPr>
            </w:pPr>
            <w:r>
              <w:rPr>
                <w:sz w:val="18"/>
              </w:rPr>
              <w:t>51.37¢</w:t>
            </w:r>
          </w:p>
        </w:tc>
      </w:tr>
      <w:tr>
        <w:trPr>
          <w:trHeight w:val="211" w:hRule="exact"/>
        </w:trPr>
        <w:tc>
          <w:tcPr>
            <w:tcW w:w="1415" w:type="dxa"/>
          </w:tcPr>
          <w:p>
            <w:pPr>
              <w:pStyle w:val="TableParagraph"/>
              <w:ind w:left="549"/>
              <w:jc w:val="left"/>
              <w:rPr>
                <w:sz w:val="18"/>
              </w:rPr>
            </w:pPr>
            <w:r>
              <w:rPr>
                <w:sz w:val="18"/>
              </w:rPr>
              <w:t>15,175</w:t>
            </w:r>
          </w:p>
        </w:tc>
        <w:tc>
          <w:tcPr>
            <w:tcW w:w="1440" w:type="dxa"/>
          </w:tcPr>
          <w:p>
            <w:pPr>
              <w:pStyle w:val="TableParagraph"/>
              <w:ind w:right="219"/>
              <w:rPr>
                <w:sz w:val="18"/>
              </w:rPr>
            </w:pPr>
            <w:r>
              <w:rPr>
                <w:sz w:val="18"/>
              </w:rPr>
              <w:t>11,397</w:t>
            </w:r>
          </w:p>
        </w:tc>
        <w:tc>
          <w:tcPr>
            <w:tcW w:w="1351" w:type="dxa"/>
          </w:tcPr>
          <w:p>
            <w:pPr>
              <w:pStyle w:val="TableParagraph"/>
              <w:ind w:right="217"/>
              <w:rPr>
                <w:sz w:val="18"/>
              </w:rPr>
            </w:pPr>
            <w:r>
              <w:rPr>
                <w:sz w:val="18"/>
              </w:rPr>
              <w:t>9,778</w:t>
            </w:r>
          </w:p>
        </w:tc>
        <w:tc>
          <w:tcPr>
            <w:tcW w:w="1349" w:type="dxa"/>
          </w:tcPr>
          <w:p>
            <w:pPr>
              <w:pStyle w:val="TableParagraph"/>
              <w:ind w:right="217"/>
              <w:rPr>
                <w:sz w:val="18"/>
              </w:rPr>
            </w:pPr>
            <w:r>
              <w:rPr>
                <w:sz w:val="18"/>
              </w:rPr>
              <w:t>8,620</w:t>
            </w:r>
          </w:p>
        </w:tc>
        <w:tc>
          <w:tcPr>
            <w:tcW w:w="1394" w:type="dxa"/>
          </w:tcPr>
          <w:p>
            <w:pPr>
              <w:pStyle w:val="TableParagraph"/>
              <w:ind w:right="263"/>
              <w:rPr>
                <w:sz w:val="18"/>
              </w:rPr>
            </w:pPr>
            <w:r>
              <w:rPr>
                <w:sz w:val="18"/>
              </w:rPr>
              <w:t>7,760</w:t>
            </w:r>
          </w:p>
        </w:tc>
        <w:tc>
          <w:tcPr>
            <w:tcW w:w="1227" w:type="dxa"/>
          </w:tcPr>
          <w:p>
            <w:pPr>
              <w:pStyle w:val="TableParagraph"/>
              <w:ind w:right="50"/>
              <w:rPr>
                <w:sz w:val="18"/>
              </w:rPr>
            </w:pPr>
            <w:r>
              <w:rPr>
                <w:sz w:val="18"/>
              </w:rPr>
              <w:t>6,467</w:t>
            </w:r>
          </w:p>
        </w:tc>
      </w:tr>
      <w:tr>
        <w:trPr>
          <w:trHeight w:val="207" w:hRule="exact"/>
        </w:trPr>
        <w:tc>
          <w:tcPr>
            <w:tcW w:w="1415" w:type="dxa"/>
          </w:tcPr>
          <w:p>
            <w:pPr>
              <w:pStyle w:val="TableParagraph"/>
              <w:ind w:left="803"/>
              <w:jc w:val="left"/>
              <w:rPr>
                <w:sz w:val="18"/>
              </w:rPr>
            </w:pPr>
            <w:r>
              <w:rPr>
                <w:sz w:val="18"/>
              </w:rPr>
              <w:t>178</w:t>
            </w:r>
          </w:p>
        </w:tc>
        <w:tc>
          <w:tcPr>
            <w:tcW w:w="1440" w:type="dxa"/>
          </w:tcPr>
          <w:p>
            <w:pPr>
              <w:pStyle w:val="TableParagraph"/>
              <w:ind w:right="220"/>
              <w:rPr>
                <w:sz w:val="18"/>
              </w:rPr>
            </w:pPr>
            <w:r>
              <w:rPr>
                <w:sz w:val="18"/>
              </w:rPr>
              <w:t>141</w:t>
            </w:r>
          </w:p>
        </w:tc>
        <w:tc>
          <w:tcPr>
            <w:tcW w:w="1351" w:type="dxa"/>
          </w:tcPr>
          <w:p>
            <w:pPr>
              <w:pStyle w:val="TableParagraph"/>
              <w:ind w:right="217"/>
              <w:rPr>
                <w:sz w:val="18"/>
              </w:rPr>
            </w:pPr>
            <w:r>
              <w:rPr>
                <w:sz w:val="18"/>
              </w:rPr>
              <w:t>124</w:t>
            </w:r>
          </w:p>
        </w:tc>
        <w:tc>
          <w:tcPr>
            <w:tcW w:w="1349" w:type="dxa"/>
          </w:tcPr>
          <w:p>
            <w:pPr>
              <w:pStyle w:val="TableParagraph"/>
              <w:ind w:right="217"/>
              <w:rPr>
                <w:sz w:val="18"/>
              </w:rPr>
            </w:pPr>
            <w:r>
              <w:rPr>
                <w:sz w:val="18"/>
              </w:rPr>
              <w:t>106</w:t>
            </w:r>
          </w:p>
        </w:tc>
        <w:tc>
          <w:tcPr>
            <w:tcW w:w="1394" w:type="dxa"/>
          </w:tcPr>
          <w:p>
            <w:pPr>
              <w:pStyle w:val="TableParagraph"/>
              <w:ind w:right="263"/>
              <w:rPr>
                <w:sz w:val="18"/>
              </w:rPr>
            </w:pPr>
            <w:r>
              <w:rPr>
                <w:sz w:val="18"/>
              </w:rPr>
              <w:t>94</w:t>
            </w:r>
          </w:p>
        </w:tc>
        <w:tc>
          <w:tcPr>
            <w:tcW w:w="1227" w:type="dxa"/>
          </w:tcPr>
          <w:p>
            <w:pPr>
              <w:pStyle w:val="TableParagraph"/>
              <w:ind w:right="50"/>
              <w:rPr>
                <w:sz w:val="18"/>
              </w:rPr>
            </w:pPr>
            <w:r>
              <w:rPr>
                <w:sz w:val="18"/>
              </w:rPr>
              <w:t>85</w:t>
            </w:r>
          </w:p>
        </w:tc>
      </w:tr>
    </w:tbl>
    <w:p>
      <w:pPr>
        <w:pStyle w:val="BodyText"/>
        <w:spacing w:before="7"/>
        <w:rPr>
          <w:i/>
        </w:rPr>
      </w:pPr>
    </w:p>
    <w:p>
      <w:pPr>
        <w:pStyle w:val="ListParagraph"/>
        <w:numPr>
          <w:ilvl w:val="0"/>
          <w:numId w:val="3"/>
        </w:numPr>
        <w:tabs>
          <w:tab w:pos="460" w:val="left" w:leader="none"/>
        </w:tabs>
        <w:spacing w:line="240" w:lineRule="auto" w:before="96" w:after="0"/>
        <w:ind w:left="460" w:right="0" w:hanging="360"/>
        <w:jc w:val="left"/>
        <w:rPr>
          <w:i/>
          <w:sz w:val="18"/>
        </w:rPr>
      </w:pPr>
      <w:r>
        <w:rPr>
          <w:i/>
          <w:sz w:val="18"/>
        </w:rPr>
        <w:t>Includes $2.6 million gains on sales of aircraft and $3.1 million from the sale of certain financial</w:t>
      </w:r>
      <w:r>
        <w:rPr>
          <w:i/>
          <w:spacing w:val="-5"/>
          <w:sz w:val="18"/>
        </w:rPr>
        <w:t> </w:t>
      </w:r>
      <w:r>
        <w:rPr>
          <w:i/>
          <w:sz w:val="18"/>
        </w:rPr>
        <w:t>assets</w:t>
      </w:r>
    </w:p>
    <w:p>
      <w:pPr>
        <w:pStyle w:val="ListParagraph"/>
        <w:numPr>
          <w:ilvl w:val="0"/>
          <w:numId w:val="3"/>
        </w:numPr>
        <w:tabs>
          <w:tab w:pos="460" w:val="left" w:leader="none"/>
        </w:tabs>
        <w:spacing w:line="249" w:lineRule="auto" w:before="8" w:after="0"/>
        <w:ind w:left="460" w:right="384" w:hanging="360"/>
        <w:jc w:val="left"/>
        <w:rPr>
          <w:i/>
          <w:sz w:val="18"/>
        </w:rPr>
      </w:pPr>
      <w:r>
        <w:rPr>
          <w:i/>
          <w:sz w:val="18"/>
        </w:rPr>
        <w:t>Includes $10.8 million gains on sales of aircraft, $5.9 million from the sale of certain financial assets, and $2.3 </w:t>
      </w:r>
      <w:r>
        <w:rPr>
          <w:i/>
          <w:sz w:val="18"/>
        </w:rPr>
        <w:t>million from the settlement of a</w:t>
      </w:r>
      <w:r>
        <w:rPr>
          <w:i/>
          <w:spacing w:val="4"/>
          <w:sz w:val="18"/>
        </w:rPr>
        <w:t> </w:t>
      </w:r>
      <w:r>
        <w:rPr>
          <w:i/>
          <w:sz w:val="18"/>
        </w:rPr>
        <w:t>contingency</w:t>
      </w:r>
    </w:p>
    <w:p>
      <w:pPr>
        <w:pStyle w:val="ListParagraph"/>
        <w:numPr>
          <w:ilvl w:val="0"/>
          <w:numId w:val="3"/>
        </w:numPr>
        <w:tabs>
          <w:tab w:pos="460" w:val="left" w:leader="none"/>
        </w:tabs>
        <w:spacing w:line="240" w:lineRule="auto" w:before="0" w:after="0"/>
        <w:ind w:left="460" w:right="0" w:hanging="360"/>
        <w:jc w:val="left"/>
        <w:rPr>
          <w:i/>
          <w:sz w:val="18"/>
        </w:rPr>
      </w:pPr>
      <w:r>
        <w:rPr>
          <w:i/>
          <w:sz w:val="18"/>
        </w:rPr>
        <w:t>Includes $5.6 million gains on sales of aircraft and $3.6 million from the sale of certain financial</w:t>
      </w:r>
      <w:r>
        <w:rPr>
          <w:i/>
          <w:spacing w:val="-5"/>
          <w:sz w:val="18"/>
        </w:rPr>
        <w:t> </w:t>
      </w:r>
      <w:r>
        <w:rPr>
          <w:i/>
          <w:sz w:val="18"/>
        </w:rPr>
        <w:t>assets</w:t>
      </w:r>
    </w:p>
    <w:p>
      <w:pPr>
        <w:pStyle w:val="ListParagraph"/>
        <w:numPr>
          <w:ilvl w:val="0"/>
          <w:numId w:val="3"/>
        </w:numPr>
        <w:tabs>
          <w:tab w:pos="460" w:val="left" w:leader="none"/>
        </w:tabs>
        <w:spacing w:line="240" w:lineRule="auto" w:before="8" w:after="0"/>
        <w:ind w:left="460" w:right="0" w:hanging="360"/>
        <w:jc w:val="left"/>
        <w:rPr>
          <w:i/>
          <w:sz w:val="18"/>
        </w:rPr>
      </w:pPr>
      <w:r>
        <w:rPr>
          <w:i/>
          <w:sz w:val="18"/>
        </w:rPr>
        <w:t>Includes certain estimates for</w:t>
      </w:r>
      <w:r>
        <w:rPr>
          <w:i/>
          <w:spacing w:val="12"/>
          <w:sz w:val="18"/>
        </w:rPr>
        <w:t> </w:t>
      </w:r>
      <w:r>
        <w:rPr>
          <w:i/>
          <w:sz w:val="18"/>
        </w:rPr>
        <w:t>Morris</w:t>
      </w:r>
    </w:p>
    <w:p>
      <w:pPr>
        <w:pStyle w:val="ListParagraph"/>
        <w:numPr>
          <w:ilvl w:val="0"/>
          <w:numId w:val="3"/>
        </w:numPr>
        <w:tabs>
          <w:tab w:pos="460" w:val="left" w:leader="none"/>
        </w:tabs>
        <w:spacing w:line="240" w:lineRule="auto" w:before="8" w:after="0"/>
        <w:ind w:left="460" w:right="0" w:hanging="360"/>
        <w:jc w:val="left"/>
        <w:rPr>
          <w:i/>
          <w:sz w:val="18"/>
        </w:rPr>
      </w:pPr>
      <w:r>
        <w:rPr>
          <w:i/>
          <w:sz w:val="18"/>
        </w:rPr>
        <w:t>Excludes merger expenses of $10.8</w:t>
      </w:r>
      <w:r>
        <w:rPr>
          <w:i/>
          <w:spacing w:val="3"/>
          <w:sz w:val="18"/>
        </w:rPr>
        <w:t> </w:t>
      </w:r>
      <w:r>
        <w:rPr>
          <w:i/>
          <w:sz w:val="18"/>
        </w:rPr>
        <w:t>million</w:t>
      </w:r>
    </w:p>
    <w:p>
      <w:pPr>
        <w:pStyle w:val="ListParagraph"/>
        <w:numPr>
          <w:ilvl w:val="0"/>
          <w:numId w:val="3"/>
        </w:numPr>
        <w:tabs>
          <w:tab w:pos="460" w:val="left" w:leader="none"/>
        </w:tabs>
        <w:spacing w:line="240" w:lineRule="auto" w:before="8" w:after="0"/>
        <w:ind w:left="460" w:right="0" w:hanging="360"/>
        <w:jc w:val="left"/>
        <w:rPr>
          <w:i/>
          <w:sz w:val="18"/>
        </w:rPr>
      </w:pPr>
      <w:r>
        <w:rPr>
          <w:i/>
          <w:sz w:val="18"/>
        </w:rPr>
        <w:t>Includes leased</w:t>
      </w:r>
      <w:r>
        <w:rPr>
          <w:i/>
          <w:spacing w:val="-4"/>
          <w:sz w:val="18"/>
        </w:rPr>
        <w:t> </w:t>
      </w:r>
      <w:r>
        <w:rPr>
          <w:i/>
          <w:sz w:val="18"/>
        </w:rPr>
        <w:t>aircraft</w:t>
      </w:r>
    </w:p>
    <w:p>
      <w:pPr>
        <w:spacing w:after="0" w:line="240" w:lineRule="auto"/>
        <w:jc w:val="left"/>
        <w:rPr>
          <w:sz w:val="18"/>
        </w:rPr>
        <w:sectPr>
          <w:pgSz w:w="12240" w:h="15840"/>
          <w:pgMar w:header="1592" w:footer="790" w:top="2120" w:bottom="980" w:left="1340" w:right="1320"/>
        </w:sectPr>
      </w:pPr>
    </w:p>
    <w:p>
      <w:pPr>
        <w:pStyle w:val="BodyText"/>
        <w:spacing w:before="6"/>
        <w:rPr>
          <w:i/>
          <w:sz w:val="29"/>
        </w:rPr>
      </w:pPr>
    </w:p>
    <w:p>
      <w:pPr>
        <w:pStyle w:val="Heading3"/>
        <w:spacing w:before="93"/>
      </w:pPr>
      <w:bookmarkStart w:name="_TOC_250000" w:id="4"/>
      <w:bookmarkEnd w:id="4"/>
      <w:r>
        <w:rPr/>
        <w:t>CORPORATE DATA</w:t>
      </w:r>
    </w:p>
    <w:p>
      <w:pPr>
        <w:pStyle w:val="BodyText"/>
        <w:spacing w:before="8"/>
        <w:rPr>
          <w:b/>
          <w:sz w:val="32"/>
        </w:rPr>
      </w:pPr>
    </w:p>
    <w:p>
      <w:pPr>
        <w:spacing w:before="0"/>
        <w:ind w:left="120" w:right="0" w:firstLine="0"/>
        <w:jc w:val="left"/>
        <w:rPr>
          <w:b/>
          <w:sz w:val="24"/>
        </w:rPr>
      </w:pPr>
      <w:r>
        <w:rPr>
          <w:b/>
          <w:color w:val="008080"/>
          <w:sz w:val="24"/>
        </w:rPr>
        <w:t>TRANSFER AGENT AND REGISTRAR</w:t>
      </w:r>
    </w:p>
    <w:p>
      <w:pPr>
        <w:pStyle w:val="BodyText"/>
        <w:spacing w:before="9"/>
        <w:rPr>
          <w:b/>
          <w:sz w:val="21"/>
        </w:rPr>
      </w:pPr>
    </w:p>
    <w:p>
      <w:pPr>
        <w:pStyle w:val="BodyText"/>
        <w:spacing w:line="247" w:lineRule="auto"/>
        <w:ind w:left="119" w:right="4592"/>
      </w:pPr>
      <w:r>
        <w:rPr/>
        <w:t>Continental Stock Transfer &amp; Trust Company 2 Broadway</w:t>
      </w:r>
    </w:p>
    <w:p>
      <w:pPr>
        <w:pStyle w:val="BodyText"/>
        <w:spacing w:line="247" w:lineRule="auto"/>
        <w:ind w:left="119" w:right="6513"/>
      </w:pPr>
      <w:r>
        <w:rPr/>
        <w:t>New York, New York 10004 (212) 509-4000</w:t>
      </w:r>
    </w:p>
    <w:p>
      <w:pPr>
        <w:pStyle w:val="BodyText"/>
        <w:spacing w:before="1"/>
        <w:rPr>
          <w:sz w:val="25"/>
        </w:rPr>
      </w:pPr>
    </w:p>
    <w:p>
      <w:pPr>
        <w:pStyle w:val="Heading3"/>
      </w:pPr>
      <w:r>
        <w:rPr>
          <w:color w:val="008080"/>
        </w:rPr>
        <w:t>STOCK EXCHANGE LISTING</w:t>
      </w:r>
    </w:p>
    <w:p>
      <w:pPr>
        <w:pStyle w:val="BodyText"/>
        <w:spacing w:before="10"/>
        <w:rPr>
          <w:b/>
          <w:sz w:val="21"/>
        </w:rPr>
      </w:pPr>
    </w:p>
    <w:p>
      <w:pPr>
        <w:pStyle w:val="BodyText"/>
        <w:spacing w:line="247" w:lineRule="auto"/>
        <w:ind w:left="119" w:right="6098"/>
      </w:pPr>
      <w:r>
        <w:rPr/>
        <w:t>New York Stock Exchange Ticker Symbol: LUV</w:t>
      </w:r>
    </w:p>
    <w:p>
      <w:pPr>
        <w:pStyle w:val="BodyText"/>
        <w:spacing w:before="10"/>
      </w:pPr>
    </w:p>
    <w:p>
      <w:pPr>
        <w:pStyle w:val="Heading3"/>
        <w:spacing w:before="1"/>
      </w:pPr>
      <w:r>
        <w:rPr>
          <w:color w:val="008080"/>
        </w:rPr>
        <w:t>AUDITORS</w:t>
      </w:r>
    </w:p>
    <w:p>
      <w:pPr>
        <w:pStyle w:val="BodyText"/>
        <w:spacing w:before="10"/>
        <w:rPr>
          <w:b/>
          <w:sz w:val="21"/>
        </w:rPr>
      </w:pPr>
    </w:p>
    <w:p>
      <w:pPr>
        <w:pStyle w:val="BodyText"/>
        <w:spacing w:line="247" w:lineRule="auto"/>
        <w:ind w:left="119" w:right="6726"/>
      </w:pPr>
      <w:r>
        <w:rPr/>
        <w:t>Ernst &amp; Young LLP Dallas, Texas</w:t>
      </w:r>
    </w:p>
    <w:p>
      <w:pPr>
        <w:pStyle w:val="BodyText"/>
        <w:spacing w:before="10"/>
      </w:pPr>
    </w:p>
    <w:p>
      <w:pPr>
        <w:pStyle w:val="Heading3"/>
      </w:pPr>
      <w:r>
        <w:rPr>
          <w:color w:val="008080"/>
        </w:rPr>
        <w:t>GENERAL OFFICES</w:t>
      </w:r>
    </w:p>
    <w:p>
      <w:pPr>
        <w:pStyle w:val="BodyText"/>
        <w:spacing w:before="9"/>
        <w:rPr>
          <w:b/>
          <w:sz w:val="21"/>
        </w:rPr>
      </w:pPr>
    </w:p>
    <w:p>
      <w:pPr>
        <w:pStyle w:val="BodyText"/>
        <w:spacing w:before="1"/>
        <w:ind w:left="119"/>
      </w:pPr>
      <w:r>
        <w:rPr/>
        <w:t>P.O. Box 36611</w:t>
      </w:r>
    </w:p>
    <w:p>
      <w:pPr>
        <w:pStyle w:val="BodyText"/>
        <w:spacing w:before="7"/>
        <w:ind w:left="119"/>
      </w:pPr>
      <w:r>
        <w:rPr/>
        <w:t>Dallas, Texas 75235-1611</w:t>
      </w:r>
    </w:p>
    <w:p>
      <w:pPr>
        <w:pStyle w:val="BodyText"/>
        <w:spacing w:before="7"/>
        <w:rPr>
          <w:sz w:val="25"/>
        </w:rPr>
      </w:pPr>
    </w:p>
    <w:p>
      <w:pPr>
        <w:pStyle w:val="Heading3"/>
      </w:pPr>
      <w:r>
        <w:rPr>
          <w:color w:val="008080"/>
        </w:rPr>
        <w:t>ANNUAL MEETING</w:t>
      </w:r>
    </w:p>
    <w:p>
      <w:pPr>
        <w:pStyle w:val="BodyText"/>
        <w:spacing w:before="10"/>
        <w:rPr>
          <w:b/>
          <w:sz w:val="21"/>
        </w:rPr>
      </w:pPr>
    </w:p>
    <w:p>
      <w:pPr>
        <w:pStyle w:val="BodyText"/>
        <w:spacing w:line="247" w:lineRule="auto"/>
        <w:ind w:left="1559" w:right="833" w:hanging="1440"/>
      </w:pPr>
      <w:r>
        <w:rPr/>
        <w:t>The Annual Meeting of Shareholders of Southwest Airlines Co. will be held at 10:00a.m.</w:t>
      </w:r>
    </w:p>
    <w:p>
      <w:pPr>
        <w:pStyle w:val="BodyText"/>
        <w:spacing w:line="247" w:lineRule="auto"/>
        <w:ind w:left="119" w:right="203"/>
      </w:pPr>
      <w:r>
        <w:rPr/>
        <w:t>on May 21, 1998, at the Southwest Airlines Corporate Headquarters, 2702 Love Field Drive, Dallas, Texas.</w:t>
      </w:r>
    </w:p>
    <w:p>
      <w:pPr>
        <w:pStyle w:val="BodyText"/>
        <w:rPr>
          <w:sz w:val="25"/>
        </w:rPr>
      </w:pPr>
    </w:p>
    <w:p>
      <w:pPr>
        <w:pStyle w:val="Heading3"/>
      </w:pPr>
      <w:r>
        <w:rPr>
          <w:color w:val="008080"/>
        </w:rPr>
        <w:t>FINANCIAL INFORMATION</w:t>
      </w:r>
    </w:p>
    <w:p>
      <w:pPr>
        <w:pStyle w:val="BodyText"/>
        <w:spacing w:before="9"/>
        <w:rPr>
          <w:b/>
          <w:sz w:val="21"/>
        </w:rPr>
      </w:pPr>
    </w:p>
    <w:p>
      <w:pPr>
        <w:pStyle w:val="BodyText"/>
        <w:spacing w:line="247" w:lineRule="auto" w:before="1"/>
        <w:ind w:left="119" w:right="203"/>
      </w:pPr>
      <w:r>
        <w:rPr/>
        <w:t>A copy of the Company’s Annual Report on Form 10-K as filed with the Securities and Exchange Commission may be obtained without charge, as well as other financial information, by writing or calling:</w:t>
      </w:r>
    </w:p>
    <w:p>
      <w:pPr>
        <w:pStyle w:val="BodyText"/>
        <w:spacing w:line="247" w:lineRule="auto"/>
        <w:ind w:left="479" w:right="6686"/>
      </w:pPr>
      <w:r>
        <w:rPr/>
        <w:t>Investor Relations Southwest Airlines Co.</w:t>
      </w:r>
    </w:p>
    <w:p>
      <w:pPr>
        <w:pStyle w:val="BodyText"/>
        <w:spacing w:line="275" w:lineRule="exact"/>
        <w:ind w:left="479"/>
      </w:pPr>
      <w:r>
        <w:rPr/>
        <w:t>P.O. Box 36611</w:t>
      </w:r>
    </w:p>
    <w:p>
      <w:pPr>
        <w:pStyle w:val="BodyText"/>
        <w:spacing w:before="6"/>
        <w:ind w:left="479"/>
      </w:pPr>
      <w:r>
        <w:rPr/>
        <w:t>Dallas, Texas 75235-1611</w:t>
      </w:r>
    </w:p>
    <w:p>
      <w:pPr>
        <w:pStyle w:val="BodyText"/>
        <w:spacing w:before="6"/>
        <w:ind w:left="479"/>
      </w:pPr>
      <w:r>
        <w:rPr/>
        <w:t>Telephone (214) 792-4908</w:t>
      </w:r>
    </w:p>
    <w:p>
      <w:pPr>
        <w:spacing w:after="0"/>
        <w:sectPr>
          <w:pgSz w:w="12240" w:h="15840"/>
          <w:pgMar w:header="1592" w:footer="790" w:top="2120" w:bottom="980" w:left="1320" w:right="1320"/>
        </w:sectPr>
      </w:pPr>
    </w:p>
    <w:p>
      <w:pPr>
        <w:pStyle w:val="BodyText"/>
        <w:spacing w:before="8"/>
      </w:pPr>
    </w:p>
    <w:p>
      <w:pPr>
        <w:pStyle w:val="Heading1"/>
        <w:spacing w:line="249" w:lineRule="auto"/>
        <w:ind w:right="114"/>
      </w:pPr>
      <w:r>
        <w:rPr>
          <w:color w:val="008080"/>
          <w:sz w:val="56"/>
        </w:rPr>
        <w:t>T</w:t>
      </w:r>
      <w:r>
        <w:rPr>
          <w:color w:val="008080"/>
        </w:rPr>
        <w:t>HIS SOUTHWEST AIRLINES ANNUAL REPORT </w:t>
      </w:r>
      <w:r>
        <w:rPr>
          <w:color w:val="FF0000"/>
        </w:rPr>
        <w:t>IS DEDICATED TO THE 25,000+ EMPLOYEES WHOSE NAMES ARE PERMANENTLY INSCRIBED ONBOARD TRIPLE CROWN ONE, A SIGNATURE SALUTE TO THE EMPLOYEES OF SOUTHWEST AIRLINES FOR FIVE ANNUAL TRIPLE CROWN WINS.</w:t>
      </w:r>
    </w:p>
    <w:p>
      <w:pPr>
        <w:pStyle w:val="BodyText"/>
        <w:spacing w:before="7"/>
        <w:rPr>
          <w:b/>
          <w:sz w:val="31"/>
        </w:rPr>
      </w:pPr>
    </w:p>
    <w:p>
      <w:pPr>
        <w:pStyle w:val="Heading3"/>
        <w:ind w:left="100"/>
      </w:pPr>
      <w:r>
        <w:rPr/>
        <w:t>Directors</w:t>
      </w:r>
    </w:p>
    <w:p>
      <w:pPr>
        <w:pStyle w:val="BodyText"/>
        <w:spacing w:before="3"/>
        <w:rPr>
          <w:b/>
          <w:sz w:val="22"/>
        </w:rPr>
      </w:pPr>
    </w:p>
    <w:p>
      <w:pPr>
        <w:pStyle w:val="BodyText"/>
        <w:spacing w:line="258" w:lineRule="exact" w:before="1"/>
        <w:ind w:left="100"/>
      </w:pPr>
      <w:r>
        <w:rPr/>
        <w:t>SAMUEL E. BARSHOP</w:t>
      </w:r>
    </w:p>
    <w:p>
      <w:pPr>
        <w:pStyle w:val="BodyText"/>
        <w:spacing w:line="240" w:lineRule="exact" w:before="15"/>
        <w:ind w:left="100" w:right="3817"/>
      </w:pPr>
      <w:r>
        <w:rPr/>
        <w:t>Chairman of the Board, Barshop &amp; Oles Co., Inc., San Antonio, Texas;</w:t>
      </w:r>
    </w:p>
    <w:p>
      <w:pPr>
        <w:pStyle w:val="BodyText"/>
        <w:spacing w:line="243" w:lineRule="exact"/>
        <w:ind w:left="100"/>
      </w:pPr>
      <w:r>
        <w:rPr/>
        <w:t>Audit and Compensation Committees</w:t>
      </w:r>
    </w:p>
    <w:p>
      <w:pPr>
        <w:pStyle w:val="BodyText"/>
        <w:spacing w:line="258" w:lineRule="exact" w:before="204"/>
        <w:ind w:left="100"/>
      </w:pPr>
      <w:r>
        <w:rPr/>
        <w:t>GENE H. BISHOP</w:t>
      </w:r>
    </w:p>
    <w:p>
      <w:pPr>
        <w:pStyle w:val="BodyText"/>
        <w:spacing w:line="240" w:lineRule="exact"/>
        <w:ind w:left="100"/>
      </w:pPr>
      <w:r>
        <w:rPr/>
        <w:t>Retired, Dallas, Texas;</w:t>
      </w:r>
    </w:p>
    <w:p>
      <w:pPr>
        <w:pStyle w:val="BodyText"/>
        <w:spacing w:line="258" w:lineRule="exact"/>
        <w:ind w:left="100"/>
      </w:pPr>
      <w:r>
        <w:rPr/>
        <w:t>Audit, Compensation, and Executive Committees</w:t>
      </w:r>
    </w:p>
    <w:p>
      <w:pPr>
        <w:pStyle w:val="BodyText"/>
        <w:spacing w:line="258" w:lineRule="exact" w:before="203"/>
        <w:ind w:left="100"/>
      </w:pPr>
      <w:r>
        <w:rPr/>
        <w:t>C. WEBB CROCKETT</w:t>
      </w:r>
    </w:p>
    <w:p>
      <w:pPr>
        <w:pStyle w:val="BodyText"/>
        <w:spacing w:line="240" w:lineRule="exact" w:before="14"/>
        <w:ind w:left="100" w:right="3817"/>
      </w:pPr>
      <w:r>
        <w:rPr/>
        <w:t>Shareholder and Director, Fennemore Craig, Attorneys  at Law, Phoenix, Arizona;</w:t>
      </w:r>
    </w:p>
    <w:p>
      <w:pPr>
        <w:pStyle w:val="BodyText"/>
        <w:spacing w:line="243" w:lineRule="exact"/>
        <w:ind w:left="100"/>
      </w:pPr>
      <w:r>
        <w:rPr/>
        <w:t>Audit Committee</w:t>
      </w:r>
    </w:p>
    <w:p>
      <w:pPr>
        <w:pStyle w:val="BodyText"/>
        <w:spacing w:line="258" w:lineRule="exact" w:before="204"/>
        <w:ind w:left="100"/>
      </w:pPr>
      <w:r>
        <w:rPr/>
        <w:t>WILLIAM P. HOBBY</w:t>
      </w:r>
    </w:p>
    <w:p>
      <w:pPr>
        <w:pStyle w:val="BodyText"/>
        <w:spacing w:line="240" w:lineRule="exact"/>
        <w:ind w:left="100"/>
      </w:pPr>
      <w:r>
        <w:rPr/>
        <w:t>Chairman of the Board,</w:t>
      </w:r>
    </w:p>
    <w:p>
      <w:pPr>
        <w:pStyle w:val="BodyText"/>
        <w:spacing w:line="240" w:lineRule="exact" w:before="15"/>
        <w:ind w:left="100" w:right="5338"/>
      </w:pPr>
      <w:r>
        <w:rPr/>
        <w:t>Hobby Communications, L.L.C.; Former Lieutenant Governor of Texas; Houston, Texas;</w:t>
      </w:r>
    </w:p>
    <w:p>
      <w:pPr>
        <w:pStyle w:val="BodyText"/>
        <w:spacing w:line="243" w:lineRule="exact"/>
        <w:ind w:left="100"/>
      </w:pPr>
      <w:r>
        <w:rPr/>
        <w:t>Audit and Compensation Committees</w:t>
      </w:r>
    </w:p>
    <w:p>
      <w:pPr>
        <w:pStyle w:val="BodyText"/>
        <w:spacing w:line="258" w:lineRule="exact" w:before="204"/>
        <w:ind w:left="100"/>
      </w:pPr>
      <w:r>
        <w:rPr/>
        <w:t>TRAVIS C. JOHNSON</w:t>
      </w:r>
    </w:p>
    <w:p>
      <w:pPr>
        <w:pStyle w:val="BodyText"/>
        <w:spacing w:line="240" w:lineRule="exact" w:before="14"/>
        <w:ind w:left="100" w:right="5858"/>
      </w:pPr>
      <w:r>
        <w:rPr/>
        <w:t>Partner, Johnson &amp; Bowen, Attorneys at Law, El Paso, Texas; Audit Committee</w:t>
      </w:r>
    </w:p>
    <w:p>
      <w:pPr>
        <w:pStyle w:val="BodyText"/>
        <w:spacing w:line="258" w:lineRule="exact" w:before="206"/>
        <w:ind w:left="100"/>
      </w:pPr>
      <w:r>
        <w:rPr/>
        <w:t>HERBERT D. KELLEHER</w:t>
      </w:r>
    </w:p>
    <w:p>
      <w:pPr>
        <w:pStyle w:val="BodyText"/>
        <w:spacing w:line="240" w:lineRule="exact"/>
        <w:ind w:left="100"/>
      </w:pPr>
      <w:r>
        <w:rPr/>
        <w:t>Chairman of the Board, President, and</w:t>
      </w:r>
    </w:p>
    <w:p>
      <w:pPr>
        <w:pStyle w:val="BodyText"/>
        <w:spacing w:line="240" w:lineRule="exact" w:before="15"/>
        <w:ind w:left="100" w:right="3817"/>
      </w:pPr>
      <w:r>
        <w:rPr/>
        <w:t>Chief Executive Officer of Southwest Airlines Co., Dallas, Texas; Executive Committee</w:t>
      </w:r>
    </w:p>
    <w:p>
      <w:pPr>
        <w:pStyle w:val="BodyText"/>
        <w:spacing w:line="258" w:lineRule="exact" w:before="206"/>
        <w:ind w:left="100"/>
      </w:pPr>
      <w:r>
        <w:rPr/>
        <w:t>ROLLIN W. KING</w:t>
      </w:r>
    </w:p>
    <w:p>
      <w:pPr>
        <w:pStyle w:val="BodyText"/>
        <w:spacing w:line="240" w:lineRule="exact"/>
        <w:ind w:left="100"/>
      </w:pPr>
      <w:r>
        <w:rPr/>
        <w:t>Retired, Dallas, Texas;</w:t>
      </w:r>
    </w:p>
    <w:p>
      <w:pPr>
        <w:pStyle w:val="BodyText"/>
        <w:spacing w:line="258" w:lineRule="exact"/>
        <w:ind w:left="100"/>
      </w:pPr>
      <w:r>
        <w:rPr/>
        <w:t>Audit and Executive Committees</w:t>
      </w:r>
    </w:p>
    <w:p>
      <w:pPr>
        <w:spacing w:after="0" w:line="258" w:lineRule="exact"/>
        <w:sectPr>
          <w:pgSz w:w="12240" w:h="15840"/>
          <w:pgMar w:header="1592" w:footer="790" w:top="2120" w:bottom="980" w:left="1340" w:right="1320"/>
        </w:sectPr>
      </w:pPr>
    </w:p>
    <w:p>
      <w:pPr>
        <w:pStyle w:val="BodyText"/>
        <w:spacing w:before="6"/>
        <w:rPr>
          <w:sz w:val="9"/>
        </w:rPr>
      </w:pPr>
    </w:p>
    <w:p>
      <w:pPr>
        <w:pStyle w:val="BodyText"/>
        <w:spacing w:line="258" w:lineRule="exact" w:before="92"/>
        <w:ind w:left="119"/>
      </w:pPr>
      <w:r>
        <w:rPr/>
        <w:t>WALTER M. MISCHER, SR.</w:t>
      </w:r>
    </w:p>
    <w:p>
      <w:pPr>
        <w:pStyle w:val="BodyText"/>
        <w:spacing w:line="240" w:lineRule="exact"/>
        <w:ind w:left="119"/>
      </w:pPr>
      <w:r>
        <w:rPr/>
        <w:t>President and Chief Executive</w:t>
      </w:r>
    </w:p>
    <w:p>
      <w:pPr>
        <w:pStyle w:val="BodyText"/>
        <w:spacing w:line="240" w:lineRule="exact" w:before="15"/>
        <w:ind w:left="119" w:right="4592"/>
      </w:pPr>
      <w:r>
        <w:rPr/>
        <w:t>Officer, Hallmark Residential Group, Inc., Houston, Texas (Real Estate Development); Audit and Compensation Committees</w:t>
      </w:r>
    </w:p>
    <w:p>
      <w:pPr>
        <w:pStyle w:val="BodyText"/>
        <w:spacing w:line="258" w:lineRule="exact" w:before="206"/>
        <w:ind w:left="119"/>
      </w:pPr>
      <w:r>
        <w:rPr/>
        <w:t>JUNE M. MORRIS</w:t>
      </w:r>
    </w:p>
    <w:p>
      <w:pPr>
        <w:pStyle w:val="BodyText"/>
        <w:spacing w:line="240" w:lineRule="exact" w:before="15"/>
        <w:ind w:left="119" w:right="4766"/>
      </w:pPr>
      <w:r>
        <w:rPr/>
        <w:t>Founder and former Chief Executive Officer of Morris Air Corporation,</w:t>
      </w:r>
    </w:p>
    <w:p>
      <w:pPr>
        <w:pStyle w:val="BodyText"/>
        <w:spacing w:line="243" w:lineRule="exact"/>
        <w:ind w:left="119"/>
      </w:pPr>
      <w:r>
        <w:rPr/>
        <w:t>Salt Lake City, Utah; Audit Committee</w:t>
      </w:r>
    </w:p>
    <w:p>
      <w:pPr>
        <w:pStyle w:val="Heading3"/>
        <w:spacing w:before="204"/>
      </w:pPr>
      <w:r>
        <w:rPr/>
        <w:t>Officers</w:t>
      </w:r>
    </w:p>
    <w:p>
      <w:pPr>
        <w:pStyle w:val="BodyText"/>
        <w:spacing w:line="258" w:lineRule="exact" w:before="204"/>
        <w:ind w:left="119"/>
      </w:pPr>
      <w:r>
        <w:rPr/>
        <w:t>HERBERT D. KELLEHER*</w:t>
      </w:r>
    </w:p>
    <w:p>
      <w:pPr>
        <w:pStyle w:val="BodyText"/>
        <w:spacing w:line="240" w:lineRule="exact" w:before="15"/>
        <w:ind w:left="119" w:right="5474"/>
      </w:pPr>
      <w:r>
        <w:rPr/>
        <w:t>Chairman of the Board, President, and Chief Executive Officer</w:t>
      </w:r>
    </w:p>
    <w:p>
      <w:pPr>
        <w:pStyle w:val="BodyText"/>
        <w:spacing w:line="258" w:lineRule="exact" w:before="206"/>
        <w:ind w:left="119"/>
      </w:pPr>
      <w:r>
        <w:rPr/>
        <w:t>COLLEEN C. BARRETT*</w:t>
      </w:r>
    </w:p>
    <w:p>
      <w:pPr>
        <w:pStyle w:val="BodyText"/>
        <w:spacing w:line="258" w:lineRule="exact"/>
        <w:ind w:left="119"/>
      </w:pPr>
      <w:r>
        <w:rPr/>
        <w:t>Executive Vice President–Customers and Corporate Secretary</w:t>
      </w:r>
    </w:p>
    <w:p>
      <w:pPr>
        <w:pStyle w:val="BodyText"/>
        <w:spacing w:line="258" w:lineRule="exact" w:before="204"/>
        <w:ind w:left="119"/>
      </w:pPr>
      <w:r>
        <w:rPr/>
        <w:t>GARY A. BARRON*</w:t>
      </w:r>
    </w:p>
    <w:p>
      <w:pPr>
        <w:pStyle w:val="BodyText"/>
        <w:spacing w:line="258" w:lineRule="exact"/>
        <w:ind w:left="119"/>
      </w:pPr>
      <w:r>
        <w:rPr/>
        <w:t>Executive Vice President–Chief Operations Officer</w:t>
      </w:r>
    </w:p>
    <w:p>
      <w:pPr>
        <w:pStyle w:val="BodyText"/>
        <w:spacing w:line="258" w:lineRule="exact" w:before="204"/>
        <w:ind w:left="119"/>
      </w:pPr>
      <w:r>
        <w:rPr/>
        <w:t>JOHN G. DENISON*</w:t>
      </w:r>
    </w:p>
    <w:p>
      <w:pPr>
        <w:pStyle w:val="BodyText"/>
        <w:spacing w:line="258" w:lineRule="exact"/>
        <w:ind w:left="119"/>
      </w:pPr>
      <w:r>
        <w:rPr/>
        <w:t>Executive Vice President–Corporate Services</w:t>
      </w:r>
    </w:p>
    <w:p>
      <w:pPr>
        <w:pStyle w:val="BodyText"/>
        <w:spacing w:line="258" w:lineRule="exact" w:before="204"/>
        <w:ind w:left="119"/>
      </w:pPr>
      <w:r>
        <w:rPr/>
        <w:t>CAROLYN R. BATES</w:t>
      </w:r>
    </w:p>
    <w:p>
      <w:pPr>
        <w:pStyle w:val="BodyText"/>
        <w:spacing w:line="258" w:lineRule="exact"/>
        <w:ind w:left="119"/>
      </w:pPr>
      <w:r>
        <w:rPr/>
        <w:t>Vice President–Reservations</w:t>
      </w:r>
    </w:p>
    <w:p>
      <w:pPr>
        <w:pStyle w:val="BodyText"/>
        <w:spacing w:line="258" w:lineRule="exact" w:before="205"/>
        <w:ind w:left="119"/>
      </w:pPr>
      <w:r>
        <w:rPr/>
        <w:t>ALAN S. DAVIS</w:t>
      </w:r>
    </w:p>
    <w:p>
      <w:pPr>
        <w:pStyle w:val="BodyText"/>
        <w:spacing w:line="258" w:lineRule="exact"/>
        <w:ind w:left="119"/>
      </w:pPr>
      <w:r>
        <w:rPr/>
        <w:t>Vice President–Internal Audit and Special Projects</w:t>
      </w:r>
    </w:p>
    <w:p>
      <w:pPr>
        <w:pStyle w:val="BodyText"/>
        <w:spacing w:line="258" w:lineRule="exact" w:before="204"/>
        <w:ind w:left="119"/>
      </w:pPr>
      <w:r>
        <w:rPr/>
        <w:t>LUKE J. GILL</w:t>
      </w:r>
    </w:p>
    <w:p>
      <w:pPr>
        <w:pStyle w:val="BodyText"/>
        <w:spacing w:line="258" w:lineRule="exact"/>
        <w:ind w:left="119"/>
      </w:pPr>
      <w:r>
        <w:rPr/>
        <w:t>Vice President–Maintenance and Engineering</w:t>
      </w:r>
    </w:p>
    <w:p>
      <w:pPr>
        <w:pStyle w:val="BodyText"/>
        <w:spacing w:line="258" w:lineRule="exact" w:before="204"/>
        <w:ind w:left="119"/>
      </w:pPr>
      <w:r>
        <w:rPr/>
        <w:t>MICHAEL P. GOLDEN</w:t>
      </w:r>
    </w:p>
    <w:p>
      <w:pPr>
        <w:pStyle w:val="BodyText"/>
        <w:spacing w:line="258" w:lineRule="exact"/>
        <w:ind w:left="119"/>
      </w:pPr>
      <w:r>
        <w:rPr/>
        <w:t>Vice President–Purchasing</w:t>
      </w:r>
    </w:p>
    <w:p>
      <w:pPr>
        <w:pStyle w:val="BodyText"/>
        <w:spacing w:line="258" w:lineRule="exact" w:before="204"/>
        <w:ind w:left="119"/>
      </w:pPr>
      <w:r>
        <w:rPr/>
        <w:t>GINGER C. HARDAGE</w:t>
      </w:r>
    </w:p>
    <w:p>
      <w:pPr>
        <w:pStyle w:val="BodyText"/>
        <w:spacing w:line="258" w:lineRule="exact"/>
        <w:ind w:left="119"/>
      </w:pPr>
      <w:r>
        <w:rPr/>
        <w:t>Vice President–Public Relations and Corporate Communications</w:t>
      </w:r>
    </w:p>
    <w:p>
      <w:pPr>
        <w:pStyle w:val="BodyText"/>
        <w:spacing w:line="258" w:lineRule="exact" w:before="204"/>
        <w:ind w:left="119"/>
      </w:pPr>
      <w:r>
        <w:rPr/>
        <w:t>ROBERT E. JORDAN</w:t>
      </w:r>
    </w:p>
    <w:p>
      <w:pPr>
        <w:pStyle w:val="BodyText"/>
        <w:spacing w:line="258" w:lineRule="exact"/>
        <w:ind w:left="119"/>
      </w:pPr>
      <w:r>
        <w:rPr/>
        <w:t>Controller</w:t>
      </w:r>
    </w:p>
    <w:p>
      <w:pPr>
        <w:pStyle w:val="BodyText"/>
        <w:spacing w:line="258" w:lineRule="exact" w:before="204"/>
        <w:ind w:left="119"/>
      </w:pPr>
      <w:r>
        <w:rPr/>
        <w:t>CAMILLE T. KEITH</w:t>
      </w:r>
    </w:p>
    <w:p>
      <w:pPr>
        <w:pStyle w:val="BodyText"/>
        <w:spacing w:line="258" w:lineRule="exact"/>
        <w:ind w:left="119"/>
      </w:pPr>
      <w:r>
        <w:rPr/>
        <w:t>Vice President–Special Marketing</w:t>
      </w:r>
    </w:p>
    <w:p>
      <w:pPr>
        <w:pStyle w:val="BodyText"/>
        <w:spacing w:line="258" w:lineRule="exact" w:before="204"/>
        <w:ind w:left="119"/>
      </w:pPr>
      <w:r>
        <w:rPr/>
        <w:t>GARY C. KELLY*</w:t>
      </w:r>
    </w:p>
    <w:p>
      <w:pPr>
        <w:pStyle w:val="BodyText"/>
        <w:spacing w:line="240" w:lineRule="exact" w:before="15"/>
        <w:ind w:left="119" w:right="6570"/>
      </w:pPr>
      <w:r>
        <w:rPr/>
        <w:t>Vice President–Finance, Chief Financial Officer</w:t>
      </w:r>
    </w:p>
    <w:p>
      <w:pPr>
        <w:spacing w:after="0" w:line="240" w:lineRule="exact"/>
        <w:sectPr>
          <w:pgSz w:w="12240" w:h="15840"/>
          <w:pgMar w:header="1592" w:footer="790" w:top="2120" w:bottom="980" w:left="1320" w:right="1320"/>
        </w:sectPr>
      </w:pPr>
    </w:p>
    <w:p>
      <w:pPr>
        <w:pStyle w:val="BodyText"/>
        <w:rPr>
          <w:sz w:val="20"/>
        </w:rPr>
      </w:pPr>
    </w:p>
    <w:p>
      <w:pPr>
        <w:pStyle w:val="BodyText"/>
        <w:spacing w:line="258" w:lineRule="exact" w:before="212"/>
        <w:ind w:left="119"/>
      </w:pPr>
      <w:r>
        <w:rPr/>
        <w:t>PETE MCGLADE</w:t>
      </w:r>
    </w:p>
    <w:p>
      <w:pPr>
        <w:pStyle w:val="BodyText"/>
        <w:spacing w:line="258" w:lineRule="exact"/>
        <w:ind w:left="119"/>
      </w:pPr>
      <w:r>
        <w:rPr/>
        <w:t>Vice President–Schedule Planning</w:t>
      </w:r>
    </w:p>
    <w:p>
      <w:pPr>
        <w:pStyle w:val="BodyText"/>
        <w:spacing w:line="258" w:lineRule="exact" w:before="204"/>
        <w:ind w:left="119"/>
      </w:pPr>
      <w:r>
        <w:rPr/>
        <w:t>WILLIAM Q. MILLER</w:t>
      </w:r>
    </w:p>
    <w:p>
      <w:pPr>
        <w:pStyle w:val="BodyText"/>
        <w:spacing w:line="258" w:lineRule="exact"/>
        <w:ind w:left="119"/>
      </w:pPr>
      <w:r>
        <w:rPr/>
        <w:t>Vice President–Inflight Service</w:t>
      </w:r>
    </w:p>
    <w:p>
      <w:pPr>
        <w:pStyle w:val="BodyText"/>
        <w:spacing w:line="258" w:lineRule="exact" w:before="204"/>
        <w:ind w:left="119"/>
      </w:pPr>
      <w:r>
        <w:rPr/>
        <w:t>JOHN D. OWEN</w:t>
      </w:r>
    </w:p>
    <w:p>
      <w:pPr>
        <w:pStyle w:val="BodyText"/>
        <w:spacing w:line="258" w:lineRule="exact"/>
        <w:ind w:left="119"/>
      </w:pPr>
      <w:r>
        <w:rPr/>
        <w:t>Treasurer</w:t>
      </w:r>
    </w:p>
    <w:p>
      <w:pPr>
        <w:pStyle w:val="BodyText"/>
        <w:spacing w:line="258" w:lineRule="exact" w:before="204"/>
        <w:ind w:left="119"/>
      </w:pPr>
      <w:r>
        <w:rPr/>
        <w:t>JAMES F. PARKER*</w:t>
      </w:r>
    </w:p>
    <w:p>
      <w:pPr>
        <w:pStyle w:val="BodyText"/>
        <w:spacing w:line="258" w:lineRule="exact"/>
        <w:ind w:left="119"/>
      </w:pPr>
      <w:r>
        <w:rPr/>
        <w:t>Vice President–General Counsel</w:t>
      </w:r>
    </w:p>
    <w:p>
      <w:pPr>
        <w:pStyle w:val="BodyText"/>
        <w:spacing w:line="258" w:lineRule="exact" w:before="204"/>
        <w:ind w:left="119"/>
      </w:pPr>
      <w:r>
        <w:rPr/>
        <w:t>RON RICKS*</w:t>
      </w:r>
    </w:p>
    <w:p>
      <w:pPr>
        <w:pStyle w:val="BodyText"/>
        <w:spacing w:line="258" w:lineRule="exact"/>
        <w:ind w:left="119"/>
      </w:pPr>
      <w:r>
        <w:rPr/>
        <w:t>Vice President–Governmental Affairs</w:t>
      </w:r>
    </w:p>
    <w:p>
      <w:pPr>
        <w:pStyle w:val="BodyText"/>
        <w:spacing w:line="258" w:lineRule="exact" w:before="204"/>
        <w:ind w:left="119"/>
      </w:pPr>
      <w:r>
        <w:rPr/>
        <w:t>DAVE RIDLEY</w:t>
      </w:r>
    </w:p>
    <w:p>
      <w:pPr>
        <w:pStyle w:val="BodyText"/>
        <w:spacing w:line="258" w:lineRule="exact"/>
        <w:ind w:left="119"/>
      </w:pPr>
      <w:r>
        <w:rPr/>
        <w:t>Vice President–Marketing and Sales</w:t>
      </w:r>
    </w:p>
    <w:p>
      <w:pPr>
        <w:pStyle w:val="BodyText"/>
        <w:spacing w:line="258" w:lineRule="exact" w:before="204"/>
        <w:ind w:left="119"/>
      </w:pPr>
      <w:r>
        <w:rPr/>
        <w:t>JOYCE C. ROGGE*</w:t>
      </w:r>
    </w:p>
    <w:p>
      <w:pPr>
        <w:pStyle w:val="BodyText"/>
        <w:spacing w:line="258" w:lineRule="exact"/>
        <w:ind w:left="119"/>
      </w:pPr>
      <w:r>
        <w:rPr/>
        <w:t>Vice President–Advertising and Promotions</w:t>
      </w:r>
    </w:p>
    <w:p>
      <w:pPr>
        <w:pStyle w:val="BodyText"/>
        <w:spacing w:line="258" w:lineRule="exact" w:before="204"/>
        <w:ind w:left="119"/>
      </w:pPr>
      <w:r>
        <w:rPr/>
        <w:t>ROGER W. SAARI</w:t>
      </w:r>
    </w:p>
    <w:p>
      <w:pPr>
        <w:pStyle w:val="BodyText"/>
        <w:spacing w:line="258" w:lineRule="exact"/>
        <w:ind w:left="119"/>
      </w:pPr>
      <w:r>
        <w:rPr/>
        <w:t>Vice President–Fuel Management</w:t>
      </w:r>
    </w:p>
    <w:p>
      <w:pPr>
        <w:pStyle w:val="BodyText"/>
        <w:spacing w:line="258" w:lineRule="exact" w:before="204"/>
        <w:ind w:left="119"/>
      </w:pPr>
      <w:r>
        <w:rPr/>
        <w:t>ELIZABETH P. SARTAIN</w:t>
      </w:r>
    </w:p>
    <w:p>
      <w:pPr>
        <w:pStyle w:val="BodyText"/>
        <w:spacing w:line="258" w:lineRule="exact"/>
        <w:ind w:left="119"/>
      </w:pPr>
      <w:r>
        <w:rPr/>
        <w:t>Vice President–People</w:t>
      </w:r>
    </w:p>
    <w:p>
      <w:pPr>
        <w:pStyle w:val="BodyText"/>
        <w:spacing w:line="258" w:lineRule="exact" w:before="204"/>
        <w:ind w:left="119"/>
      </w:pPr>
      <w:r>
        <w:rPr/>
        <w:t>PAUL E. STERBENZ</w:t>
      </w:r>
    </w:p>
    <w:p>
      <w:pPr>
        <w:pStyle w:val="BodyText"/>
        <w:spacing w:line="258" w:lineRule="exact"/>
        <w:ind w:left="119"/>
      </w:pPr>
      <w:r>
        <w:rPr/>
        <w:t>Vice President–Flight Operations</w:t>
      </w:r>
    </w:p>
    <w:p>
      <w:pPr>
        <w:pStyle w:val="BodyText"/>
        <w:spacing w:line="258" w:lineRule="exact" w:before="204"/>
        <w:ind w:left="119"/>
      </w:pPr>
      <w:r>
        <w:rPr/>
        <w:t>KEITH L. TAYLOR</w:t>
      </w:r>
    </w:p>
    <w:p>
      <w:pPr>
        <w:pStyle w:val="BodyText"/>
        <w:spacing w:line="258" w:lineRule="exact"/>
        <w:ind w:left="119"/>
      </w:pPr>
      <w:r>
        <w:rPr/>
        <w:t>Vice President–Revenue Management</w:t>
      </w:r>
    </w:p>
    <w:p>
      <w:pPr>
        <w:pStyle w:val="BodyText"/>
        <w:spacing w:line="258" w:lineRule="exact" w:before="204"/>
        <w:ind w:left="119"/>
      </w:pPr>
      <w:r>
        <w:rPr/>
        <w:t>JAMES C. WIMBERLY*</w:t>
      </w:r>
    </w:p>
    <w:p>
      <w:pPr>
        <w:pStyle w:val="BodyText"/>
        <w:spacing w:line="258" w:lineRule="exact"/>
        <w:ind w:left="119"/>
      </w:pPr>
      <w:r>
        <w:rPr/>
        <w:t>Vice President–Ground Operations</w:t>
      </w:r>
    </w:p>
    <w:p>
      <w:pPr>
        <w:pStyle w:val="BodyText"/>
        <w:spacing w:before="7"/>
        <w:rPr>
          <w:sz w:val="35"/>
        </w:rPr>
      </w:pPr>
    </w:p>
    <w:p>
      <w:pPr>
        <w:spacing w:before="0"/>
        <w:ind w:left="119" w:right="0" w:firstLine="0"/>
        <w:jc w:val="left"/>
        <w:rPr>
          <w:sz w:val="20"/>
        </w:rPr>
      </w:pPr>
      <w:r>
        <w:rPr>
          <w:sz w:val="20"/>
        </w:rPr>
        <w:t>*Member of Executive Planning Committee</w:t>
      </w:r>
    </w:p>
    <w:p>
      <w:pPr>
        <w:pStyle w:val="BodyText"/>
        <w:rPr>
          <w:sz w:val="22"/>
        </w:rPr>
      </w:pPr>
    </w:p>
    <w:p>
      <w:pPr>
        <w:pStyle w:val="BodyText"/>
        <w:spacing w:before="189"/>
        <w:ind w:left="3684" w:right="3684"/>
        <w:jc w:val="center"/>
        <w:rPr>
          <w:sz w:val="13"/>
        </w:rPr>
      </w:pPr>
      <w:r>
        <w:rPr/>
        <w:t>Southwest Airlines</w:t>
      </w:r>
      <w:r>
        <w:rPr>
          <w:position w:val="10"/>
          <w:sz w:val="13"/>
        </w:rPr>
        <w:t>®</w:t>
      </w:r>
    </w:p>
    <w:p>
      <w:pPr>
        <w:pStyle w:val="BodyText"/>
        <w:spacing w:line="312" w:lineRule="auto" w:before="83"/>
        <w:ind w:left="4051" w:right="2681" w:hanging="1373"/>
      </w:pPr>
      <w:r>
        <w:rPr/>
        <w:t>P.O. Box 36611 Dallas, TX 75235-1611 214/792-4000</w:t>
      </w:r>
    </w:p>
    <w:p>
      <w:pPr>
        <w:pStyle w:val="BodyText"/>
        <w:spacing w:before="3"/>
        <w:ind w:left="3685" w:right="3684"/>
        <w:jc w:val="center"/>
      </w:pPr>
      <w:r>
        <w:rPr/>
        <w:t>1-800-I-FLY-SWA</w:t>
      </w:r>
    </w:p>
    <w:p>
      <w:pPr>
        <w:pStyle w:val="BodyText"/>
        <w:spacing w:before="84"/>
        <w:ind w:left="3687" w:right="3684"/>
        <w:jc w:val="center"/>
      </w:pPr>
      <w:hyperlink r:id="rId17">
        <w:r>
          <w:rPr/>
          <w:t>www.southwest.com</w:t>
        </w:r>
      </w:hyperlink>
    </w:p>
    <w:sectPr>
      <w:pgSz w:w="12240" w:h="15840"/>
      <w:pgMar w:header="1592" w:footer="790" w:top="2120" w:bottom="9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80029pt;margin-top:741.496704pt;width:10.75pt;height:15.45pt;mso-position-horizontal-relative:page;mso-position-vertical-relative:page;z-index:-148072" type="#_x0000_t202" filled="false" stroked="false">
          <v:textbox inset="0,0,0,0">
            <w:txbxContent>
              <w:p>
                <w:pPr>
                  <w:pStyle w:val="BodyText"/>
                  <w:spacing w:before="12"/>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7856" type="#_x0000_t202" filled="false" stroked="false">
          <v:textbox inset="0,0,0,0">
            <w:txbxContent>
              <w:p>
                <w:pPr>
                  <w:pStyle w:val="BodyText"/>
                  <w:spacing w:before="12"/>
                  <w:ind w:left="20"/>
                </w:pPr>
                <w:r>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832" type="#_x0000_t202" filled="false" stroked="false">
          <v:textbox inset="0,0,0,0">
            <w:txbxContent>
              <w:p>
                <w:pPr>
                  <w:pStyle w:val="BodyText"/>
                  <w:spacing w:before="12"/>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8048" type="#_x0000_t202" filled="false" stroked="false">
          <v:textbox inset="0,0,0,0">
            <w:txbxContent>
              <w:p>
                <w:pPr>
                  <w:pStyle w:val="BodyText"/>
                  <w:spacing w:before="12"/>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8024" type="#_x0000_t202" filled="false" stroked="false">
          <v:textbox inset="0,0,0,0">
            <w:txbxContent>
              <w:p>
                <w:pPr>
                  <w:pStyle w:val="BodyText"/>
                  <w:spacing w:before="12"/>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8000" type="#_x0000_t202" filled="false" stroked="false">
          <v:textbox inset="0,0,0,0">
            <w:txbxContent>
              <w:p>
                <w:pPr>
                  <w:pStyle w:val="BodyText"/>
                  <w:spacing w:before="12"/>
                  <w:ind w:left="20"/>
                </w:pPr>
                <w:r>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976" type="#_x0000_t202" filled="false" stroked="false">
          <v:textbox inset="0,0,0,0">
            <w:txbxContent>
              <w:p>
                <w:pPr>
                  <w:pStyle w:val="BodyText"/>
                  <w:spacing w:before="12"/>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952" type="#_x0000_t202" filled="false" stroked="false">
          <v:textbox inset="0,0,0,0">
            <w:txbxContent>
              <w:p>
                <w:pPr>
                  <w:pStyle w:val="BodyText"/>
                  <w:spacing w:before="12"/>
                  <w:ind w:left="40"/>
                </w:pPr>
                <w:r>
                  <w:rPr/>
                  <w:fldChar w:fldCharType="begin"/>
                </w:r>
                <w:r>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41.496704pt;width:15.45pt;height:15.45pt;mso-position-horizontal-relative:page;mso-position-vertical-relative:page;z-index:-147928" type="#_x0000_t202" filled="false" stroked="false">
          <v:textbox inset="0,0,0,0">
            <w:txbxContent>
              <w:p>
                <w:pPr>
                  <w:pStyle w:val="BodyText"/>
                  <w:spacing w:before="12"/>
                  <w:ind w:left="20"/>
                </w:pPr>
                <w:r>
                  <w:rPr/>
                  <w:t>40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904" type="#_x0000_t202" filled="false" stroked="false">
          <v:textbox inset="0,0,0,0">
            <w:txbxContent>
              <w:p>
                <w:pPr>
                  <w:pStyle w:val="BodyText"/>
                  <w:spacing w:before="12"/>
                  <w:ind w:left="40"/>
                </w:pPr>
                <w:r>
                  <w:rPr/>
                  <w:fldChar w:fldCharType="begin"/>
                </w:r>
                <w:r>
                  <w:rPr/>
                  <w:instrText> PAGE </w:instrText>
                </w:r>
                <w:r>
                  <w:rPr/>
                  <w:fldChar w:fldCharType="separate"/>
                </w:r>
                <w:r>
                  <w:rPr/>
                  <w:t>41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41.496704pt;width:17.55pt;height:15.45pt;mso-position-horizontal-relative:page;mso-position-vertical-relative:page;z-index:-147880" type="#_x0000_t202" filled="false" stroked="false">
          <v:textbox inset="0,0,0,0">
            <w:txbxContent>
              <w:p>
                <w:pPr>
                  <w:pStyle w:val="BodyText"/>
                  <w:spacing w:before="12"/>
                  <w:ind w:left="40"/>
                </w:pPr>
                <w:r>
                  <w:rPr/>
                  <w:fldChar w:fldCharType="begin"/>
                </w:r>
                <w:r>
                  <w:rPr/>
                  <w:instrText> PAGE </w:instrText>
                </w:r>
                <w:r>
                  <w:rPr/>
                  <w:fldChar w:fldCharType="separate"/>
                </w:r>
                <w:r>
                  <w:rPr/>
                  <w:t>43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9.400002pt;margin-top:78.615547pt;width:221.15pt;height:16.75pt;mso-position-horizontal-relative:page;mso-position-vertical-relative:page;z-index:-148120" type="#_x0000_t202" filled="false" stroked="false">
          <v:textbox inset="0,0,0,0">
            <w:txbxContent>
              <w:p>
                <w:pPr>
                  <w:tabs>
                    <w:tab w:pos="4282" w:val="left" w:leader="none"/>
                  </w:tabs>
                  <w:spacing w:before="20"/>
                  <w:ind w:left="20" w:right="0" w:firstLine="0"/>
                  <w:jc w:val="left"/>
                  <w:rPr>
                    <w:rFonts w:ascii="Symbol" w:hAnsi="Symbol"/>
                    <w:b/>
                    <w:sz w:val="24"/>
                  </w:rPr>
                </w:pPr>
                <w:r>
                  <w:rPr>
                    <w:b/>
                    <w:spacing w:val="25"/>
                    <w:sz w:val="24"/>
                  </w:rPr>
                  <w:t>SOU</w:t>
                </w:r>
                <w:r>
                  <w:rPr>
                    <w:b/>
                    <w:spacing w:val="-30"/>
                    <w:sz w:val="24"/>
                  </w:rPr>
                  <w:t> </w:t>
                </w:r>
                <w:r>
                  <w:rPr>
                    <w:b/>
                    <w:sz w:val="24"/>
                  </w:rPr>
                  <w:t>T</w:t>
                </w:r>
                <w:r>
                  <w:rPr>
                    <w:b/>
                    <w:spacing w:val="-24"/>
                    <w:sz w:val="24"/>
                  </w:rPr>
                  <w:t> </w:t>
                </w:r>
                <w:r>
                  <w:rPr>
                    <w:b/>
                    <w:spacing w:val="28"/>
                    <w:sz w:val="24"/>
                  </w:rPr>
                  <w:t>HWES</w:t>
                </w:r>
                <w:r>
                  <w:rPr>
                    <w:b/>
                    <w:spacing w:val="-30"/>
                    <w:sz w:val="24"/>
                  </w:rPr>
                  <w:t> </w:t>
                </w:r>
                <w:r>
                  <w:rPr>
                    <w:b/>
                    <w:sz w:val="24"/>
                  </w:rPr>
                  <w:t>T </w:t>
                </w:r>
                <w:r>
                  <w:rPr>
                    <w:b/>
                    <w:spacing w:val="11"/>
                    <w:sz w:val="24"/>
                  </w:rPr>
                  <w:t> </w:t>
                </w:r>
                <w:r>
                  <w:rPr>
                    <w:b/>
                    <w:spacing w:val="33"/>
                    <w:sz w:val="24"/>
                  </w:rPr>
                  <w:t>AIRLINES</w:t>
                </w:r>
                <w:r>
                  <w:rPr>
                    <w:b/>
                    <w:spacing w:val="73"/>
                    <w:sz w:val="24"/>
                  </w:rPr>
                  <w:t> </w:t>
                </w:r>
                <w:r>
                  <w:rPr>
                    <w:b/>
                    <w:spacing w:val="25"/>
                    <w:sz w:val="24"/>
                  </w:rPr>
                  <w:t>CO.</w:t>
                  <w:tab/>
                </w:r>
                <w:r>
                  <w:rPr>
                    <w:rFonts w:ascii="Symbol" w:hAnsi="Symbol"/>
                    <w:b/>
                    <w:color w:val="FF0000"/>
                    <w:spacing w:val="-131"/>
                    <w:sz w:val="24"/>
                  </w:rPr>
                  <w:t>•</w:t>
                </w:r>
              </w:p>
            </w:txbxContent>
          </v:textbox>
          <w10:wrap type="none"/>
        </v:shape>
      </w:pict>
    </w:r>
    <w:r>
      <w:rPr/>
      <w:pict>
        <v:shape style="position:absolute;margin-left:314.119995pt;margin-top:79.816719pt;width:216.35pt;height:15.45pt;mso-position-horizontal-relative:page;mso-position-vertical-relative:page;z-index:-148096" type="#_x0000_t202" filled="false" stroked="false">
          <v:textbox inset="0,0,0,0">
            <w:txbxContent>
              <w:p>
                <w:pPr>
                  <w:spacing w:before="12"/>
                  <w:ind w:left="20" w:right="0" w:firstLine="0"/>
                  <w:jc w:val="left"/>
                  <w:rPr>
                    <w:b/>
                    <w:sz w:val="24"/>
                  </w:rPr>
                </w:pPr>
                <w:r>
                  <w:rPr>
                    <w:b/>
                    <w:sz w:val="24"/>
                  </w:rPr>
                  <w:t>FIVE SYMBOLS OF  FREEDO 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0" w:hanging="360"/>
        <w:jc w:val="left"/>
      </w:pPr>
      <w:rPr>
        <w:rFonts w:hint="default" w:ascii="Arial" w:hAnsi="Arial" w:eastAsia="Arial" w:cs="Arial"/>
        <w:i/>
        <w:w w:val="100"/>
        <w:sz w:val="18"/>
        <w:szCs w:val="18"/>
      </w:rPr>
    </w:lvl>
    <w:lvl w:ilvl="1">
      <w:start w:val="0"/>
      <w:numFmt w:val="bullet"/>
      <w:lvlText w:val="•"/>
      <w:lvlJc w:val="left"/>
      <w:pPr>
        <w:ind w:left="143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56" w:hanging="360"/>
      </w:pPr>
      <w:rPr>
        <w:rFonts w:hint="default"/>
      </w:rPr>
    </w:lvl>
    <w:lvl w:ilvl="4">
      <w:start w:val="0"/>
      <w:numFmt w:val="bullet"/>
      <w:lvlText w:val="•"/>
      <w:lvlJc w:val="left"/>
      <w:pPr>
        <w:ind w:left="4168" w:hanging="360"/>
      </w:pPr>
      <w:rPr>
        <w:rFonts w:hint="default"/>
      </w:rPr>
    </w:lvl>
    <w:lvl w:ilvl="5">
      <w:start w:val="0"/>
      <w:numFmt w:val="bullet"/>
      <w:lvlText w:val="•"/>
      <w:lvlJc w:val="left"/>
      <w:pPr>
        <w:ind w:left="5080" w:hanging="360"/>
      </w:pPr>
      <w:rPr>
        <w:rFonts w:hint="default"/>
      </w:rPr>
    </w:lvl>
    <w:lvl w:ilvl="6">
      <w:start w:val="0"/>
      <w:numFmt w:val="bullet"/>
      <w:lvlText w:val="•"/>
      <w:lvlJc w:val="left"/>
      <w:pPr>
        <w:ind w:left="5992" w:hanging="360"/>
      </w:pPr>
      <w:rPr>
        <w:rFonts w:hint="default"/>
      </w:rPr>
    </w:lvl>
    <w:lvl w:ilvl="7">
      <w:start w:val="0"/>
      <w:numFmt w:val="bullet"/>
      <w:lvlText w:val="•"/>
      <w:lvlJc w:val="left"/>
      <w:pPr>
        <w:ind w:left="6904" w:hanging="360"/>
      </w:pPr>
      <w:rPr>
        <w:rFonts w:hint="default"/>
      </w:rPr>
    </w:lvl>
    <w:lvl w:ilvl="8">
      <w:start w:val="0"/>
      <w:numFmt w:val="bullet"/>
      <w:lvlText w:val="•"/>
      <w:lvlJc w:val="left"/>
      <w:pPr>
        <w:ind w:left="7816" w:hanging="360"/>
      </w:pPr>
      <w:rPr>
        <w:rFonts w:hint="default"/>
      </w:rPr>
    </w:lvl>
  </w:abstractNum>
  <w:abstractNum w:abstractNumId="1">
    <w:multiLevelType w:val="hybridMultilevel"/>
    <w:lvl w:ilvl="0">
      <w:start w:val="5"/>
      <w:numFmt w:val="decimal"/>
      <w:lvlText w:val="%1."/>
      <w:lvlJc w:val="left"/>
      <w:pPr>
        <w:ind w:left="428" w:hanging="269"/>
        <w:jc w:val="left"/>
      </w:pPr>
      <w:rPr>
        <w:rFonts w:hint="default" w:ascii="Arial" w:hAnsi="Arial" w:eastAsia="Arial" w:cs="Arial"/>
        <w:b/>
        <w:bCs/>
        <w:color w:val="008080"/>
        <w:w w:val="100"/>
        <w:sz w:val="24"/>
        <w:szCs w:val="24"/>
      </w:rPr>
    </w:lvl>
    <w:lvl w:ilvl="1">
      <w:start w:val="0"/>
      <w:numFmt w:val="bullet"/>
      <w:lvlText w:val="•"/>
      <w:lvlJc w:val="left"/>
      <w:pPr>
        <w:ind w:left="1342" w:hanging="269"/>
      </w:pPr>
      <w:rPr>
        <w:rFonts w:hint="default"/>
      </w:rPr>
    </w:lvl>
    <w:lvl w:ilvl="2">
      <w:start w:val="0"/>
      <w:numFmt w:val="bullet"/>
      <w:lvlText w:val="•"/>
      <w:lvlJc w:val="left"/>
      <w:pPr>
        <w:ind w:left="2264" w:hanging="269"/>
      </w:pPr>
      <w:rPr>
        <w:rFonts w:hint="default"/>
      </w:rPr>
    </w:lvl>
    <w:lvl w:ilvl="3">
      <w:start w:val="0"/>
      <w:numFmt w:val="bullet"/>
      <w:lvlText w:val="•"/>
      <w:lvlJc w:val="left"/>
      <w:pPr>
        <w:ind w:left="3186" w:hanging="269"/>
      </w:pPr>
      <w:rPr>
        <w:rFonts w:hint="default"/>
      </w:rPr>
    </w:lvl>
    <w:lvl w:ilvl="4">
      <w:start w:val="0"/>
      <w:numFmt w:val="bullet"/>
      <w:lvlText w:val="•"/>
      <w:lvlJc w:val="left"/>
      <w:pPr>
        <w:ind w:left="4108" w:hanging="269"/>
      </w:pPr>
      <w:rPr>
        <w:rFonts w:hint="default"/>
      </w:rPr>
    </w:lvl>
    <w:lvl w:ilvl="5">
      <w:start w:val="0"/>
      <w:numFmt w:val="bullet"/>
      <w:lvlText w:val="•"/>
      <w:lvlJc w:val="left"/>
      <w:pPr>
        <w:ind w:left="5030" w:hanging="269"/>
      </w:pPr>
      <w:rPr>
        <w:rFonts w:hint="default"/>
      </w:rPr>
    </w:lvl>
    <w:lvl w:ilvl="6">
      <w:start w:val="0"/>
      <w:numFmt w:val="bullet"/>
      <w:lvlText w:val="•"/>
      <w:lvlJc w:val="left"/>
      <w:pPr>
        <w:ind w:left="5952" w:hanging="269"/>
      </w:pPr>
      <w:rPr>
        <w:rFonts w:hint="default"/>
      </w:rPr>
    </w:lvl>
    <w:lvl w:ilvl="7">
      <w:start w:val="0"/>
      <w:numFmt w:val="bullet"/>
      <w:lvlText w:val="•"/>
      <w:lvlJc w:val="left"/>
      <w:pPr>
        <w:ind w:left="6874" w:hanging="269"/>
      </w:pPr>
      <w:rPr>
        <w:rFonts w:hint="default"/>
      </w:rPr>
    </w:lvl>
    <w:lvl w:ilvl="8">
      <w:start w:val="0"/>
      <w:numFmt w:val="bullet"/>
      <w:lvlText w:val="•"/>
      <w:lvlJc w:val="left"/>
      <w:pPr>
        <w:ind w:left="7796" w:hanging="269"/>
      </w:pPr>
      <w:rPr>
        <w:rFonts w:hint="default"/>
      </w:rPr>
    </w:lvl>
  </w:abstractNum>
  <w:abstractNum w:abstractNumId="0">
    <w:multiLevelType w:val="hybridMultilevel"/>
    <w:lvl w:ilvl="0">
      <w:start w:val="1"/>
      <w:numFmt w:val="decimal"/>
      <w:lvlText w:val="%1."/>
      <w:lvlJc w:val="left"/>
      <w:pPr>
        <w:ind w:left="388" w:hanging="269"/>
        <w:jc w:val="left"/>
      </w:pPr>
      <w:rPr>
        <w:rFonts w:hint="default" w:ascii="Arial" w:hAnsi="Arial" w:eastAsia="Arial" w:cs="Arial"/>
        <w:b/>
        <w:bCs/>
        <w:color w:val="008080"/>
        <w:w w:val="100"/>
        <w:sz w:val="24"/>
        <w:szCs w:val="24"/>
      </w:rPr>
    </w:lvl>
    <w:lvl w:ilvl="1">
      <w:start w:val="0"/>
      <w:numFmt w:val="bullet"/>
      <w:lvlText w:val="•"/>
      <w:lvlJc w:val="left"/>
      <w:pPr>
        <w:ind w:left="1302" w:hanging="269"/>
      </w:pPr>
      <w:rPr>
        <w:rFonts w:hint="default"/>
      </w:rPr>
    </w:lvl>
    <w:lvl w:ilvl="2">
      <w:start w:val="0"/>
      <w:numFmt w:val="bullet"/>
      <w:lvlText w:val="•"/>
      <w:lvlJc w:val="left"/>
      <w:pPr>
        <w:ind w:left="2224" w:hanging="269"/>
      </w:pPr>
      <w:rPr>
        <w:rFonts w:hint="default"/>
      </w:rPr>
    </w:lvl>
    <w:lvl w:ilvl="3">
      <w:start w:val="0"/>
      <w:numFmt w:val="bullet"/>
      <w:lvlText w:val="•"/>
      <w:lvlJc w:val="left"/>
      <w:pPr>
        <w:ind w:left="3146" w:hanging="269"/>
      </w:pPr>
      <w:rPr>
        <w:rFonts w:hint="default"/>
      </w:rPr>
    </w:lvl>
    <w:lvl w:ilvl="4">
      <w:start w:val="0"/>
      <w:numFmt w:val="bullet"/>
      <w:lvlText w:val="•"/>
      <w:lvlJc w:val="left"/>
      <w:pPr>
        <w:ind w:left="4068" w:hanging="269"/>
      </w:pPr>
      <w:rPr>
        <w:rFonts w:hint="default"/>
      </w:rPr>
    </w:lvl>
    <w:lvl w:ilvl="5">
      <w:start w:val="0"/>
      <w:numFmt w:val="bullet"/>
      <w:lvlText w:val="•"/>
      <w:lvlJc w:val="left"/>
      <w:pPr>
        <w:ind w:left="4990" w:hanging="269"/>
      </w:pPr>
      <w:rPr>
        <w:rFonts w:hint="default"/>
      </w:rPr>
    </w:lvl>
    <w:lvl w:ilvl="6">
      <w:start w:val="0"/>
      <w:numFmt w:val="bullet"/>
      <w:lvlText w:val="•"/>
      <w:lvlJc w:val="left"/>
      <w:pPr>
        <w:ind w:left="5912" w:hanging="269"/>
      </w:pPr>
      <w:rPr>
        <w:rFonts w:hint="default"/>
      </w:rPr>
    </w:lvl>
    <w:lvl w:ilvl="7">
      <w:start w:val="0"/>
      <w:numFmt w:val="bullet"/>
      <w:lvlText w:val="•"/>
      <w:lvlJc w:val="left"/>
      <w:pPr>
        <w:ind w:left="6834" w:hanging="269"/>
      </w:pPr>
      <w:rPr>
        <w:rFonts w:hint="default"/>
      </w:rPr>
    </w:lvl>
    <w:lvl w:ilvl="8">
      <w:start w:val="0"/>
      <w:numFmt w:val="bullet"/>
      <w:lvlText w:val="•"/>
      <w:lvlJc w:val="left"/>
      <w:pPr>
        <w:ind w:left="7756" w:hanging="26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7"/>
      <w:ind w:left="119"/>
    </w:pPr>
    <w:rPr>
      <w:rFonts w:ascii="Arial" w:hAnsi="Arial" w:eastAsia="Arial" w:cs="Arial"/>
      <w:sz w:val="24"/>
      <w:szCs w:val="24"/>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83"/>
      <w:ind w:left="100" w:right="117" w:firstLine="360"/>
      <w:jc w:val="both"/>
      <w:outlineLvl w:val="1"/>
    </w:pPr>
    <w:rPr>
      <w:rFonts w:ascii="Arial" w:hAnsi="Arial" w:eastAsia="Arial" w:cs="Arial"/>
      <w:b/>
      <w:bCs/>
      <w:sz w:val="36"/>
      <w:szCs w:val="36"/>
    </w:rPr>
  </w:style>
  <w:style w:styleId="Heading2" w:type="paragraph">
    <w:name w:val="Heading 2"/>
    <w:basedOn w:val="Normal"/>
    <w:uiPriority w:val="1"/>
    <w:qFormat/>
    <w:pPr>
      <w:spacing w:before="38"/>
      <w:ind w:left="119"/>
      <w:outlineLvl w:val="2"/>
    </w:pPr>
    <w:rPr>
      <w:rFonts w:ascii="Arial" w:hAnsi="Arial" w:eastAsia="Arial" w:cs="Arial"/>
      <w:b/>
      <w:bCs/>
      <w:sz w:val="28"/>
      <w:szCs w:val="28"/>
    </w:rPr>
  </w:style>
  <w:style w:styleId="Heading3" w:type="paragraph">
    <w:name w:val="Heading 3"/>
    <w:basedOn w:val="Normal"/>
    <w:uiPriority w:val="1"/>
    <w:qFormat/>
    <w:pPr>
      <w:ind w:left="119"/>
      <w:outlineLvl w:val="3"/>
    </w:pPr>
    <w:rPr>
      <w:rFonts w:ascii="Arial" w:hAnsi="Arial" w:eastAsia="Arial" w:cs="Arial"/>
      <w:b/>
      <w:bCs/>
      <w:sz w:val="24"/>
      <w:szCs w:val="24"/>
    </w:rPr>
  </w:style>
  <w:style w:styleId="ListParagraph" w:type="paragraph">
    <w:name w:val="List Paragraph"/>
    <w:basedOn w:val="Normal"/>
    <w:uiPriority w:val="1"/>
    <w:qFormat/>
    <w:pPr>
      <w:spacing w:before="8"/>
      <w:ind w:left="460" w:hanging="360"/>
    </w:pPr>
    <w:rPr>
      <w:rFonts w:ascii="Arial" w:hAnsi="Arial" w:eastAsia="Arial" w:cs="Arial"/>
    </w:rPr>
  </w:style>
  <w:style w:styleId="TableParagraph" w:type="paragraph">
    <w:name w:val="Table Paragraph"/>
    <w:basedOn w:val="Normal"/>
    <w:uiPriority w:val="1"/>
    <w:qFormat/>
    <w:pPr>
      <w:jc w:val="right"/>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numbering" Target="numbering.xml"/><Relationship Id="rId3" Type="http://schemas.openxmlformats.org/officeDocument/2006/relationships/theme" Target="theme/theme1.xml"/><Relationship Id="rId21" Type="http://schemas.openxmlformats.org/officeDocument/2006/relationships/customXml" Target="../customXml/item3.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hyperlink" Target="http://www.southwest.com/" TargetMode="External"/><Relationship Id="rId2" Type="http://schemas.openxmlformats.org/officeDocument/2006/relationships/fontTable" Target="fontTable.xml"/><Relationship Id="rId16" Type="http://schemas.openxmlformats.org/officeDocument/2006/relationships/footer" Target="footer11.xm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header" Target="header1.xml"/><Relationship Id="rId15" Type="http://schemas.openxmlformats.org/officeDocument/2006/relationships/footer" Target="footer10.xml"/><Relationship Id="rId10" Type="http://schemas.openxmlformats.org/officeDocument/2006/relationships/footer" Target="footer5.xm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footer" Target="footer4.xml"/><Relationship Id="rId14"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2CDF9-CF48-4471-A515-7D86A04C09CD}"/>
</file>

<file path=customXml/itemProps2.xml><?xml version="1.0" encoding="utf-8"?>
<ds:datastoreItem xmlns:ds="http://schemas.openxmlformats.org/officeDocument/2006/customXml" ds:itemID="{BA2D4948-48E0-4ECE-9A9C-5E4DFBC2F8C3}"/>
</file>

<file path=customXml/itemProps3.xml><?xml version="1.0" encoding="utf-8"?>
<ds:datastoreItem xmlns:ds="http://schemas.openxmlformats.org/officeDocument/2006/customXml" ds:itemID="{E93E5E27-83C1-4568-896F-C30FA0A3DBD4}"/>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97annrpt.PDF</dc:title>
  <dc:creator>aharris</dc:creator>
  <dcterms:created xsi:type="dcterms:W3CDTF">2018-01-03T22:41:15Z</dcterms:created>
  <dcterms:modified xsi:type="dcterms:W3CDTF">2018-01-03T22:41:15Z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1998-04-24T00:00:00Z</vt:filetime>
  </property>
  <property fmtid="{D5CDD505-2E9C-101B-9397-08002B2CF9AE}" pid="3" name="Creator">
    <vt:lpwstr>Microsoft Word - 97annrpt.doc</vt:lpwstr>
  </property>
  <property fmtid="{D5CDD505-2E9C-101B-9397-08002B2CF9AE}" pid="4" name="LastSaved">
    <vt:filetime>1998-04-24T00:00:00Z</vt:filetime>
  </property>
  <property fmtid="{D5CDD505-2E9C-101B-9397-08002B2CF9AE}" pid="5" name="ContentTypeId">
    <vt:lpwstr>0x010100F1A24584C23FDF4BB8656E52E9AA5D01</vt:lpwstr>
  </property>
</Properties>
</file>